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3.xml" ContentType="application/vnd.openxmlformats-officedocument.themeOverrid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4.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6.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xml" ContentType="application/vnd.openxmlformats-officedocument.themeOverrid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5.xml" ContentType="application/vnd.openxmlformats-officedocument.themeOverrid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6.xml" ContentType="application/vnd.openxmlformats-officedocument.themeOverrid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7.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8.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9.xml" ContentType="application/vnd.openxmlformats-officedocument.themeOverrid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10.xml" ContentType="application/vnd.openxmlformats-officedocument.themeOverrid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11.xml" ContentType="application/vnd.openxmlformats-officedocument.themeOverrid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12.xml" ContentType="application/vnd.openxmlformats-officedocument.themeOverrid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13.xml" ContentType="application/vnd.openxmlformats-officedocument.themeOverrid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14.xml" ContentType="application/vnd.openxmlformats-officedocument.themeOverrid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15.xml" ContentType="application/vnd.openxmlformats-officedocument.themeOverrid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16.xml" ContentType="application/vnd.openxmlformats-officedocument.themeOverrid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17.xml" ContentType="application/vnd.openxmlformats-officedocument.themeOverrid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18.xml" ContentType="application/vnd.openxmlformats-officedocument.themeOverrid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19.xml" ContentType="application/vnd.openxmlformats-officedocument.themeOverrid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20.xml" ContentType="application/vnd.openxmlformats-officedocument.themeOverrid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21.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22.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23.xml" ContentType="application/vnd.openxmlformats-officedocument.themeOverrid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24.xml" ContentType="application/vnd.openxmlformats-officedocument.themeOverrid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25.xml" ContentType="application/vnd.openxmlformats-officedocument.themeOverrid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0.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1.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2.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3.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4.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5.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6.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7.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8.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9.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90.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91.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2.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3.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4.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5.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6.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7.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8.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9.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100.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01.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2.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3.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4.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5.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6.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7.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8.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9.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10.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11.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2.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3.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14.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15.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16.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17.xml" ContentType="application/vnd.openxmlformats-officedocument.drawingml.chart+xml"/>
  <Override PartName="/word/charts/style115.xml" ContentType="application/vnd.ms-office.chartstyle+xml"/>
  <Override PartName="/word/charts/colors11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5DC11A" w14:textId="77777777" w:rsidR="00A739F3" w:rsidRPr="00D11BED" w:rsidRDefault="00A739F3" w:rsidP="00976D0B">
      <w:pPr>
        <w:pStyle w:val="Heading1"/>
        <w:jc w:val="both"/>
        <w:rPr>
          <w:rFonts w:asciiTheme="minorHAnsi" w:hAnsiTheme="minorHAnsi" w:cstheme="minorHAnsi"/>
        </w:rPr>
      </w:pPr>
      <w:bookmarkStart w:id="0" w:name="_Hlk22226754"/>
      <w:bookmarkEnd w:id="0"/>
      <w:r w:rsidRPr="00D11BED">
        <w:rPr>
          <w:rFonts w:asciiTheme="minorHAnsi" w:hAnsiTheme="minorHAnsi" w:cstheme="minorHAnsi"/>
        </w:rPr>
        <w:t>Problem Definition</w:t>
      </w:r>
    </w:p>
    <w:p w14:paraId="2FC5BAF1" w14:textId="77777777" w:rsidR="00A739F3" w:rsidRPr="00D11BED" w:rsidRDefault="00A739F3" w:rsidP="00976D0B">
      <w:pPr>
        <w:pStyle w:val="Heading2"/>
        <w:numPr>
          <w:ilvl w:val="0"/>
          <w:numId w:val="1"/>
        </w:numPr>
        <w:jc w:val="both"/>
        <w:rPr>
          <w:rFonts w:asciiTheme="minorHAnsi" w:hAnsiTheme="minorHAnsi" w:cstheme="minorHAnsi"/>
        </w:rPr>
      </w:pPr>
      <w:r w:rsidRPr="00D11BED">
        <w:rPr>
          <w:rFonts w:asciiTheme="minorHAnsi" w:hAnsiTheme="minorHAnsi" w:cstheme="minorHAnsi"/>
        </w:rPr>
        <w:t>Policy Context</w:t>
      </w:r>
    </w:p>
    <w:p w14:paraId="4FA187BE" w14:textId="3640899F" w:rsidR="00A739F3" w:rsidRDefault="00A739F3" w:rsidP="00976D0B">
      <w:pPr>
        <w:jc w:val="both"/>
        <w:rPr>
          <w:rFonts w:cstheme="minorHAnsi"/>
        </w:rPr>
      </w:pPr>
    </w:p>
    <w:p w14:paraId="64EC71ED" w14:textId="4F890018" w:rsidR="00537B45" w:rsidRDefault="00537B45" w:rsidP="00537B45">
      <w:pPr>
        <w:pStyle w:val="Heading2"/>
        <w:jc w:val="both"/>
        <w:rPr>
          <w:rFonts w:asciiTheme="minorHAnsi" w:hAnsiTheme="minorHAnsi" w:cstheme="minorHAnsi"/>
        </w:rPr>
      </w:pPr>
      <w:r w:rsidRPr="006066AB">
        <w:rPr>
          <w:rFonts w:asciiTheme="minorHAnsi" w:hAnsiTheme="minorHAnsi" w:cstheme="minorHAnsi"/>
        </w:rPr>
        <w:t>Legal background</w:t>
      </w:r>
    </w:p>
    <w:p w14:paraId="55D56691" w14:textId="77777777" w:rsidR="00813727" w:rsidRPr="00813727" w:rsidRDefault="00813727" w:rsidP="00813727"/>
    <w:p w14:paraId="2848864B" w14:textId="77777777" w:rsidR="00813727" w:rsidRDefault="00813727" w:rsidP="00813727">
      <w:pPr>
        <w:jc w:val="both"/>
        <w:rPr>
          <w:rFonts w:cstheme="minorHAnsi"/>
        </w:rPr>
      </w:pPr>
      <w:r w:rsidRPr="00D11BED">
        <w:rPr>
          <w:rFonts w:cstheme="minorHAnsi"/>
        </w:rPr>
        <w:t>The Constitution</w:t>
      </w:r>
      <w:r>
        <w:rPr>
          <w:rFonts w:cstheme="minorHAnsi"/>
        </w:rPr>
        <w:t xml:space="preserve"> of Georgia</w:t>
      </w:r>
      <w:r w:rsidRPr="00D11BED">
        <w:rPr>
          <w:rFonts w:cstheme="minorHAnsi"/>
        </w:rPr>
        <w:t xml:space="preserve"> </w:t>
      </w:r>
      <w:r>
        <w:rPr>
          <w:rFonts w:cstheme="minorHAnsi"/>
        </w:rPr>
        <w:t>defines that “the state i</w:t>
      </w:r>
      <w:r w:rsidRPr="00D11BED">
        <w:rPr>
          <w:rFonts w:cstheme="minorHAnsi"/>
        </w:rPr>
        <w:t>s obliged to guarantee the health and social protection of the citizens, as well as provide them with subsistence minimum and adequate housing</w:t>
      </w:r>
      <w:r>
        <w:rPr>
          <w:rFonts w:cstheme="minorHAnsi"/>
        </w:rPr>
        <w:t xml:space="preserve">” </w:t>
      </w:r>
      <w:r w:rsidRPr="00D11BED">
        <w:rPr>
          <w:rFonts w:cstheme="minorHAnsi"/>
        </w:rPr>
        <w:t>(Constitution of Georgia, article 5, 2017)</w:t>
      </w:r>
      <w:r>
        <w:rPr>
          <w:rFonts w:cstheme="minorHAnsi"/>
        </w:rPr>
        <w:t>.</w:t>
      </w:r>
      <w:r w:rsidRPr="00D11BED">
        <w:rPr>
          <w:rFonts w:cstheme="minorHAnsi"/>
        </w:rPr>
        <w:t xml:space="preserve"> However, this is the only amendment in the c</w:t>
      </w:r>
      <w:r>
        <w:rPr>
          <w:rFonts w:cstheme="minorHAnsi"/>
        </w:rPr>
        <w:t>onstitution referring to th</w:t>
      </w:r>
      <w:r w:rsidRPr="00D11BED">
        <w:rPr>
          <w:rFonts w:cstheme="minorHAnsi"/>
        </w:rPr>
        <w:t>e</w:t>
      </w:r>
      <w:r>
        <w:rPr>
          <w:rFonts w:cstheme="minorHAnsi"/>
        </w:rPr>
        <w:t xml:space="preserve"> gove</w:t>
      </w:r>
      <w:r w:rsidRPr="00D11BED">
        <w:rPr>
          <w:rFonts w:cstheme="minorHAnsi"/>
        </w:rPr>
        <w:t>rnment’s responsibility towar</w:t>
      </w:r>
      <w:r>
        <w:rPr>
          <w:rFonts w:cstheme="minorHAnsi"/>
        </w:rPr>
        <w:t xml:space="preserve">ds the provision of housing (was added to the constitution </w:t>
      </w:r>
      <w:r w:rsidRPr="00D11BED">
        <w:rPr>
          <w:rFonts w:cstheme="minorHAnsi"/>
        </w:rPr>
        <w:t>in 2017</w:t>
      </w:r>
      <w:r>
        <w:rPr>
          <w:rFonts w:cstheme="minorHAnsi"/>
        </w:rPr>
        <w:t>)</w:t>
      </w:r>
      <w:r w:rsidRPr="00D11BED">
        <w:rPr>
          <w:rFonts w:cstheme="minorHAnsi"/>
        </w:rPr>
        <w:t>.</w:t>
      </w:r>
    </w:p>
    <w:p w14:paraId="0154C17E" w14:textId="77777777" w:rsidR="00813727" w:rsidRPr="00A56882" w:rsidRDefault="00813727" w:rsidP="00813727">
      <w:pPr>
        <w:jc w:val="both"/>
        <w:rPr>
          <w:rFonts w:cstheme="minorHAnsi"/>
          <w:lang w:val="en-GB"/>
        </w:rPr>
      </w:pPr>
      <w:r>
        <w:rPr>
          <w:rFonts w:cstheme="minorHAnsi"/>
        </w:rPr>
        <w:t>T</w:t>
      </w:r>
      <w:r w:rsidRPr="00D11BED">
        <w:rPr>
          <w:rFonts w:cstheme="minorHAnsi"/>
        </w:rPr>
        <w:t>he Code of Local Self Government</w:t>
      </w:r>
      <w:r>
        <w:rPr>
          <w:rFonts w:cstheme="minorHAnsi"/>
        </w:rPr>
        <w:t xml:space="preserve"> (2014)</w:t>
      </w:r>
      <w:r w:rsidRPr="00D11BED">
        <w:rPr>
          <w:rFonts w:cstheme="minorHAnsi"/>
        </w:rPr>
        <w:t xml:space="preserve"> defines the rights and obligations of local self-governments</w:t>
      </w:r>
      <w:r w:rsidRPr="00D11BED">
        <w:rPr>
          <w:rFonts w:cstheme="minorHAnsi"/>
          <w:lang w:val="ka-GE"/>
        </w:rPr>
        <w:t xml:space="preserve"> </w:t>
      </w:r>
      <w:r w:rsidRPr="00D11BED">
        <w:rPr>
          <w:rFonts w:cstheme="minorHAnsi"/>
        </w:rPr>
        <w:t>through the delegated</w:t>
      </w:r>
      <w:r w:rsidRPr="00D11BED">
        <w:rPr>
          <w:rStyle w:val="FootnoteReference"/>
          <w:rFonts w:cstheme="minorHAnsi"/>
        </w:rPr>
        <w:footnoteReference w:id="1"/>
      </w:r>
      <w:r w:rsidRPr="00D11BED">
        <w:rPr>
          <w:rFonts w:cstheme="minorHAnsi"/>
        </w:rPr>
        <w:t xml:space="preserve"> and own</w:t>
      </w:r>
      <w:r w:rsidRPr="00D11BED">
        <w:rPr>
          <w:rStyle w:val="FootnoteReference"/>
          <w:rFonts w:cstheme="minorHAnsi"/>
        </w:rPr>
        <w:footnoteReference w:id="2"/>
      </w:r>
      <w:r w:rsidRPr="00D11BED">
        <w:rPr>
          <w:rFonts w:cstheme="minorHAnsi"/>
        </w:rPr>
        <w:t xml:space="preserve"> authorities of the municipalities.</w:t>
      </w:r>
      <w:r w:rsidRPr="00D11BED">
        <w:rPr>
          <w:rFonts w:cstheme="minorHAnsi"/>
          <w:lang w:val="ka-GE"/>
        </w:rPr>
        <w:t xml:space="preserve"> </w:t>
      </w:r>
      <w:r w:rsidRPr="00D11BED">
        <w:rPr>
          <w:rFonts w:cstheme="minorHAnsi"/>
        </w:rPr>
        <w:t xml:space="preserve">Among the own authorities the code </w:t>
      </w:r>
      <w:r>
        <w:rPr>
          <w:rFonts w:cstheme="minorHAnsi"/>
        </w:rPr>
        <w:t>lists</w:t>
      </w:r>
      <w:r w:rsidRPr="00D11BED">
        <w:rPr>
          <w:rFonts w:cstheme="minorHAnsi"/>
        </w:rPr>
        <w:t xml:space="preserve"> the obligation of the local governing bodies to register</w:t>
      </w:r>
      <w:r>
        <w:rPr>
          <w:rFonts w:cstheme="minorHAnsi"/>
        </w:rPr>
        <w:t>,</w:t>
      </w:r>
      <w:r w:rsidRPr="00D11BED">
        <w:rPr>
          <w:rFonts w:cstheme="minorHAnsi"/>
        </w:rPr>
        <w:t xml:space="preserve"> and provide shelters to</w:t>
      </w:r>
      <w:r>
        <w:rPr>
          <w:rFonts w:cstheme="minorHAnsi"/>
        </w:rPr>
        <w:t>,</w:t>
      </w:r>
      <w:r w:rsidRPr="00D11BED">
        <w:rPr>
          <w:rFonts w:cstheme="minorHAnsi"/>
        </w:rPr>
        <w:t xml:space="preserve"> the homeless people.</w:t>
      </w:r>
      <w:r>
        <w:rPr>
          <w:rFonts w:cstheme="minorHAnsi"/>
        </w:rPr>
        <w:t xml:space="preserve"> The definition of homeless person is provided by</w:t>
      </w:r>
      <w:r w:rsidRPr="007B2EE9">
        <w:rPr>
          <w:rFonts w:ascii="Sylfaen" w:hAnsi="Sylfaen" w:cstheme="minorHAnsi"/>
          <w:lang w:val="ka-GE"/>
        </w:rPr>
        <w:t xml:space="preserve"> </w:t>
      </w:r>
      <w:r w:rsidRPr="007B2EE9">
        <w:rPr>
          <w:rFonts w:ascii="Sylfaen" w:hAnsi="Sylfaen" w:cstheme="minorHAnsi"/>
        </w:rPr>
        <w:t>t</w:t>
      </w:r>
      <w:r w:rsidRPr="007B2EE9">
        <w:rPr>
          <w:rFonts w:cstheme="minorHAnsi"/>
        </w:rPr>
        <w:t>he law on Social Assistance of Georgia (2006)</w:t>
      </w:r>
      <w:r>
        <w:rPr>
          <w:rFonts w:cstheme="minorHAnsi"/>
        </w:rPr>
        <w:t>. A h</w:t>
      </w:r>
      <w:r w:rsidRPr="007B2EE9">
        <w:rPr>
          <w:rFonts w:cstheme="minorHAnsi"/>
        </w:rPr>
        <w:t xml:space="preserve">omeless is a person </w:t>
      </w:r>
      <w:r>
        <w:rPr>
          <w:rFonts w:cstheme="minorHAnsi"/>
        </w:rPr>
        <w:t>that does not have a p</w:t>
      </w:r>
      <w:r w:rsidRPr="007B2EE9">
        <w:rPr>
          <w:rFonts w:cstheme="minorHAnsi"/>
        </w:rPr>
        <w:t>ermanent, defined</w:t>
      </w:r>
      <w:r>
        <w:rPr>
          <w:rFonts w:cstheme="minorHAnsi"/>
        </w:rPr>
        <w:t>,</w:t>
      </w:r>
      <w:r w:rsidRPr="007B2EE9">
        <w:rPr>
          <w:rFonts w:cstheme="minorHAnsi"/>
        </w:rPr>
        <w:t xml:space="preserve"> living space and is registered in the local municipality as a homeless person. </w:t>
      </w:r>
      <w:r>
        <w:rPr>
          <w:rFonts w:cstheme="minorHAnsi"/>
          <w:lang w:val="en-GB"/>
        </w:rPr>
        <w:t xml:space="preserve">In order to be considered as a homeless, one should apply to the corresponding municipality with the request to be registered as a homeless in a municipal data base. The decision whether to consider a person as a homeless is made by the municipality. </w:t>
      </w:r>
      <w:r w:rsidRPr="007B2EE9">
        <w:rPr>
          <w:rFonts w:cstheme="minorHAnsi"/>
        </w:rPr>
        <w:t>The law introduces the definition of roofless kids as well</w:t>
      </w:r>
      <w:r>
        <w:rPr>
          <w:rStyle w:val="FootnoteReference"/>
          <w:rFonts w:cstheme="minorHAnsi"/>
        </w:rPr>
        <w:footnoteReference w:id="3"/>
      </w:r>
      <w:r>
        <w:rPr>
          <w:rFonts w:cstheme="minorHAnsi"/>
        </w:rPr>
        <w:t>:</w:t>
      </w:r>
      <w:r w:rsidRPr="007B2EE9">
        <w:rPr>
          <w:rFonts w:cstheme="minorHAnsi"/>
        </w:rPr>
        <w:t xml:space="preserve"> a person under age 18, living or working in the street and identified as a roofless by the authorized social servant. </w:t>
      </w:r>
      <w:r w:rsidRPr="00D11BED">
        <w:rPr>
          <w:rFonts w:cstheme="minorHAnsi"/>
        </w:rPr>
        <w:t>The law</w:t>
      </w:r>
      <w:r>
        <w:rPr>
          <w:rFonts w:cstheme="minorHAnsi"/>
        </w:rPr>
        <w:t xml:space="preserve"> also</w:t>
      </w:r>
      <w:r w:rsidRPr="00D11BED">
        <w:rPr>
          <w:rFonts w:cstheme="minorHAnsi"/>
        </w:rPr>
        <w:t xml:space="preserve"> defines the main financial so</w:t>
      </w:r>
      <w:r>
        <w:rPr>
          <w:rFonts w:cstheme="minorHAnsi"/>
        </w:rPr>
        <w:t xml:space="preserve">urces of the social assistance: </w:t>
      </w:r>
      <w:r w:rsidRPr="00D11BED">
        <w:rPr>
          <w:rFonts w:cstheme="minorHAnsi"/>
        </w:rPr>
        <w:t>central budget, local b</w:t>
      </w:r>
      <w:r>
        <w:rPr>
          <w:rFonts w:cstheme="minorHAnsi"/>
        </w:rPr>
        <w:t>udget, charity and other funds.</w:t>
      </w:r>
    </w:p>
    <w:p w14:paraId="2B8FB4E0" w14:textId="77777777" w:rsidR="00813727" w:rsidRPr="00D74D8C" w:rsidRDefault="00813727" w:rsidP="00813727">
      <w:pPr>
        <w:jc w:val="both"/>
        <w:rPr>
          <w:rFonts w:ascii="Sylfaen" w:hAnsi="Sylfaen" w:cstheme="minorHAnsi"/>
          <w:lang w:val="ka-GE"/>
        </w:rPr>
      </w:pPr>
      <w:r>
        <w:rPr>
          <w:rFonts w:cstheme="minorHAnsi"/>
        </w:rPr>
        <w:t xml:space="preserve">The law on Social Assistance does not clearly define </w:t>
      </w:r>
      <w:r w:rsidRPr="007B2EE9">
        <w:rPr>
          <w:rFonts w:cstheme="minorHAnsi"/>
        </w:rPr>
        <w:t>the responsibilities of the institutions to address the social housing issues</w:t>
      </w:r>
      <w:r>
        <w:rPr>
          <w:rFonts w:cstheme="minorHAnsi"/>
        </w:rPr>
        <w:t>.</w:t>
      </w:r>
      <w:r w:rsidRPr="007B2EE9">
        <w:rPr>
          <w:rFonts w:cstheme="minorHAnsi"/>
        </w:rPr>
        <w:t xml:space="preserve"> According to this law</w:t>
      </w:r>
      <w:r>
        <w:rPr>
          <w:rFonts w:cstheme="minorHAnsi"/>
        </w:rPr>
        <w:t>, the</w:t>
      </w:r>
      <w:r w:rsidRPr="007B2EE9">
        <w:rPr>
          <w:rFonts w:cstheme="minorHAnsi"/>
        </w:rPr>
        <w:t xml:space="preserve"> Social Service Agency (SSA) is obliged to</w:t>
      </w:r>
      <w:r>
        <w:rPr>
          <w:rFonts w:cstheme="minorHAnsi"/>
        </w:rPr>
        <w:t xml:space="preserve"> establish</w:t>
      </w:r>
      <w:r w:rsidRPr="007B2EE9">
        <w:rPr>
          <w:rFonts w:cstheme="minorHAnsi"/>
        </w:rPr>
        <w:t xml:space="preserve"> a uni</w:t>
      </w:r>
      <w:r>
        <w:rPr>
          <w:rFonts w:cstheme="minorHAnsi"/>
        </w:rPr>
        <w:t>fi</w:t>
      </w:r>
      <w:r w:rsidRPr="007B2EE9">
        <w:rPr>
          <w:rFonts w:cstheme="minorHAnsi"/>
        </w:rPr>
        <w:t xml:space="preserve">ed register of the homeless people </w:t>
      </w:r>
      <w:r>
        <w:rPr>
          <w:rFonts w:cstheme="minorHAnsi"/>
        </w:rPr>
        <w:t xml:space="preserve">based on the information provided by the </w:t>
      </w:r>
      <w:r w:rsidRPr="007B2EE9">
        <w:rPr>
          <w:rFonts w:cstheme="minorHAnsi"/>
        </w:rPr>
        <w:t>local municipalities</w:t>
      </w:r>
      <w:r>
        <w:rPr>
          <w:rFonts w:cstheme="minorHAnsi"/>
          <w:lang w:val="ka-GE"/>
        </w:rPr>
        <w:t xml:space="preserve">. </w:t>
      </w:r>
      <w:r>
        <w:rPr>
          <w:rFonts w:cstheme="minorHAnsi"/>
        </w:rPr>
        <w:t xml:space="preserve">The procedures for registering the homeless are not standardized across the country. </w:t>
      </w:r>
      <w:r w:rsidRPr="007B2EE9">
        <w:rPr>
          <w:rFonts w:cstheme="minorHAnsi"/>
        </w:rPr>
        <w:t>Local self-government entities are obliged to provide homeless people with shelters, register homeless people living in the shelters and ensure the accessibility to the statistics about homeless people to the SSA.</w:t>
      </w:r>
      <w:r w:rsidRPr="00D11BED">
        <w:rPr>
          <w:rFonts w:cstheme="minorHAnsi"/>
        </w:rPr>
        <w:t xml:space="preserve"> </w:t>
      </w:r>
      <w:r>
        <w:rPr>
          <w:rFonts w:cstheme="minorHAnsi"/>
        </w:rPr>
        <w:t>Notably, there are some municipalities (more details below in the base line scenario) that do not register citizens as homeless and/or cannot provide them with any kind of support (shelter, temporary living space and etc.).</w:t>
      </w:r>
    </w:p>
    <w:p w14:paraId="431AAE66" w14:textId="77777777" w:rsidR="00813727" w:rsidRPr="00D11BED" w:rsidRDefault="00813727" w:rsidP="00813727">
      <w:pPr>
        <w:jc w:val="both"/>
        <w:rPr>
          <w:rFonts w:cstheme="minorHAnsi"/>
        </w:rPr>
      </w:pPr>
      <w:r>
        <w:rPr>
          <w:rFonts w:cstheme="minorHAnsi"/>
        </w:rPr>
        <w:t>The law on Social assistance also defines the role of specialized institutions. A s</w:t>
      </w:r>
      <w:r w:rsidRPr="002E4D6C">
        <w:rPr>
          <w:rFonts w:cstheme="minorHAnsi"/>
        </w:rPr>
        <w:t xml:space="preserve">pecialized institution is a physical or legal entity which provides social support to the people who need a special care overnight or during </w:t>
      </w:r>
      <w:r>
        <w:rPr>
          <w:rFonts w:cstheme="minorHAnsi"/>
        </w:rPr>
        <w:t>a</w:t>
      </w:r>
      <w:r w:rsidRPr="002E4D6C">
        <w:rPr>
          <w:rFonts w:cstheme="minorHAnsi"/>
        </w:rPr>
        <w:t xml:space="preserve"> pre-determined period. </w:t>
      </w:r>
      <w:r>
        <w:rPr>
          <w:rFonts w:cstheme="minorHAnsi"/>
        </w:rPr>
        <w:t>A person who needs to be placed</w:t>
      </w:r>
      <w:r w:rsidRPr="002E4D6C">
        <w:rPr>
          <w:rFonts w:cstheme="minorHAnsi"/>
        </w:rPr>
        <w:t xml:space="preserve"> in </w:t>
      </w:r>
      <w:r>
        <w:rPr>
          <w:rFonts w:cstheme="minorHAnsi"/>
        </w:rPr>
        <w:t>such</w:t>
      </w:r>
      <w:r w:rsidRPr="002E4D6C">
        <w:rPr>
          <w:rFonts w:cstheme="minorHAnsi"/>
        </w:rPr>
        <w:t xml:space="preserve"> institution can be </w:t>
      </w:r>
      <w:r>
        <w:rPr>
          <w:rFonts w:cstheme="minorHAnsi"/>
        </w:rPr>
        <w:t xml:space="preserve">supported financially </w:t>
      </w:r>
      <w:r w:rsidRPr="002E4D6C">
        <w:rPr>
          <w:rFonts w:cstheme="minorHAnsi"/>
        </w:rPr>
        <w:t xml:space="preserve">by the government based on the decision of </w:t>
      </w:r>
      <w:r>
        <w:rPr>
          <w:rFonts w:cstheme="minorHAnsi"/>
        </w:rPr>
        <w:t>a</w:t>
      </w:r>
      <w:r w:rsidRPr="002E4D6C">
        <w:rPr>
          <w:rFonts w:cstheme="minorHAnsi"/>
        </w:rPr>
        <w:t xml:space="preserve"> special committee. An institution </w:t>
      </w:r>
      <w:r w:rsidRPr="002E4D6C">
        <w:rPr>
          <w:rFonts w:cstheme="minorHAnsi"/>
        </w:rPr>
        <w:lastRenderedPageBreak/>
        <w:t>can be financed from the central or local budget, or any other financial sources defined by the Georgian legislation.</w:t>
      </w:r>
    </w:p>
    <w:p w14:paraId="71A146CC" w14:textId="77777777" w:rsidR="00813727" w:rsidRPr="009578A3" w:rsidRDefault="00813727" w:rsidP="00813727">
      <w:pPr>
        <w:jc w:val="both"/>
        <w:rPr>
          <w:rFonts w:ascii="Sylfaen" w:hAnsi="Sylfaen" w:cstheme="minorHAnsi"/>
        </w:rPr>
      </w:pPr>
      <w:r>
        <w:rPr>
          <w:rFonts w:cstheme="minorHAnsi"/>
        </w:rPr>
        <w:t>T</w:t>
      </w:r>
      <w:r w:rsidRPr="00D11BED">
        <w:rPr>
          <w:rFonts w:cstheme="minorHAnsi"/>
        </w:rPr>
        <w:t>he concept of adequate housing</w:t>
      </w:r>
      <w:r>
        <w:rPr>
          <w:rStyle w:val="FootnoteReference"/>
          <w:rFonts w:cstheme="minorHAnsi"/>
        </w:rPr>
        <w:footnoteReference w:id="4"/>
      </w:r>
      <w:r>
        <w:rPr>
          <w:rFonts w:cstheme="minorHAnsi"/>
        </w:rPr>
        <w:t xml:space="preserve"> is defined by the Law on Internally Displaced Persons (IDPs) of Georgia </w:t>
      </w:r>
      <w:r>
        <w:rPr>
          <w:rFonts w:ascii="Sylfaen" w:hAnsi="Sylfaen" w:cstheme="minorHAnsi"/>
          <w:lang w:val="ka-GE"/>
        </w:rPr>
        <w:t>(</w:t>
      </w:r>
      <w:r w:rsidRPr="009578A3">
        <w:rPr>
          <w:rFonts w:cstheme="minorHAnsi"/>
          <w:lang w:val="ka-GE"/>
        </w:rPr>
        <w:t xml:space="preserve">2014) </w:t>
      </w:r>
      <w:r>
        <w:rPr>
          <w:rFonts w:cstheme="minorHAnsi"/>
        </w:rPr>
        <w:t xml:space="preserve">in the following way: the housing is adequate if the residential area can guarantee safety and access to the public infrastructure, and provide IDPs with satisfactory sanitary conditions. This is the only definition </w:t>
      </w:r>
      <w:r>
        <w:rPr>
          <w:rFonts w:cstheme="minorHAnsi"/>
          <w:lang w:val="en-GB"/>
        </w:rPr>
        <w:t>of</w:t>
      </w:r>
      <w:r>
        <w:rPr>
          <w:rFonts w:cstheme="minorHAnsi"/>
        </w:rPr>
        <w:t xml:space="preserve"> adequate housing in the Georgian legislation. </w:t>
      </w:r>
    </w:p>
    <w:p w14:paraId="5325EA0F" w14:textId="77777777" w:rsidR="00813727" w:rsidRDefault="00813727" w:rsidP="00813727">
      <w:pPr>
        <w:jc w:val="both"/>
        <w:rPr>
          <w:rFonts w:cstheme="minorHAnsi"/>
          <w:lang w:val="en-GB"/>
        </w:rPr>
      </w:pPr>
      <w:r>
        <w:rPr>
          <w:rFonts w:cstheme="minorHAnsi"/>
          <w:lang w:val="en-GB"/>
        </w:rPr>
        <w:t>Another important part of the Georgian legislation, which is not directly related to the housing sector but affects the affordability of housing is the banking sector regulations. In 2018 National Bank of Georgia (NBG) introduced new regulations which made more difficult to give/get loans. Two types of loans are considerable while speaking on housing issues in the country:</w:t>
      </w:r>
    </w:p>
    <w:p w14:paraId="7091154B" w14:textId="77777777" w:rsidR="00813727" w:rsidRDefault="00813727" w:rsidP="00454C26">
      <w:pPr>
        <w:pStyle w:val="ListParagraph"/>
        <w:numPr>
          <w:ilvl w:val="0"/>
          <w:numId w:val="8"/>
        </w:numPr>
        <w:jc w:val="both"/>
        <w:rPr>
          <w:rFonts w:cstheme="minorHAnsi"/>
          <w:lang w:val="en-GB"/>
        </w:rPr>
      </w:pPr>
      <w:r>
        <w:rPr>
          <w:rFonts w:cstheme="minorHAnsi"/>
          <w:lang w:val="en-GB"/>
        </w:rPr>
        <w:t xml:space="preserve">Loan backed by the real estate </w:t>
      </w:r>
      <w:r>
        <w:rPr>
          <w:rFonts w:cstheme="minorHAnsi"/>
          <w:lang w:val="en-GB"/>
        </w:rPr>
        <w:softHyphen/>
        <w:t>– according to the new rules a borrower is not allowed to back the loan with the mortgage property if this represents his/her only possible living space. These changes protect borrowers from becoming homeless in the long-term if he/she is not able to pay monthly loan payments.</w:t>
      </w:r>
    </w:p>
    <w:p w14:paraId="08EAC1E8" w14:textId="77777777" w:rsidR="00813727" w:rsidRDefault="00813727" w:rsidP="00454C26">
      <w:pPr>
        <w:pStyle w:val="ListParagraph"/>
        <w:numPr>
          <w:ilvl w:val="0"/>
          <w:numId w:val="8"/>
        </w:numPr>
        <w:jc w:val="both"/>
        <w:rPr>
          <w:rFonts w:cstheme="minorHAnsi"/>
          <w:lang w:val="en-GB"/>
        </w:rPr>
      </w:pPr>
      <w:r>
        <w:rPr>
          <w:rFonts w:cstheme="minorHAnsi"/>
          <w:lang w:val="en-GB"/>
        </w:rPr>
        <w:t xml:space="preserve">Mortgage loan to buy a new immovable property </w:t>
      </w:r>
      <w:r>
        <w:rPr>
          <w:rFonts w:cstheme="minorHAnsi"/>
          <w:lang w:val="en-GB"/>
        </w:rPr>
        <w:softHyphen/>
        <w:t xml:space="preserve"> – in case of such loan monthly payments are strictly predefined by the regulation and it should not exceed certain percent of the borrower’s income (different threshold for different level of income). This regulation limits the affordability of purchasing new flats for the citizens, but also reduces the probability that the borrower loses the immovable property used as a collateral.</w:t>
      </w:r>
    </w:p>
    <w:p w14:paraId="311D84E0" w14:textId="77777777" w:rsidR="00813727" w:rsidRPr="00340607" w:rsidRDefault="00813727" w:rsidP="00813727">
      <w:pPr>
        <w:jc w:val="both"/>
        <w:rPr>
          <w:rFonts w:cstheme="minorHAnsi"/>
        </w:rPr>
      </w:pPr>
      <w:r>
        <w:rPr>
          <w:rFonts w:cstheme="minorHAnsi"/>
        </w:rPr>
        <w:t xml:space="preserve">In addition, </w:t>
      </w:r>
      <w:r w:rsidRPr="00D11BED">
        <w:rPr>
          <w:rFonts w:cstheme="minorHAnsi"/>
        </w:rPr>
        <w:t xml:space="preserve">regulations toward the eviction has also been mitigated, and the National Bureau of </w:t>
      </w:r>
      <w:r>
        <w:rPr>
          <w:rFonts w:cstheme="minorHAnsi"/>
        </w:rPr>
        <w:t>E</w:t>
      </w:r>
      <w:r w:rsidRPr="00D11BED">
        <w:rPr>
          <w:rFonts w:cstheme="minorHAnsi"/>
        </w:rPr>
        <w:t xml:space="preserve">nforcement is not allowed to evict person/household without the court decisions. </w:t>
      </w:r>
      <w:r>
        <w:rPr>
          <w:rFonts w:cstheme="minorHAnsi"/>
        </w:rPr>
        <w:t>According to the new rules the burau is not allowed to evict households from house if the property represents the only potential living space for them.</w:t>
      </w:r>
    </w:p>
    <w:p w14:paraId="547F4391" w14:textId="77777777" w:rsidR="00813727" w:rsidRDefault="00813727" w:rsidP="00813727">
      <w:pPr>
        <w:jc w:val="both"/>
        <w:rPr>
          <w:rFonts w:cstheme="minorHAnsi"/>
        </w:rPr>
      </w:pPr>
      <w:r w:rsidRPr="006172CB">
        <w:rPr>
          <w:rFonts w:cstheme="minorHAnsi"/>
        </w:rPr>
        <w:t>The present Regulatory Impact Assessment (RIA) will be focused on the unstable housing</w:t>
      </w:r>
      <w:r w:rsidRPr="00EC4953">
        <w:rPr>
          <w:rFonts w:cstheme="minorHAnsi"/>
        </w:rPr>
        <w:t xml:space="preserve"> issues in Georgia, as a threat to the right of adequate housing.</w:t>
      </w:r>
      <w:r>
        <w:rPr>
          <w:rFonts w:cstheme="minorHAnsi"/>
        </w:rPr>
        <w:t xml:space="preserve"> </w:t>
      </w:r>
    </w:p>
    <w:p w14:paraId="314FE260" w14:textId="77777777" w:rsidR="00813727" w:rsidRDefault="00813727" w:rsidP="00813727">
      <w:pPr>
        <w:jc w:val="both"/>
        <w:rPr>
          <w:rFonts w:cstheme="minorHAnsi"/>
        </w:rPr>
      </w:pPr>
    </w:p>
    <w:p w14:paraId="60AC4867" w14:textId="77777777" w:rsidR="00813727" w:rsidRDefault="00813727" w:rsidP="00813727">
      <w:pPr>
        <w:pStyle w:val="Heading2"/>
        <w:jc w:val="both"/>
        <w:rPr>
          <w:rFonts w:asciiTheme="minorHAnsi" w:hAnsiTheme="minorHAnsi" w:cstheme="minorHAnsi"/>
        </w:rPr>
      </w:pPr>
      <w:r w:rsidRPr="00D11BED">
        <w:rPr>
          <w:rFonts w:asciiTheme="minorHAnsi" w:hAnsiTheme="minorHAnsi" w:cstheme="minorHAnsi"/>
        </w:rPr>
        <w:t>Institutional Setup of the Sector</w:t>
      </w:r>
    </w:p>
    <w:p w14:paraId="4C6274DA" w14:textId="77777777" w:rsidR="00813727" w:rsidRPr="00F33681" w:rsidRDefault="00813727" w:rsidP="00813727">
      <w:pPr>
        <w:jc w:val="both"/>
      </w:pPr>
    </w:p>
    <w:p w14:paraId="7829BC70" w14:textId="197A901B" w:rsidR="00813727" w:rsidRPr="00D11BED" w:rsidRDefault="00813727" w:rsidP="00813727">
      <w:pPr>
        <w:jc w:val="both"/>
        <w:rPr>
          <w:rFonts w:cstheme="minorHAnsi"/>
          <w:lang w:val="ka-GE"/>
        </w:rPr>
      </w:pPr>
      <w:r w:rsidRPr="00D11BED">
        <w:rPr>
          <w:rFonts w:cstheme="minorHAnsi"/>
        </w:rPr>
        <w:t>In 20</w:t>
      </w:r>
      <w:r>
        <w:rPr>
          <w:rFonts w:cstheme="minorHAnsi"/>
        </w:rPr>
        <w:t>0</w:t>
      </w:r>
      <w:r w:rsidRPr="00D11BED">
        <w:rPr>
          <w:rFonts w:cstheme="minorHAnsi"/>
        </w:rPr>
        <w:t xml:space="preserve">4 the </w:t>
      </w:r>
      <w:r w:rsidRPr="006066AB">
        <w:rPr>
          <w:rFonts w:cstheme="minorHAnsi"/>
          <w:b/>
          <w:bCs/>
        </w:rPr>
        <w:t xml:space="preserve">ministry of </w:t>
      </w:r>
      <w:r w:rsidR="0021680A">
        <w:rPr>
          <w:rFonts w:cstheme="minorHAnsi"/>
          <w:b/>
          <w:bCs/>
        </w:rPr>
        <w:t>Urban</w:t>
      </w:r>
      <w:r w:rsidRPr="006066AB">
        <w:rPr>
          <w:rFonts w:cstheme="minorHAnsi"/>
          <w:b/>
          <w:bCs/>
        </w:rPr>
        <w:t>ization and Construction of Georgia</w:t>
      </w:r>
      <w:r w:rsidRPr="00D11BED">
        <w:rPr>
          <w:rFonts w:cstheme="minorHAnsi"/>
        </w:rPr>
        <w:t xml:space="preserve"> was eliminated. The ministry was a</w:t>
      </w:r>
      <w:r>
        <w:rPr>
          <w:rFonts w:cstheme="minorHAnsi"/>
        </w:rPr>
        <w:t>n</w:t>
      </w:r>
      <w:r w:rsidRPr="00D11BED">
        <w:rPr>
          <w:rFonts w:cstheme="minorHAnsi"/>
        </w:rPr>
        <w:t xml:space="preserve"> institution responsible for </w:t>
      </w:r>
      <w:r>
        <w:rPr>
          <w:rFonts w:cstheme="minorHAnsi"/>
        </w:rPr>
        <w:t xml:space="preserve">the </w:t>
      </w:r>
      <w:r w:rsidRPr="00D11BED">
        <w:rPr>
          <w:rFonts w:cstheme="minorHAnsi"/>
        </w:rPr>
        <w:t xml:space="preserve">creation of fair living conditions for Georgian citizens, to ensure the sustainable and safe development of the settled areas and rational use of the territories available in the country. It was a direct responsibility of the ministry to ensure that the resettlement programs were </w:t>
      </w:r>
      <w:r>
        <w:rPr>
          <w:rFonts w:cstheme="minorHAnsi"/>
        </w:rPr>
        <w:t xml:space="preserve">properly </w:t>
      </w:r>
      <w:r w:rsidRPr="00D11BED">
        <w:rPr>
          <w:rFonts w:cstheme="minorHAnsi"/>
        </w:rPr>
        <w:t>implemented. After the elimination of the ministry the responsibilities regarding the resettlement policies w</w:t>
      </w:r>
      <w:r>
        <w:rPr>
          <w:rFonts w:cstheme="minorHAnsi"/>
        </w:rPr>
        <w:t>ere</w:t>
      </w:r>
      <w:r w:rsidRPr="00D11BED">
        <w:rPr>
          <w:rFonts w:cstheme="minorHAnsi"/>
        </w:rPr>
        <w:t xml:space="preserve"> not clearly delegated to any other institution. </w:t>
      </w:r>
    </w:p>
    <w:p w14:paraId="742F0E71" w14:textId="77777777" w:rsidR="00813727" w:rsidRDefault="00813727" w:rsidP="00813727">
      <w:pPr>
        <w:jc w:val="both"/>
        <w:rPr>
          <w:rFonts w:cstheme="minorHAnsi"/>
        </w:rPr>
      </w:pPr>
      <w:r>
        <w:rPr>
          <w:rFonts w:cstheme="minorHAnsi"/>
          <w:lang w:val="en-GB"/>
        </w:rPr>
        <w:t xml:space="preserve">Currently, </w:t>
      </w:r>
      <w:r w:rsidRPr="006066AB">
        <w:rPr>
          <w:rFonts w:cstheme="minorHAnsi"/>
          <w:b/>
          <w:bCs/>
          <w:lang w:val="en-GB"/>
        </w:rPr>
        <w:t xml:space="preserve">local municipalities </w:t>
      </w:r>
      <w:r>
        <w:rPr>
          <w:rFonts w:cstheme="minorHAnsi"/>
          <w:lang w:val="en-GB"/>
        </w:rPr>
        <w:t xml:space="preserve">are directly responsible to register, and provide housing services to, the homeless. Local municipalities are administrating the shelters located within their administrative borders (for example, Lilo shelter in Tbilisi is administrated by the Tbilisi municipality). Within the </w:t>
      </w:r>
      <w:r>
        <w:rPr>
          <w:rFonts w:cstheme="minorHAnsi"/>
          <w:lang w:val="en-GB"/>
        </w:rPr>
        <w:lastRenderedPageBreak/>
        <w:t xml:space="preserve">municipalities there is a Department of Health and Social Care. In addition to delivering general social services (such as monetary and/or non-monetary assistance such as food, basic medicines and etc.) the department is responsible to register homeless/roofless persons within the municipalities and provide them with adequate support. </w:t>
      </w:r>
      <w:proofErr w:type="gramStart"/>
      <w:r>
        <w:rPr>
          <w:rFonts w:cstheme="minorHAnsi"/>
          <w:lang w:val="en-GB"/>
        </w:rPr>
        <w:t>Also</w:t>
      </w:r>
      <w:proofErr w:type="gramEnd"/>
      <w:r>
        <w:rPr>
          <w:rFonts w:cstheme="minorHAnsi"/>
          <w:lang w:val="en-GB"/>
        </w:rPr>
        <w:t xml:space="preserve"> social workers from SSA are working with the municipalities in order to identify the needs of vulnerable groups and support them with appropriate services. However, it is not a direct responsibility of SSA social workers to support homeless people by providing shelters. </w:t>
      </w:r>
    </w:p>
    <w:p w14:paraId="4C4A0BB2" w14:textId="77777777" w:rsidR="00813727" w:rsidRDefault="00813727" w:rsidP="00813727">
      <w:pPr>
        <w:jc w:val="both"/>
        <w:rPr>
          <w:rFonts w:cstheme="minorHAnsi"/>
        </w:rPr>
      </w:pPr>
      <w:r>
        <w:rPr>
          <w:rFonts w:cstheme="minorHAnsi"/>
        </w:rPr>
        <w:t>A large group subject to potential hazards of homelessness is constituted by internally displaced persons (IDPs) and eco-migrants. Until</w:t>
      </w:r>
      <w:r w:rsidRPr="00D11BED">
        <w:rPr>
          <w:rFonts w:cstheme="minorHAnsi"/>
        </w:rPr>
        <w:t xml:space="preserve"> 2018</w:t>
      </w:r>
      <w:r>
        <w:rPr>
          <w:rFonts w:cstheme="minorHAnsi"/>
        </w:rPr>
        <w:t xml:space="preserve">, </w:t>
      </w:r>
      <w:r>
        <w:rPr>
          <w:rFonts w:cstheme="minorHAnsi"/>
          <w:lang w:val="en-GB"/>
        </w:rPr>
        <w:t>the issues</w:t>
      </w:r>
      <w:r w:rsidRPr="00D11BED">
        <w:rPr>
          <w:rFonts w:cstheme="minorHAnsi"/>
          <w:lang w:val="ka-GE"/>
        </w:rPr>
        <w:t xml:space="preserve"> </w:t>
      </w:r>
      <w:r w:rsidRPr="00D11BED">
        <w:rPr>
          <w:rFonts w:cstheme="minorHAnsi"/>
        </w:rPr>
        <w:t xml:space="preserve">related to </w:t>
      </w:r>
      <w:r>
        <w:rPr>
          <w:rFonts w:cstheme="minorHAnsi"/>
        </w:rPr>
        <w:t>IDPs</w:t>
      </w:r>
      <w:r w:rsidRPr="00D11BED">
        <w:rPr>
          <w:rFonts w:cstheme="minorHAnsi"/>
        </w:rPr>
        <w:t xml:space="preserve"> w</w:t>
      </w:r>
      <w:r>
        <w:rPr>
          <w:rFonts w:cstheme="minorHAnsi"/>
        </w:rPr>
        <w:t>ere</w:t>
      </w:r>
      <w:r w:rsidRPr="00D11BED">
        <w:rPr>
          <w:rFonts w:cstheme="minorHAnsi"/>
        </w:rPr>
        <w:t xml:space="preserve"> under the responsibility of the Ministry of Refugees and Resettlement of Georgia. The ministry was responsible to</w:t>
      </w:r>
      <w:r>
        <w:rPr>
          <w:rFonts w:cstheme="minorHAnsi"/>
        </w:rPr>
        <w:t>:</w:t>
      </w:r>
    </w:p>
    <w:p w14:paraId="4FAF953D" w14:textId="77777777" w:rsidR="00813727" w:rsidRDefault="00813727" w:rsidP="00454C26">
      <w:pPr>
        <w:pStyle w:val="ListParagraph"/>
        <w:numPr>
          <w:ilvl w:val="0"/>
          <w:numId w:val="3"/>
        </w:numPr>
        <w:jc w:val="both"/>
        <w:rPr>
          <w:rFonts w:cstheme="minorHAnsi"/>
        </w:rPr>
      </w:pPr>
      <w:r w:rsidRPr="00AD0300">
        <w:rPr>
          <w:rFonts w:cstheme="minorHAnsi"/>
        </w:rPr>
        <w:t>regulate migration flows</w:t>
      </w:r>
      <w:r>
        <w:rPr>
          <w:rFonts w:cstheme="minorHAnsi"/>
        </w:rPr>
        <w:t>;</w:t>
      </w:r>
    </w:p>
    <w:p w14:paraId="1DFD1C61" w14:textId="77777777" w:rsidR="00813727" w:rsidRDefault="00813727" w:rsidP="00454C26">
      <w:pPr>
        <w:pStyle w:val="ListParagraph"/>
        <w:numPr>
          <w:ilvl w:val="0"/>
          <w:numId w:val="3"/>
        </w:numPr>
        <w:jc w:val="both"/>
        <w:rPr>
          <w:rFonts w:cstheme="minorHAnsi"/>
        </w:rPr>
      </w:pPr>
      <w:r w:rsidRPr="00AD0300">
        <w:rPr>
          <w:rFonts w:cstheme="minorHAnsi"/>
        </w:rPr>
        <w:t>organize permanent or temporary settlement of IDPs and create appropr</w:t>
      </w:r>
      <w:r w:rsidRPr="00395305">
        <w:rPr>
          <w:rFonts w:cstheme="minorHAnsi"/>
        </w:rPr>
        <w:t>iate conditions to ensure their integration to the new residential environment and social security</w:t>
      </w:r>
      <w:r>
        <w:rPr>
          <w:rFonts w:cstheme="minorHAnsi"/>
        </w:rPr>
        <w:t>;</w:t>
      </w:r>
    </w:p>
    <w:p w14:paraId="12367934" w14:textId="77777777" w:rsidR="00813727" w:rsidRDefault="00813727" w:rsidP="00454C26">
      <w:pPr>
        <w:pStyle w:val="ListParagraph"/>
        <w:numPr>
          <w:ilvl w:val="0"/>
          <w:numId w:val="3"/>
        </w:numPr>
        <w:jc w:val="both"/>
        <w:rPr>
          <w:rFonts w:cstheme="minorHAnsi"/>
        </w:rPr>
      </w:pPr>
      <w:r w:rsidRPr="00AD0300">
        <w:rPr>
          <w:rFonts w:cstheme="minorHAnsi"/>
        </w:rPr>
        <w:t>implement the polic</w:t>
      </w:r>
      <w:r w:rsidRPr="00395305">
        <w:rPr>
          <w:rFonts w:cstheme="minorHAnsi"/>
        </w:rPr>
        <w:t>ies related to the proper registration of IDPs</w:t>
      </w:r>
      <w:r>
        <w:rPr>
          <w:rFonts w:cstheme="minorHAnsi"/>
        </w:rPr>
        <w:t>;</w:t>
      </w:r>
    </w:p>
    <w:p w14:paraId="4ED469B3" w14:textId="77777777" w:rsidR="00813727" w:rsidRDefault="00813727" w:rsidP="00454C26">
      <w:pPr>
        <w:pStyle w:val="ListParagraph"/>
        <w:numPr>
          <w:ilvl w:val="0"/>
          <w:numId w:val="3"/>
        </w:numPr>
        <w:jc w:val="both"/>
        <w:rPr>
          <w:rFonts w:cstheme="minorHAnsi"/>
        </w:rPr>
      </w:pPr>
      <w:r w:rsidRPr="00395305">
        <w:rPr>
          <w:rFonts w:cstheme="minorHAnsi"/>
        </w:rPr>
        <w:t xml:space="preserve">cooperate with local self-government entities and international organizations to support the process of resettlement </w:t>
      </w:r>
      <w:r>
        <w:rPr>
          <w:rFonts w:cstheme="minorHAnsi"/>
        </w:rPr>
        <w:t xml:space="preserve">of </w:t>
      </w:r>
      <w:r w:rsidRPr="00395305">
        <w:rPr>
          <w:rFonts w:cstheme="minorHAnsi"/>
        </w:rPr>
        <w:t xml:space="preserve">IDPs back to their permanent residential environment. </w:t>
      </w:r>
    </w:p>
    <w:p w14:paraId="45E7DF81" w14:textId="77777777" w:rsidR="00813727" w:rsidRPr="00395305" w:rsidRDefault="00813727" w:rsidP="00813727">
      <w:pPr>
        <w:jc w:val="both"/>
        <w:rPr>
          <w:rFonts w:cstheme="minorHAnsi"/>
        </w:rPr>
      </w:pPr>
      <w:r w:rsidRPr="00AD0300">
        <w:rPr>
          <w:rFonts w:cstheme="minorHAnsi"/>
        </w:rPr>
        <w:t>In 2018 the ministry was elimin</w:t>
      </w:r>
      <w:r w:rsidRPr="00395305">
        <w:rPr>
          <w:rFonts w:cstheme="minorHAnsi"/>
        </w:rPr>
        <w:t xml:space="preserve">ated. </w:t>
      </w:r>
    </w:p>
    <w:p w14:paraId="6B762BC8" w14:textId="77777777" w:rsidR="00813727" w:rsidRDefault="00813727" w:rsidP="00813727">
      <w:pPr>
        <w:jc w:val="both"/>
        <w:rPr>
          <w:rFonts w:cstheme="minorHAnsi"/>
          <w:lang w:val="en-GB"/>
        </w:rPr>
      </w:pPr>
      <w:r w:rsidRPr="00D11BED">
        <w:rPr>
          <w:rFonts w:cstheme="minorHAnsi"/>
        </w:rPr>
        <w:t>After the elimination of the ministry</w:t>
      </w:r>
      <w:r>
        <w:rPr>
          <w:rFonts w:cstheme="minorHAnsi"/>
        </w:rPr>
        <w:t>,</w:t>
      </w:r>
      <w:r w:rsidRPr="00D11BED">
        <w:rPr>
          <w:rFonts w:cstheme="minorHAnsi"/>
        </w:rPr>
        <w:t xml:space="preserve"> part of the responsibilities related to the settlement of IDPs </w:t>
      </w:r>
      <w:r>
        <w:rPr>
          <w:rFonts w:cstheme="minorHAnsi"/>
        </w:rPr>
        <w:t>was</w:t>
      </w:r>
      <w:r w:rsidRPr="00D11BED">
        <w:rPr>
          <w:rFonts w:cstheme="minorHAnsi"/>
        </w:rPr>
        <w:t xml:space="preserve"> delegated to the </w:t>
      </w:r>
      <w:r w:rsidRPr="006066AB">
        <w:rPr>
          <w:rFonts w:cstheme="minorHAnsi"/>
          <w:b/>
          <w:bCs/>
        </w:rPr>
        <w:t xml:space="preserve">Ministry of Internally Displaced Persons from the Occupied Territories, </w:t>
      </w:r>
      <w:proofErr w:type="spellStart"/>
      <w:r w:rsidRPr="006066AB">
        <w:rPr>
          <w:rFonts w:cstheme="minorHAnsi"/>
          <w:b/>
          <w:bCs/>
        </w:rPr>
        <w:t>Labour</w:t>
      </w:r>
      <w:proofErr w:type="spellEnd"/>
      <w:r w:rsidRPr="006066AB">
        <w:rPr>
          <w:rFonts w:cstheme="minorHAnsi"/>
          <w:b/>
          <w:bCs/>
        </w:rPr>
        <w:t>, Health and Social Affairs of Georgia (</w:t>
      </w:r>
      <w:proofErr w:type="spellStart"/>
      <w:r w:rsidRPr="006066AB">
        <w:rPr>
          <w:rFonts w:cstheme="minorHAnsi"/>
          <w:b/>
          <w:bCs/>
        </w:rPr>
        <w:t>MoLSHA</w:t>
      </w:r>
      <w:proofErr w:type="spellEnd"/>
      <w:r w:rsidRPr="006066AB">
        <w:rPr>
          <w:rFonts w:cstheme="minorHAnsi"/>
          <w:b/>
          <w:bCs/>
        </w:rPr>
        <w:t>).</w:t>
      </w:r>
      <w:r w:rsidRPr="00D11BED">
        <w:rPr>
          <w:rFonts w:cstheme="minorHAnsi"/>
        </w:rPr>
        <w:t xml:space="preserve"> The ministry decides whether t</w:t>
      </w:r>
      <w:r>
        <w:rPr>
          <w:rFonts w:cstheme="minorHAnsi"/>
        </w:rPr>
        <w:t>o give or not a status of IDP to</w:t>
      </w:r>
      <w:r w:rsidRPr="00D11BED">
        <w:rPr>
          <w:rFonts w:cstheme="minorHAnsi"/>
        </w:rPr>
        <w:t xml:space="preserve"> a person, and is obliged to ensure social and economic rights of the IDPs based on the rules that are defined under the L</w:t>
      </w:r>
      <w:r>
        <w:rPr>
          <w:rFonts w:cstheme="minorHAnsi"/>
        </w:rPr>
        <w:t>a</w:t>
      </w:r>
      <w:r w:rsidRPr="00D11BED">
        <w:rPr>
          <w:rFonts w:cstheme="minorHAnsi"/>
        </w:rPr>
        <w:t>w on Internally Displaced Pe</w:t>
      </w:r>
      <w:r>
        <w:rPr>
          <w:rFonts w:cstheme="minorHAnsi"/>
        </w:rPr>
        <w:t>rsons</w:t>
      </w:r>
      <w:r w:rsidRPr="00D11BED">
        <w:rPr>
          <w:rFonts w:cstheme="minorHAnsi"/>
        </w:rPr>
        <w:t xml:space="preserve"> of Georgia. It is also a responsibility of the ministry to provide IDPs and Eco</w:t>
      </w:r>
      <w:r>
        <w:rPr>
          <w:rFonts w:cstheme="minorHAnsi"/>
        </w:rPr>
        <w:t>-</w:t>
      </w:r>
      <w:r w:rsidRPr="00D11BED">
        <w:rPr>
          <w:rFonts w:cstheme="minorHAnsi"/>
        </w:rPr>
        <w:t xml:space="preserve">migrants with adequate shelters. </w:t>
      </w:r>
      <w:r>
        <w:rPr>
          <w:rFonts w:cstheme="minorHAnsi"/>
          <w:lang w:val="ka-GE"/>
        </w:rPr>
        <w:t xml:space="preserve"> </w:t>
      </w:r>
      <w:r>
        <w:rPr>
          <w:rFonts w:cstheme="minorHAnsi"/>
          <w:lang w:val="en-GB"/>
        </w:rPr>
        <w:t xml:space="preserve">Settlement of IDPs and Eco-migrants is the duty of the Department of IDP and Eco-Migrant Policies. </w:t>
      </w:r>
    </w:p>
    <w:p w14:paraId="2F7A8248" w14:textId="0260F686" w:rsidR="00813727" w:rsidRDefault="00813727" w:rsidP="00813727">
      <w:pPr>
        <w:jc w:val="both"/>
        <w:rPr>
          <w:rFonts w:cstheme="minorHAnsi"/>
          <w:lang w:val="en-GB"/>
        </w:rPr>
      </w:pPr>
      <w:r>
        <w:rPr>
          <w:rFonts w:cstheme="minorHAnsi"/>
          <w:lang w:val="en-GB"/>
        </w:rPr>
        <w:t xml:space="preserve">The department of the Social Protection at </w:t>
      </w:r>
      <w:proofErr w:type="spellStart"/>
      <w:r>
        <w:rPr>
          <w:rFonts w:cstheme="minorHAnsi"/>
          <w:lang w:val="en-GB"/>
        </w:rPr>
        <w:t>MoLSHA</w:t>
      </w:r>
      <w:proofErr w:type="spellEnd"/>
      <w:r>
        <w:rPr>
          <w:rFonts w:cstheme="minorHAnsi"/>
          <w:lang w:val="en-GB"/>
        </w:rPr>
        <w:t xml:space="preserve"> is responsible for defining overall policies on social assistance programs to the vulnerable groups of society, including the monetary assistance (pensions, social package, government compensation). Implementation of these programs lies with the two legal entities operating under the </w:t>
      </w:r>
      <w:proofErr w:type="spellStart"/>
      <w:r>
        <w:rPr>
          <w:rFonts w:cstheme="minorHAnsi"/>
          <w:lang w:val="en-GB"/>
        </w:rPr>
        <w:t>MoLSHA</w:t>
      </w:r>
      <w:proofErr w:type="spellEnd"/>
      <w:r>
        <w:rPr>
          <w:rFonts w:cstheme="minorHAnsi"/>
          <w:lang w:val="en-GB"/>
        </w:rPr>
        <w:t xml:space="preserve">. These are: </w:t>
      </w:r>
      <w:r w:rsidR="009E6455">
        <w:rPr>
          <w:rFonts w:cstheme="minorHAnsi"/>
          <w:lang w:val="en-GB"/>
        </w:rPr>
        <w:t>The</w:t>
      </w:r>
      <w:r>
        <w:rPr>
          <w:rFonts w:cstheme="minorHAnsi"/>
          <w:lang w:val="en-GB"/>
        </w:rPr>
        <w:t xml:space="preserve"> State Fund for Protection and Assistance of (statutory) Victims of Human Trafficking (ATIP Fund)</w:t>
      </w:r>
      <w:r>
        <w:rPr>
          <w:rStyle w:val="FootnoteReference"/>
          <w:rFonts w:cstheme="minorHAnsi"/>
          <w:lang w:val="en-GB"/>
        </w:rPr>
        <w:footnoteReference w:id="5"/>
      </w:r>
      <w:r>
        <w:rPr>
          <w:rFonts w:cstheme="minorHAnsi"/>
          <w:lang w:val="en-GB"/>
        </w:rPr>
        <w:t xml:space="preserve"> and Social Service Agency (SSA)</w:t>
      </w:r>
      <w:r>
        <w:rPr>
          <w:rStyle w:val="FootnoteReference"/>
          <w:rFonts w:cstheme="minorHAnsi"/>
          <w:lang w:val="en-GB"/>
        </w:rPr>
        <w:footnoteReference w:id="6"/>
      </w:r>
      <w:r>
        <w:rPr>
          <w:rFonts w:cstheme="minorHAnsi"/>
          <w:lang w:val="en-GB"/>
        </w:rPr>
        <w:t>. In some instances, this includes providing different types of shelters to these groups. However, the ministry is not directly responsible for the housing conditions of the general population (including homeless).</w:t>
      </w:r>
    </w:p>
    <w:p w14:paraId="09E4C9EB" w14:textId="77777777" w:rsidR="00813727" w:rsidRDefault="00813727" w:rsidP="00813727">
      <w:pPr>
        <w:jc w:val="both"/>
        <w:rPr>
          <w:rFonts w:cstheme="minorHAnsi"/>
          <w:lang w:val="en-GB"/>
        </w:rPr>
      </w:pPr>
      <w:r>
        <w:rPr>
          <w:rFonts w:cstheme="minorHAnsi"/>
        </w:rPr>
        <w:t>The</w:t>
      </w:r>
      <w:r w:rsidRPr="003D38DD">
        <w:rPr>
          <w:rFonts w:cstheme="minorHAnsi"/>
        </w:rPr>
        <w:t xml:space="preserve"> supervision of the Temporary Accommodation Center for Shelter Seekers was </w:t>
      </w:r>
      <w:r>
        <w:rPr>
          <w:rFonts w:cstheme="minorHAnsi"/>
        </w:rPr>
        <w:t xml:space="preserve">also </w:t>
      </w:r>
      <w:r w:rsidRPr="003D38DD">
        <w:rPr>
          <w:rFonts w:cstheme="minorHAnsi"/>
        </w:rPr>
        <w:t xml:space="preserve">delegated to the </w:t>
      </w:r>
      <w:proofErr w:type="spellStart"/>
      <w:r w:rsidRPr="003D38DD">
        <w:rPr>
          <w:rFonts w:cstheme="minorHAnsi"/>
        </w:rPr>
        <w:t>MoLSHA</w:t>
      </w:r>
      <w:proofErr w:type="spellEnd"/>
      <w:r w:rsidRPr="003D38DD">
        <w:rPr>
          <w:rFonts w:cstheme="minorHAnsi"/>
        </w:rPr>
        <w:t xml:space="preserve"> after the elimination of the Ministry of Refugees and Resettlement of Georgia. The center is located in </w:t>
      </w:r>
      <w:proofErr w:type="spellStart"/>
      <w:r w:rsidRPr="003D38DD">
        <w:rPr>
          <w:rFonts w:cstheme="minorHAnsi"/>
        </w:rPr>
        <w:t>Martkhopi</w:t>
      </w:r>
      <w:proofErr w:type="spellEnd"/>
      <w:r w:rsidRPr="003D38DD">
        <w:rPr>
          <w:rFonts w:cstheme="minorHAnsi"/>
        </w:rPr>
        <w:t xml:space="preserve"> and is intended for </w:t>
      </w:r>
      <w:r w:rsidRPr="00D1156F">
        <w:rPr>
          <w:rFonts w:cstheme="minorHAnsi"/>
        </w:rPr>
        <w:t>foreign asylum seekers.</w:t>
      </w:r>
      <w:r w:rsidRPr="003D38DD">
        <w:rPr>
          <w:rFonts w:cstheme="minorHAnsi"/>
        </w:rPr>
        <w:t xml:space="preserve"> The center was established in 2010 and currently can host 132 asylum seekers. </w:t>
      </w:r>
      <w:r>
        <w:rPr>
          <w:rFonts w:cstheme="minorHAnsi"/>
          <w:lang w:val="en-GB"/>
        </w:rPr>
        <w:t xml:space="preserve">When asylum seeker applies with the request to the </w:t>
      </w:r>
      <w:proofErr w:type="spellStart"/>
      <w:r>
        <w:rPr>
          <w:rFonts w:cstheme="minorHAnsi"/>
          <w:lang w:val="en-GB"/>
        </w:rPr>
        <w:t>MoLSHA</w:t>
      </w:r>
      <w:proofErr w:type="spellEnd"/>
      <w:r>
        <w:rPr>
          <w:rFonts w:cstheme="minorHAnsi"/>
          <w:lang w:val="en-GB"/>
        </w:rPr>
        <w:t xml:space="preserve"> to get a status of asylum seeker, she/he can stay in </w:t>
      </w:r>
      <w:proofErr w:type="spellStart"/>
      <w:r>
        <w:rPr>
          <w:rFonts w:cstheme="minorHAnsi"/>
          <w:lang w:val="en-GB"/>
        </w:rPr>
        <w:t>Martkopi</w:t>
      </w:r>
      <w:proofErr w:type="spellEnd"/>
      <w:r>
        <w:rPr>
          <w:rFonts w:cstheme="minorHAnsi"/>
          <w:lang w:val="en-GB"/>
        </w:rPr>
        <w:t xml:space="preserve"> shelter before </w:t>
      </w:r>
      <w:r w:rsidRPr="003D38DD">
        <w:rPr>
          <w:rFonts w:cstheme="minorHAnsi"/>
        </w:rPr>
        <w:t>the decision whether the government of Georgia gives them a shelter or not will be made</w:t>
      </w:r>
      <w:r>
        <w:rPr>
          <w:rFonts w:cstheme="minorHAnsi"/>
        </w:rPr>
        <w:t xml:space="preserve"> (maximum for 6 months). If the decision is positive, GoG will provide adequate shelter to the asylum seeker.</w:t>
      </w:r>
    </w:p>
    <w:p w14:paraId="2922F3F8" w14:textId="77777777" w:rsidR="00813727" w:rsidRDefault="00813727" w:rsidP="00813727">
      <w:pPr>
        <w:jc w:val="both"/>
        <w:rPr>
          <w:rFonts w:cstheme="minorHAnsi"/>
        </w:rPr>
      </w:pPr>
      <w:r>
        <w:rPr>
          <w:rFonts w:cstheme="minorHAnsi"/>
        </w:rPr>
        <w:lastRenderedPageBreak/>
        <w:t xml:space="preserve">The </w:t>
      </w:r>
      <w:r w:rsidRPr="006066AB">
        <w:rPr>
          <w:rFonts w:cstheme="minorHAnsi"/>
          <w:b/>
          <w:bCs/>
        </w:rPr>
        <w:t>Ministry of Regional Development and Infrastructure (MRDI)</w:t>
      </w:r>
      <w:r>
        <w:rPr>
          <w:rFonts w:cstheme="minorHAnsi"/>
        </w:rPr>
        <w:t xml:space="preserve"> </w:t>
      </w:r>
      <w:r w:rsidRPr="00B31141">
        <w:rPr>
          <w:rFonts w:cstheme="minorHAnsi"/>
        </w:rPr>
        <w:t xml:space="preserve">is </w:t>
      </w:r>
      <w:r>
        <w:rPr>
          <w:rFonts w:cstheme="minorHAnsi"/>
        </w:rPr>
        <w:t>the</w:t>
      </w:r>
      <w:r w:rsidRPr="00B31141">
        <w:rPr>
          <w:rFonts w:cstheme="minorHAnsi"/>
        </w:rPr>
        <w:t xml:space="preserve"> institution responsible for long-term infrastructur</w:t>
      </w:r>
      <w:r>
        <w:rPr>
          <w:rFonts w:cstheme="minorHAnsi"/>
        </w:rPr>
        <w:t>al</w:t>
      </w:r>
      <w:r w:rsidRPr="00B31141">
        <w:rPr>
          <w:rFonts w:cstheme="minorHAnsi"/>
        </w:rPr>
        <w:t xml:space="preserve"> projects in the count</w:t>
      </w:r>
      <w:r>
        <w:rPr>
          <w:rFonts w:cstheme="minorHAnsi"/>
        </w:rPr>
        <w:t>r</w:t>
      </w:r>
      <w:r w:rsidRPr="00B31141">
        <w:rPr>
          <w:rFonts w:cstheme="minorHAnsi"/>
        </w:rPr>
        <w:t xml:space="preserve">y. </w:t>
      </w:r>
      <w:r w:rsidRPr="00AD0300">
        <w:rPr>
          <w:rFonts w:cstheme="minorHAnsi"/>
        </w:rPr>
        <w:t>Even though</w:t>
      </w:r>
      <w:r>
        <w:rPr>
          <w:rFonts w:cstheme="minorHAnsi"/>
        </w:rPr>
        <w:t xml:space="preserve"> </w:t>
      </w:r>
      <w:r w:rsidRPr="00AD0300">
        <w:rPr>
          <w:rFonts w:cstheme="minorHAnsi"/>
        </w:rPr>
        <w:t>infrastructur</w:t>
      </w:r>
      <w:r>
        <w:rPr>
          <w:rFonts w:cstheme="minorHAnsi"/>
        </w:rPr>
        <w:t>al</w:t>
      </w:r>
      <w:r w:rsidRPr="00AD0300">
        <w:rPr>
          <w:rFonts w:cstheme="minorHAnsi"/>
        </w:rPr>
        <w:t xml:space="preserve"> projects implemented by the MRDI can significantly improve the residential environment, the ministry is n</w:t>
      </w:r>
      <w:r w:rsidRPr="00395305">
        <w:rPr>
          <w:rFonts w:cstheme="minorHAnsi"/>
        </w:rPr>
        <w:t xml:space="preserve">ot directly responsible for solving the unstable housing problems </w:t>
      </w:r>
      <w:r>
        <w:rPr>
          <w:rFonts w:cstheme="minorHAnsi"/>
        </w:rPr>
        <w:t>in</w:t>
      </w:r>
      <w:r w:rsidRPr="00AD0300">
        <w:rPr>
          <w:rFonts w:cstheme="minorHAnsi"/>
        </w:rPr>
        <w:t xml:space="preserve"> the </w:t>
      </w:r>
      <w:r>
        <w:rPr>
          <w:rFonts w:cstheme="minorHAnsi"/>
        </w:rPr>
        <w:t>country.</w:t>
      </w:r>
      <w:r w:rsidRPr="00AD0300">
        <w:rPr>
          <w:rFonts w:cstheme="minorHAnsi"/>
        </w:rPr>
        <w:t xml:space="preserve"> </w:t>
      </w:r>
      <w:r>
        <w:rPr>
          <w:rFonts w:cstheme="minorHAnsi"/>
        </w:rPr>
        <w:t>The MRDI operates the Municipal Development Fund (MDF) of Georgia (founded in 1997), whose main objective is to assist local self-governments by:</w:t>
      </w:r>
    </w:p>
    <w:p w14:paraId="3CF64264" w14:textId="77777777" w:rsidR="00813727" w:rsidRPr="00395305" w:rsidRDefault="00813727" w:rsidP="00454C26">
      <w:pPr>
        <w:pStyle w:val="ListParagraph"/>
        <w:numPr>
          <w:ilvl w:val="0"/>
          <w:numId w:val="6"/>
        </w:numPr>
        <w:jc w:val="both"/>
        <w:rPr>
          <w:rFonts w:cstheme="minorHAnsi"/>
        </w:rPr>
      </w:pPr>
      <w:r w:rsidRPr="00395305">
        <w:rPr>
          <w:rFonts w:cstheme="minorHAnsi"/>
        </w:rPr>
        <w:t xml:space="preserve">enhancing </w:t>
      </w:r>
      <w:r>
        <w:rPr>
          <w:rFonts w:cstheme="minorHAnsi"/>
        </w:rPr>
        <w:t xml:space="preserve">their </w:t>
      </w:r>
      <w:r w:rsidRPr="00395305">
        <w:rPr>
          <w:rFonts w:cstheme="minorHAnsi"/>
        </w:rPr>
        <w:t>institutional and financial capacities;</w:t>
      </w:r>
    </w:p>
    <w:p w14:paraId="4E5DD33D" w14:textId="77777777" w:rsidR="00813727" w:rsidRPr="00395305" w:rsidRDefault="00813727" w:rsidP="00454C26">
      <w:pPr>
        <w:pStyle w:val="ListParagraph"/>
        <w:numPr>
          <w:ilvl w:val="0"/>
          <w:numId w:val="6"/>
        </w:numPr>
        <w:jc w:val="both"/>
        <w:rPr>
          <w:rFonts w:cstheme="minorHAnsi"/>
        </w:rPr>
      </w:pPr>
      <w:r w:rsidRPr="00395305">
        <w:rPr>
          <w:rFonts w:cstheme="minorHAnsi"/>
        </w:rPr>
        <w:t>making investments in local infrastructure and services;</w:t>
      </w:r>
    </w:p>
    <w:p w14:paraId="007DADFF" w14:textId="77777777" w:rsidR="00813727" w:rsidRPr="00395305" w:rsidRDefault="00813727" w:rsidP="00454C26">
      <w:pPr>
        <w:pStyle w:val="ListParagraph"/>
        <w:numPr>
          <w:ilvl w:val="0"/>
          <w:numId w:val="6"/>
        </w:numPr>
        <w:jc w:val="both"/>
        <w:rPr>
          <w:rFonts w:cstheme="minorHAnsi"/>
        </w:rPr>
      </w:pPr>
      <w:r w:rsidRPr="00395305">
        <w:rPr>
          <w:rFonts w:cstheme="minorHAnsi"/>
        </w:rPr>
        <w:t xml:space="preserve">improving the socio-economic conditions </w:t>
      </w:r>
      <w:r>
        <w:rPr>
          <w:rFonts w:cstheme="minorHAnsi"/>
        </w:rPr>
        <w:t>of</w:t>
      </w:r>
      <w:r w:rsidRPr="00395305">
        <w:rPr>
          <w:rFonts w:cstheme="minorHAnsi"/>
        </w:rPr>
        <w:t xml:space="preserve"> the local population. </w:t>
      </w:r>
    </w:p>
    <w:p w14:paraId="7088B326" w14:textId="77777777" w:rsidR="00813727" w:rsidRDefault="00813727" w:rsidP="00813727">
      <w:pPr>
        <w:jc w:val="both"/>
        <w:rPr>
          <w:rFonts w:cstheme="minorHAnsi"/>
        </w:rPr>
      </w:pPr>
      <w:r>
        <w:rPr>
          <w:rFonts w:cstheme="minorHAnsi"/>
        </w:rPr>
        <w:t xml:space="preserve">Also in this case, even though </w:t>
      </w:r>
      <w:r w:rsidRPr="006066AB">
        <w:rPr>
          <w:rFonts w:cstheme="minorHAnsi"/>
          <w:b/>
          <w:bCs/>
        </w:rPr>
        <w:t>local municipalities</w:t>
      </w:r>
      <w:r>
        <w:rPr>
          <w:rFonts w:cstheme="minorHAnsi"/>
        </w:rPr>
        <w:t xml:space="preserve"> have a delegated responsibility to provide shelters for homeless people, it is not clearly defined among the objectives of MDF to support local municipalities in devoting funds for building social houses, shelters for homeless people or help municipalities to provide temporary shelters to those in need. The responsibilities of MDF include implementing infrastructural projects related to the rehabilitation of cultural heritage, building or renovation of public schools and kindergartens, renovation of sports infrastructure, construction and/or rehabilitations of the roads. As of today, the existing list of the projects implemented/planned by MDF does not include any project related to the construction shelters and social houses for the vulnerable groups of the local population.</w:t>
      </w:r>
    </w:p>
    <w:p w14:paraId="474DBCC1" w14:textId="77777777" w:rsidR="00813727" w:rsidRPr="00D74D8C" w:rsidRDefault="00813727" w:rsidP="00813727">
      <w:pPr>
        <w:jc w:val="both"/>
        <w:rPr>
          <w:rFonts w:cstheme="minorHAnsi"/>
          <w:lang w:val="en-GB"/>
        </w:rPr>
      </w:pPr>
      <w:r w:rsidRPr="00D74D8C">
        <w:rPr>
          <w:rFonts w:cstheme="minorHAnsi"/>
          <w:lang w:val="en-GB"/>
        </w:rPr>
        <w:t xml:space="preserve">Other institutions that might not directly linked to the social housing provision but can significantly affect the stability of housing for citizens are the following: </w:t>
      </w:r>
      <w:r w:rsidRPr="00D74D8C">
        <w:rPr>
          <w:rFonts w:cstheme="minorHAnsi"/>
          <w:bCs/>
          <w:lang w:val="en-GB"/>
        </w:rPr>
        <w:t>The National Bureau of Enforcement</w:t>
      </w:r>
      <w:r w:rsidRPr="00C40F3F">
        <w:rPr>
          <w:rFonts w:cstheme="minorHAnsi"/>
          <w:lang w:val="en-GB"/>
        </w:rPr>
        <w:t xml:space="preserve">, </w:t>
      </w:r>
      <w:r w:rsidRPr="00D74D8C">
        <w:rPr>
          <w:rFonts w:cstheme="minorHAnsi"/>
          <w:bCs/>
        </w:rPr>
        <w:t xml:space="preserve">The National Agency of State Property (NASP). </w:t>
      </w:r>
      <w:r w:rsidRPr="00D74D8C">
        <w:rPr>
          <w:bCs/>
        </w:rPr>
        <w:t xml:space="preserve">The department of construction policy, under </w:t>
      </w:r>
      <w:r w:rsidRPr="00D74D8C">
        <w:rPr>
          <w:rFonts w:ascii="Sylfaen" w:hAnsi="Sylfaen"/>
          <w:bCs/>
        </w:rPr>
        <w:t>t</w:t>
      </w:r>
      <w:r w:rsidRPr="00D74D8C">
        <w:rPr>
          <w:bCs/>
        </w:rPr>
        <w:t>he Ministry of Economy and Sustainable Development</w:t>
      </w:r>
      <w:r w:rsidRPr="00C40F3F">
        <w:t xml:space="preserve">, </w:t>
      </w:r>
      <w:r w:rsidRPr="00D74D8C">
        <w:rPr>
          <w:rFonts w:cstheme="minorHAnsi"/>
          <w:bCs/>
        </w:rPr>
        <w:t>The National Bank of Georgia</w:t>
      </w:r>
    </w:p>
    <w:p w14:paraId="0C4F188D" w14:textId="77777777" w:rsidR="00813727" w:rsidRDefault="00813727" w:rsidP="00813727">
      <w:pPr>
        <w:jc w:val="both"/>
        <w:rPr>
          <w:rFonts w:cstheme="minorHAnsi"/>
          <w:lang w:val="en-GB"/>
        </w:rPr>
      </w:pPr>
      <w:r w:rsidRPr="006066AB">
        <w:rPr>
          <w:rFonts w:cstheme="minorHAnsi"/>
          <w:b/>
          <w:bCs/>
          <w:lang w:val="en-GB"/>
        </w:rPr>
        <w:t>The National Bureau of Enforcement</w:t>
      </w:r>
      <w:r>
        <w:rPr>
          <w:rFonts w:cstheme="minorHAnsi"/>
          <w:lang w:val="en-GB"/>
        </w:rPr>
        <w:t xml:space="preserve">, operating Under the Ministry of Justice has the responsibility to enforce the decisions made by the courts, by administrative entities and other decisions taken on the basis of the Georgian legislation. The activities organized by the bureau include the eviction from houses based on the request of the creditors, following which the immovable property is subject to be sold on an auction. Before the enforcement of the decision the bureau informs debtors about the court verdict and gives them time to pay their credits in order to avoid the risk of eviction. </w:t>
      </w:r>
    </w:p>
    <w:p w14:paraId="516D83EE" w14:textId="77777777" w:rsidR="00813727" w:rsidRDefault="00813727" w:rsidP="00813727">
      <w:pPr>
        <w:jc w:val="both"/>
        <w:rPr>
          <w:rFonts w:cstheme="minorHAnsi"/>
        </w:rPr>
      </w:pPr>
      <w:r w:rsidRPr="006066AB">
        <w:rPr>
          <w:rFonts w:cstheme="minorHAnsi"/>
          <w:b/>
          <w:bCs/>
        </w:rPr>
        <w:t>The National Agency of State Property (NASP)</w:t>
      </w:r>
      <w:r>
        <w:rPr>
          <w:rFonts w:cstheme="minorHAnsi"/>
        </w:rPr>
        <w:t xml:space="preserve"> falls under the Ministry of Economy and Sustainable Development of Georgia and is responsible to regulate the procedures related to the privatization of the state property, transfer of the legal rights to use the state property and manage the companies which are established with the government shareholdings to private representatives. The main responsibilities of the agency include registration of state-owned property, transfer of property into temporary possession, registration of immovable property in the Public Registry, implementation of necessary activities to transfer state property into the procession of local municipalities. </w:t>
      </w:r>
    </w:p>
    <w:p w14:paraId="716B2FD4" w14:textId="77777777" w:rsidR="00813727" w:rsidRPr="003D38DD" w:rsidRDefault="00813727" w:rsidP="00813727">
      <w:pPr>
        <w:jc w:val="both"/>
      </w:pPr>
      <w:r w:rsidRPr="006066AB">
        <w:rPr>
          <w:b/>
          <w:bCs/>
        </w:rPr>
        <w:t xml:space="preserve">The department of construction policy, under </w:t>
      </w:r>
      <w:r w:rsidRPr="006066AB">
        <w:rPr>
          <w:rFonts w:ascii="Sylfaen" w:hAnsi="Sylfaen"/>
          <w:b/>
          <w:bCs/>
        </w:rPr>
        <w:t>t</w:t>
      </w:r>
      <w:r w:rsidRPr="006066AB">
        <w:rPr>
          <w:b/>
          <w:bCs/>
        </w:rPr>
        <w:t>he Ministry of Economy and Sustainable Development</w:t>
      </w:r>
      <w:r w:rsidRPr="003D38DD">
        <w:t>, is responsible for:</w:t>
      </w:r>
    </w:p>
    <w:p w14:paraId="3816C736" w14:textId="77777777" w:rsidR="00813727" w:rsidRPr="003D38DD" w:rsidRDefault="00813727" w:rsidP="00454C26">
      <w:pPr>
        <w:pStyle w:val="ListParagraph"/>
        <w:numPr>
          <w:ilvl w:val="0"/>
          <w:numId w:val="5"/>
        </w:numPr>
        <w:jc w:val="both"/>
        <w:rPr>
          <w:rFonts w:cstheme="minorHAnsi"/>
        </w:rPr>
      </w:pPr>
      <w:r w:rsidRPr="003D38DD">
        <w:rPr>
          <w:rFonts w:cstheme="minorHAnsi"/>
        </w:rPr>
        <w:t xml:space="preserve">elaborating, implementing and monitoring </w:t>
      </w:r>
      <w:r>
        <w:rPr>
          <w:rFonts w:cstheme="minorHAnsi"/>
        </w:rPr>
        <w:t xml:space="preserve">the implementation of the </w:t>
      </w:r>
      <w:r w:rsidRPr="003D38DD">
        <w:rPr>
          <w:rFonts w:cstheme="minorHAnsi"/>
        </w:rPr>
        <w:t xml:space="preserve">spatial planning policy in the country; </w:t>
      </w:r>
    </w:p>
    <w:p w14:paraId="5CE52B5F" w14:textId="77777777" w:rsidR="00813727" w:rsidRPr="00F33681" w:rsidRDefault="00813727" w:rsidP="00454C26">
      <w:pPr>
        <w:pStyle w:val="ListParagraph"/>
        <w:numPr>
          <w:ilvl w:val="0"/>
          <w:numId w:val="5"/>
        </w:numPr>
        <w:jc w:val="both"/>
        <w:rPr>
          <w:rFonts w:cstheme="minorHAnsi"/>
          <w:lang w:val="en-GB"/>
        </w:rPr>
      </w:pPr>
      <w:r w:rsidRPr="003D38DD">
        <w:rPr>
          <w:rFonts w:cstheme="minorHAnsi"/>
        </w:rPr>
        <w:t xml:space="preserve">providing recommendations and proposals in order to improve housing conditions based on relevant research outcomes. </w:t>
      </w:r>
    </w:p>
    <w:p w14:paraId="5EBDC3A9" w14:textId="77777777" w:rsidR="00813727" w:rsidRDefault="00813727" w:rsidP="00813727">
      <w:pPr>
        <w:jc w:val="both"/>
        <w:rPr>
          <w:rFonts w:cstheme="minorHAnsi"/>
        </w:rPr>
      </w:pPr>
      <w:r w:rsidRPr="006066AB">
        <w:rPr>
          <w:rFonts w:cstheme="minorHAnsi"/>
          <w:b/>
          <w:bCs/>
        </w:rPr>
        <w:lastRenderedPageBreak/>
        <w:t>The National Bank of Georgia</w:t>
      </w:r>
      <w:r>
        <w:rPr>
          <w:rFonts w:cstheme="minorHAnsi"/>
        </w:rPr>
        <w:t xml:space="preserve"> is the institution regulating activities in the banking sector. Even thought that they do not have direct responsibilities related to the social housing provision in Georgia, NBG regulates the process of getting/giving </w:t>
      </w:r>
      <w:r w:rsidRPr="00FC3BAF">
        <w:rPr>
          <w:rFonts w:cstheme="minorHAnsi"/>
        </w:rPr>
        <w:t xml:space="preserve">loans </w:t>
      </w:r>
      <w:r>
        <w:rPr>
          <w:rFonts w:cstheme="minorHAnsi"/>
        </w:rPr>
        <w:t>that can significantly affect the affordability of housing for the potential customers.</w:t>
      </w:r>
    </w:p>
    <w:p w14:paraId="310816AB" w14:textId="77777777" w:rsidR="00813727" w:rsidRPr="00395305" w:rsidRDefault="00813727" w:rsidP="00813727">
      <w:pPr>
        <w:jc w:val="both"/>
        <w:rPr>
          <w:rFonts w:cstheme="minorHAnsi"/>
        </w:rPr>
      </w:pPr>
      <w:r w:rsidRPr="003D38DD">
        <w:rPr>
          <w:rFonts w:cstheme="minorHAnsi"/>
        </w:rPr>
        <w:t>According to the Strategy for Socio-Economic Development 2020</w:t>
      </w:r>
      <w:r w:rsidRPr="003D38DD">
        <w:rPr>
          <w:rFonts w:cstheme="minorHAnsi"/>
          <w:lang w:val="ka-GE"/>
        </w:rPr>
        <w:t xml:space="preserve"> </w:t>
      </w:r>
      <w:r w:rsidRPr="003D38DD">
        <w:rPr>
          <w:rFonts w:cstheme="minorHAnsi"/>
        </w:rPr>
        <w:t xml:space="preserve">the goal of the Government of Georgia is to create dignified life and working conditions for each citizen. However, the strategy does not specify any specific goals regarding the achievement of better housing conditions for those who live in inadequate or unstable housing conditions, nor </w:t>
      </w:r>
      <w:r>
        <w:rPr>
          <w:rFonts w:cstheme="minorHAnsi"/>
        </w:rPr>
        <w:t>about the provision of</w:t>
      </w:r>
      <w:r w:rsidRPr="003D38DD">
        <w:rPr>
          <w:rFonts w:cstheme="minorHAnsi"/>
        </w:rPr>
        <w:t xml:space="preserve"> shelters for homeless people.</w:t>
      </w:r>
      <w:r w:rsidRPr="00395305">
        <w:rPr>
          <w:rFonts w:cstheme="minorHAnsi"/>
        </w:rPr>
        <w:t xml:space="preserve"> </w:t>
      </w:r>
    </w:p>
    <w:p w14:paraId="1E5A63A8" w14:textId="77777777" w:rsidR="00813727" w:rsidRDefault="00813727" w:rsidP="00813727">
      <w:pPr>
        <w:pStyle w:val="Heading3"/>
        <w:jc w:val="both"/>
      </w:pPr>
      <w:r>
        <w:t>Programs implemented by the Government of Georgia</w:t>
      </w:r>
    </w:p>
    <w:p w14:paraId="0CADED17" w14:textId="77777777" w:rsidR="00813727" w:rsidRDefault="00813727" w:rsidP="00813727">
      <w:pPr>
        <w:jc w:val="both"/>
        <w:rPr>
          <w:lang w:val="en-GB"/>
        </w:rPr>
      </w:pPr>
      <w:r>
        <w:rPr>
          <w:lang w:val="en-GB"/>
        </w:rPr>
        <w:t>The Government of Georgia (GoG) in cooperation with state agencies is implementing several projects in order to mitigate the problem of homelessness in the country. The GoG implements the projects to support different groups of society: IDPs, Eco-Migrants, homeless/roofless people, children without parental care, elderly people and etc.</w:t>
      </w:r>
    </w:p>
    <w:p w14:paraId="076D42A8" w14:textId="77777777" w:rsidR="00813727" w:rsidRDefault="00813727" w:rsidP="00813727">
      <w:pPr>
        <w:jc w:val="both"/>
        <w:rPr>
          <w:lang w:val="en-GB"/>
        </w:rPr>
      </w:pPr>
      <w:r>
        <w:rPr>
          <w:lang w:val="en-GB"/>
        </w:rPr>
        <w:t>Among the people who face the problem of unstable housing the most vulnerable group are homeless and roofless people. As it is already discussed above, it is a responsibility of local municipalities to register and provide homeless people with adequate shelters. The registration of the homeless people is done in most of the municipalities (but not in all of them)</w:t>
      </w:r>
      <w:r>
        <w:rPr>
          <w:rStyle w:val="FootnoteReference"/>
          <w:lang w:val="en-GB"/>
        </w:rPr>
        <w:footnoteReference w:id="7"/>
      </w:r>
      <w:r>
        <w:rPr>
          <w:lang w:val="en-GB"/>
        </w:rPr>
        <w:t xml:space="preserve">. However, there is no unified methodology, or approach to define a person and/or household homeless. In addition, not all the municipalities (even the ones which provide the registration of homelessness) can offer adequate support to the citizens. The programs implemented by the municipalities are different across the regions. </w:t>
      </w:r>
      <w:r w:rsidRPr="006066AB">
        <w:rPr>
          <w:b/>
          <w:bCs/>
          <w:lang w:val="en-GB"/>
        </w:rPr>
        <w:t>Some municipalities pay certain amount of money to the households on the monthly basis in order to rent a house</w:t>
      </w:r>
      <w:r>
        <w:rPr>
          <w:lang w:val="en-GB"/>
        </w:rPr>
        <w:t xml:space="preserve"> (in most of the cases monthly payment does not exceed GEL 100). </w:t>
      </w:r>
      <w:r w:rsidRPr="006066AB">
        <w:rPr>
          <w:b/>
          <w:bCs/>
          <w:lang w:val="en-GB"/>
        </w:rPr>
        <w:t>Others offer</w:t>
      </w:r>
      <w:r>
        <w:rPr>
          <w:lang w:val="en-GB"/>
        </w:rPr>
        <w:t xml:space="preserve"> </w:t>
      </w:r>
      <w:r w:rsidRPr="006066AB">
        <w:rPr>
          <w:b/>
          <w:bCs/>
          <w:lang w:val="en-GB"/>
        </w:rPr>
        <w:t>spaces</w:t>
      </w:r>
      <w:r>
        <w:rPr>
          <w:lang w:val="en-GB"/>
        </w:rPr>
        <w:t xml:space="preserve"> as temporary shelter. Lastly, </w:t>
      </w:r>
      <w:r w:rsidRPr="006066AB">
        <w:rPr>
          <w:b/>
          <w:bCs/>
          <w:lang w:val="en-GB"/>
        </w:rPr>
        <w:t>several municipalities implement the program which supports families to build or purchase the house</w:t>
      </w:r>
      <w:r>
        <w:rPr>
          <w:lang w:val="en-GB"/>
        </w:rPr>
        <w:t xml:space="preserve">, which will be under their disposal. </w:t>
      </w:r>
    </w:p>
    <w:p w14:paraId="05A2DC76" w14:textId="1B9947A7" w:rsidR="00813727" w:rsidRDefault="00813727" w:rsidP="00813727">
      <w:pPr>
        <w:jc w:val="both"/>
        <w:rPr>
          <w:rFonts w:cstheme="minorHAnsi"/>
        </w:rPr>
      </w:pPr>
      <w:r>
        <w:rPr>
          <w:lang w:val="en-GB"/>
        </w:rPr>
        <w:t xml:space="preserve">Tbilisi and Batumi offer the night shelters for homeless people (only to those registered homeless who are living under the administrative borders of that particular municipality). </w:t>
      </w:r>
      <w:r w:rsidRPr="005B0E22">
        <w:rPr>
          <w:rFonts w:cstheme="minorHAnsi"/>
        </w:rPr>
        <w:t>In the shelter beneficiaries are provided with the basic hygienic service and food.</w:t>
      </w:r>
      <w:r>
        <w:rPr>
          <w:rFonts w:cstheme="minorHAnsi"/>
        </w:rPr>
        <w:t xml:space="preserve"> However, shelters are never full at their maximum capacity </w:t>
      </w:r>
      <w:r w:rsidRPr="005B0E22">
        <w:rPr>
          <w:rFonts w:cstheme="minorHAnsi"/>
        </w:rPr>
        <w:t xml:space="preserve">due to the fact that as beneficiaries report, </w:t>
      </w:r>
      <w:r w:rsidRPr="006066AB">
        <w:rPr>
          <w:rFonts w:cstheme="minorHAnsi"/>
          <w:u w:val="single"/>
        </w:rPr>
        <w:t>they do not find such shelters comfortable and suitable for their needs</w:t>
      </w:r>
      <w:r>
        <w:rPr>
          <w:rFonts w:cstheme="minorHAnsi"/>
        </w:rPr>
        <w:t>.</w:t>
      </w:r>
      <w:r w:rsidRPr="005B0E22">
        <w:rPr>
          <w:rFonts w:cstheme="minorHAnsi"/>
        </w:rPr>
        <w:t xml:space="preserve"> </w:t>
      </w:r>
      <w:r>
        <w:rPr>
          <w:rFonts w:cstheme="minorHAnsi"/>
        </w:rPr>
        <w:t>E</w:t>
      </w:r>
      <w:r w:rsidRPr="005B0E22">
        <w:rPr>
          <w:rFonts w:cstheme="minorHAnsi"/>
        </w:rPr>
        <w:t xml:space="preserve">specially </w:t>
      </w:r>
      <w:r>
        <w:rPr>
          <w:rFonts w:cstheme="minorHAnsi"/>
        </w:rPr>
        <w:t>due to</w:t>
      </w:r>
      <w:r w:rsidRPr="005B0E22">
        <w:rPr>
          <w:rFonts w:cstheme="minorHAnsi"/>
        </w:rPr>
        <w:t xml:space="preserve"> the strict internal rules</w:t>
      </w:r>
      <w:r>
        <w:rPr>
          <w:rFonts w:cstheme="minorHAnsi"/>
        </w:rPr>
        <w:t xml:space="preserve"> </w:t>
      </w:r>
      <w:r w:rsidRPr="005B0E22">
        <w:rPr>
          <w:rFonts w:cstheme="minorHAnsi"/>
        </w:rPr>
        <w:t>they prefer to refuse assistance and leave the shelter.</w:t>
      </w:r>
      <w:sdt>
        <w:sdtPr>
          <w:rPr>
            <w:rFonts w:cstheme="minorHAnsi"/>
          </w:rPr>
          <w:id w:val="-2068635206"/>
          <w:citation/>
        </w:sdtPr>
        <w:sdtEndPr/>
        <w:sdtContent>
          <w:r>
            <w:rPr>
              <w:rFonts w:cstheme="minorHAnsi"/>
            </w:rPr>
            <w:fldChar w:fldCharType="begin"/>
          </w:r>
          <w:r>
            <w:rPr>
              <w:rFonts w:cstheme="minorHAnsi"/>
              <w:lang w:val="en-GB"/>
            </w:rPr>
            <w:instrText xml:space="preserve">CITATION Hum16 \l 2057 </w:instrText>
          </w:r>
          <w:r>
            <w:rPr>
              <w:rFonts w:cstheme="minorHAnsi"/>
            </w:rPr>
            <w:fldChar w:fldCharType="separate"/>
          </w:r>
          <w:r>
            <w:rPr>
              <w:rFonts w:cstheme="minorHAnsi"/>
              <w:noProof/>
              <w:lang w:val="en-GB"/>
            </w:rPr>
            <w:t xml:space="preserve"> </w:t>
          </w:r>
          <w:r w:rsidRPr="00D74D8C">
            <w:rPr>
              <w:rFonts w:cstheme="minorHAnsi"/>
              <w:noProof/>
              <w:lang w:val="en-GB"/>
            </w:rPr>
            <w:t>(Human Rights Education and Monitoring Center, 2016)</w:t>
          </w:r>
          <w:r>
            <w:rPr>
              <w:rFonts w:cstheme="minorHAnsi"/>
            </w:rPr>
            <w:fldChar w:fldCharType="end"/>
          </w:r>
        </w:sdtContent>
      </w:sdt>
      <w:r>
        <w:rPr>
          <w:rFonts w:cstheme="minorHAnsi"/>
        </w:rPr>
        <w:t xml:space="preserve">. </w:t>
      </w:r>
      <w:r w:rsidRPr="005B0E22">
        <w:rPr>
          <w:rFonts w:cstheme="minorHAnsi"/>
        </w:rPr>
        <w:t xml:space="preserve">Usually the timing of stay in the shelter for homeless people is not predefined. One of the most important </w:t>
      </w:r>
      <w:r>
        <w:rPr>
          <w:rFonts w:cstheme="minorHAnsi"/>
        </w:rPr>
        <w:t>conditions</w:t>
      </w:r>
      <w:r w:rsidRPr="005B0E22">
        <w:rPr>
          <w:rFonts w:cstheme="minorHAnsi"/>
        </w:rPr>
        <w:t xml:space="preserve"> to be accepted in the shelter is that a person should not ask for a shelter with family (oriented only on the individuals)</w:t>
      </w:r>
      <w:r>
        <w:rPr>
          <w:rFonts w:cstheme="minorHAnsi"/>
        </w:rPr>
        <w:t>. Furthermore,</w:t>
      </w:r>
      <w:r w:rsidRPr="005B0E22">
        <w:rPr>
          <w:rFonts w:cstheme="minorHAnsi"/>
        </w:rPr>
        <w:t xml:space="preserve"> </w:t>
      </w:r>
      <w:r>
        <w:rPr>
          <w:rFonts w:cstheme="minorHAnsi"/>
        </w:rPr>
        <w:t>people with</w:t>
      </w:r>
      <w:r w:rsidRPr="005B0E22">
        <w:rPr>
          <w:rFonts w:cstheme="minorHAnsi"/>
        </w:rPr>
        <w:t xml:space="preserve"> mental or physical disabilities (requir</w:t>
      </w:r>
      <w:r>
        <w:rPr>
          <w:rFonts w:cstheme="minorHAnsi"/>
        </w:rPr>
        <w:t>ing</w:t>
      </w:r>
      <w:r w:rsidRPr="005B0E22">
        <w:rPr>
          <w:rFonts w:cstheme="minorHAnsi"/>
        </w:rPr>
        <w:t xml:space="preserve"> special treatment) </w:t>
      </w:r>
      <w:r>
        <w:rPr>
          <w:rFonts w:cstheme="minorHAnsi"/>
        </w:rPr>
        <w:t>are</w:t>
      </w:r>
      <w:r w:rsidRPr="005B0E22">
        <w:rPr>
          <w:rFonts w:cstheme="minorHAnsi"/>
        </w:rPr>
        <w:t xml:space="preserve"> not allowed to become a beneficiary of the center</w:t>
      </w:r>
      <w:r>
        <w:rPr>
          <w:rStyle w:val="FootnoteReference"/>
          <w:rFonts w:cstheme="minorHAnsi"/>
        </w:rPr>
        <w:footnoteReference w:id="8"/>
      </w:r>
      <w:r>
        <w:rPr>
          <w:rFonts w:cstheme="minorHAnsi"/>
        </w:rPr>
        <w:t xml:space="preserve">. Lastly, </w:t>
      </w:r>
      <w:r w:rsidRPr="005B0E22">
        <w:rPr>
          <w:rFonts w:cstheme="minorHAnsi"/>
        </w:rPr>
        <w:t xml:space="preserve">the person should not own any real estate property under his/her legal disposal. </w:t>
      </w:r>
      <w:r>
        <w:rPr>
          <w:rFonts w:cstheme="minorHAnsi"/>
        </w:rPr>
        <w:t xml:space="preserve">Notably, even </w:t>
      </w:r>
      <w:r w:rsidR="009E6455">
        <w:rPr>
          <w:rFonts w:cstheme="minorHAnsi"/>
        </w:rPr>
        <w:t>though</w:t>
      </w:r>
      <w:r>
        <w:rPr>
          <w:rFonts w:cstheme="minorHAnsi"/>
        </w:rPr>
        <w:t xml:space="preserve"> it is a responsibility of municipalities to provide shelters to the homeless people, many of the shelters for houseless people are functioning under the support of Non-Government Organizations (NGOs) or international donor organization forms. </w:t>
      </w:r>
    </w:p>
    <w:p w14:paraId="53F03B89" w14:textId="48A14B63" w:rsidR="00813727" w:rsidRDefault="00813727" w:rsidP="00813727">
      <w:pPr>
        <w:jc w:val="both"/>
        <w:rPr>
          <w:rFonts w:cstheme="minorHAnsi"/>
        </w:rPr>
      </w:pPr>
      <w:r>
        <w:rPr>
          <w:rFonts w:cstheme="minorHAnsi"/>
        </w:rPr>
        <w:t xml:space="preserve">Local municipalities also provide the service of Social Housing to the homeless families under the program of </w:t>
      </w:r>
      <w:r w:rsidRPr="00185E14">
        <w:rPr>
          <w:rFonts w:cstheme="minorHAnsi"/>
          <w:i/>
        </w:rPr>
        <w:t>Social Housing in a Positive Environment</w:t>
      </w:r>
      <w:r w:rsidRPr="00D11BED">
        <w:rPr>
          <w:rFonts w:cstheme="minorHAnsi"/>
          <w:i/>
        </w:rPr>
        <w:t>.</w:t>
      </w:r>
      <w:r w:rsidRPr="00D11BED">
        <w:rPr>
          <w:rFonts w:cstheme="minorHAnsi"/>
        </w:rPr>
        <w:t xml:space="preserve"> The initiator of the program was Swiss </w:t>
      </w:r>
      <w:r w:rsidRPr="00D11BED">
        <w:rPr>
          <w:rFonts w:cstheme="minorHAnsi"/>
        </w:rPr>
        <w:lastRenderedPageBreak/>
        <w:t>Development and Cooperation Agency (SDC). The primary goal of the project was</w:t>
      </w:r>
      <w:r>
        <w:rPr>
          <w:rFonts w:cstheme="minorHAnsi"/>
        </w:rPr>
        <w:t xml:space="preserve"> to provide homeless people or vulnerable local or IDP population with </w:t>
      </w:r>
      <w:r w:rsidRPr="006066AB">
        <w:rPr>
          <w:rFonts w:cstheme="minorHAnsi"/>
          <w:u w:val="single"/>
        </w:rPr>
        <w:t>sustainable long-term dwellings</w:t>
      </w:r>
      <w:r>
        <w:rPr>
          <w:rFonts w:cstheme="minorHAnsi"/>
        </w:rPr>
        <w:t xml:space="preserve">. </w:t>
      </w:r>
      <w:r w:rsidRPr="00D11BED">
        <w:rPr>
          <w:rFonts w:cstheme="minorHAnsi"/>
        </w:rPr>
        <w:t>SDC started building social houses in several cities of Georgia: Tbilisi, Kutaisi, Gori, Zugdidi, Rustavi</w:t>
      </w:r>
      <w:r w:rsidR="005A66BB">
        <w:rPr>
          <w:rFonts w:cstheme="minorHAnsi"/>
        </w:rPr>
        <w:t>, Batumi and Bolnisi.</w:t>
      </w:r>
      <w:r w:rsidRPr="00D11BED">
        <w:rPr>
          <w:rFonts w:cstheme="minorHAnsi"/>
        </w:rPr>
        <w:t xml:space="preserve"> After finishing the construction all social dwellings were transferred in</w:t>
      </w:r>
      <w:r>
        <w:rPr>
          <w:rFonts w:cstheme="minorHAnsi"/>
        </w:rPr>
        <w:t>to</w:t>
      </w:r>
      <w:r w:rsidRPr="00D11BED">
        <w:rPr>
          <w:rFonts w:cstheme="minorHAnsi"/>
        </w:rPr>
        <w:t xml:space="preserve"> ownership of respective municipalit</w:t>
      </w:r>
      <w:r>
        <w:rPr>
          <w:rFonts w:cstheme="minorHAnsi"/>
        </w:rPr>
        <w:t>ies</w:t>
      </w:r>
      <w:r w:rsidRPr="00D11BED">
        <w:rPr>
          <w:rFonts w:cstheme="minorHAnsi"/>
        </w:rPr>
        <w:t>. The beneficiaries</w:t>
      </w:r>
      <w:r>
        <w:rPr>
          <w:rFonts w:cstheme="minorHAnsi"/>
        </w:rPr>
        <w:t xml:space="preserve"> of the social houses</w:t>
      </w:r>
      <w:r w:rsidRPr="00D11BED">
        <w:rPr>
          <w:rFonts w:cstheme="minorHAnsi"/>
        </w:rPr>
        <w:t xml:space="preserve"> were selected based on the application requesting for social dwelling submitted </w:t>
      </w:r>
      <w:r>
        <w:rPr>
          <w:rFonts w:cstheme="minorHAnsi"/>
        </w:rPr>
        <w:t xml:space="preserve">to the respective municipality. </w:t>
      </w:r>
      <w:r w:rsidRPr="00D11BED">
        <w:rPr>
          <w:rFonts w:cstheme="minorHAnsi"/>
        </w:rPr>
        <w:t xml:space="preserve">Once selected, beneficiary household signs a short-term contract with the local self-government. According to the contract, </w:t>
      </w:r>
      <w:r w:rsidRPr="006066AB">
        <w:rPr>
          <w:rFonts w:cstheme="minorHAnsi"/>
          <w:u w:val="single"/>
        </w:rPr>
        <w:t>the beneficiary is provided with a fully equipped individual apartment without rental fees. However, all service expenses (e.g. electricity, gas, water, etc.) are to be covered by the tenant</w:t>
      </w:r>
      <w:r w:rsidRPr="00D11BED">
        <w:rPr>
          <w:rFonts w:cstheme="minorHAnsi"/>
        </w:rPr>
        <w:t xml:space="preserve">. Duration of the contract varies by municipality; for example, in Tbilisi social housing contracts are for 10 years. However, the </w:t>
      </w:r>
      <w:r w:rsidRPr="006066AB">
        <w:rPr>
          <w:rFonts w:cstheme="minorHAnsi"/>
          <w:u w:val="single"/>
        </w:rPr>
        <w:t>economic situation of each household living in the social housing is evaluated annually</w:t>
      </w:r>
      <w:r w:rsidRPr="00D11BED">
        <w:rPr>
          <w:rFonts w:cstheme="minorHAnsi"/>
        </w:rPr>
        <w:t xml:space="preserve"> for continued eligibility; when the socio-economic status of the household improves so that </w:t>
      </w:r>
      <w:r>
        <w:rPr>
          <w:rFonts w:cstheme="minorHAnsi"/>
        </w:rPr>
        <w:t>they</w:t>
      </w:r>
      <w:r w:rsidRPr="00D11BED">
        <w:rPr>
          <w:rFonts w:cstheme="minorHAnsi"/>
        </w:rPr>
        <w:t xml:space="preserve"> might live in market-rate housing, beneficiaries are asked </w:t>
      </w:r>
      <w:r>
        <w:rPr>
          <w:rFonts w:cstheme="minorHAnsi"/>
        </w:rPr>
        <w:t xml:space="preserve">to </w:t>
      </w:r>
      <w:r w:rsidRPr="00D11BED">
        <w:rPr>
          <w:rFonts w:cstheme="minorHAnsi"/>
        </w:rPr>
        <w:t>leave the social housing</w:t>
      </w:r>
      <w:r>
        <w:rPr>
          <w:rFonts w:cstheme="minorHAnsi"/>
        </w:rPr>
        <w:t xml:space="preserve"> </w:t>
      </w:r>
      <w:sdt>
        <w:sdtPr>
          <w:rPr>
            <w:rFonts w:cstheme="minorHAnsi"/>
          </w:rPr>
          <w:id w:val="2111765251"/>
          <w:citation/>
        </w:sdtPr>
        <w:sdtEndPr/>
        <w:sdtContent>
          <w:r>
            <w:rPr>
              <w:rFonts w:cstheme="minorHAnsi"/>
            </w:rPr>
            <w:fldChar w:fldCharType="begin"/>
          </w:r>
          <w:r>
            <w:rPr>
              <w:rFonts w:cstheme="minorHAnsi"/>
              <w:lang w:val="en-GB"/>
            </w:rPr>
            <w:instrText xml:space="preserve"> CITATION Swi15 \l 2057 </w:instrText>
          </w:r>
          <w:r>
            <w:rPr>
              <w:rFonts w:cstheme="minorHAnsi"/>
            </w:rPr>
            <w:fldChar w:fldCharType="separate"/>
          </w:r>
          <w:r w:rsidRPr="0060317C">
            <w:rPr>
              <w:rFonts w:cstheme="minorHAnsi"/>
              <w:noProof/>
              <w:lang w:val="en-GB"/>
            </w:rPr>
            <w:t>(Swiss Agency for Developmen Cooperation (SDC), 2015)</w:t>
          </w:r>
          <w:r>
            <w:rPr>
              <w:rFonts w:cstheme="minorHAnsi"/>
            </w:rPr>
            <w:fldChar w:fldCharType="end"/>
          </w:r>
        </w:sdtContent>
      </w:sdt>
      <w:r>
        <w:rPr>
          <w:rFonts w:cstheme="minorHAnsi"/>
        </w:rPr>
        <w:t>.</w:t>
      </w:r>
    </w:p>
    <w:p w14:paraId="4228D81A" w14:textId="77777777" w:rsidR="00813727" w:rsidRDefault="00813727" w:rsidP="00813727">
      <w:pPr>
        <w:jc w:val="both"/>
        <w:rPr>
          <w:rFonts w:cstheme="minorHAnsi"/>
        </w:rPr>
      </w:pPr>
      <w:r>
        <w:rPr>
          <w:rFonts w:cstheme="minorHAnsi"/>
        </w:rPr>
        <w:t xml:space="preserve">The agencies which fall under the </w:t>
      </w:r>
      <w:proofErr w:type="spellStart"/>
      <w:r>
        <w:rPr>
          <w:rFonts w:cstheme="minorHAnsi"/>
        </w:rPr>
        <w:t>MoLSHA</w:t>
      </w:r>
      <w:proofErr w:type="spellEnd"/>
      <w:r>
        <w:rPr>
          <w:rFonts w:cstheme="minorHAnsi"/>
        </w:rPr>
        <w:t xml:space="preserve"> are responsible for the institutional shelters that are intended for different groups of society. For example, several big institutional shelters are operated under the ATIP Fund. These include:</w:t>
      </w:r>
    </w:p>
    <w:p w14:paraId="33F7356A" w14:textId="77777777" w:rsidR="00813727" w:rsidRPr="003D38DD" w:rsidRDefault="00813727" w:rsidP="00454C26">
      <w:pPr>
        <w:pStyle w:val="ListParagraph"/>
        <w:numPr>
          <w:ilvl w:val="0"/>
          <w:numId w:val="9"/>
        </w:numPr>
        <w:jc w:val="both"/>
        <w:rPr>
          <w:rFonts w:cstheme="minorHAnsi"/>
          <w:lang w:val="ka-GE"/>
        </w:rPr>
      </w:pPr>
      <w:r w:rsidRPr="003D38DD">
        <w:rPr>
          <w:rFonts w:cstheme="minorHAnsi"/>
          <w:b/>
          <w:lang w:val="en-GB"/>
        </w:rPr>
        <w:t xml:space="preserve">Houses for children with disabilities and without care – </w:t>
      </w:r>
      <w:r w:rsidRPr="003D38DD">
        <w:rPr>
          <w:rFonts w:cstheme="minorHAnsi"/>
          <w:lang w:val="en-GB"/>
        </w:rPr>
        <w:t>Currently there are two institutions</w:t>
      </w:r>
      <w:r>
        <w:rPr>
          <w:rFonts w:cstheme="minorHAnsi"/>
          <w:lang w:val="en-GB"/>
        </w:rPr>
        <w:t xml:space="preserve"> –</w:t>
      </w:r>
      <w:r w:rsidRPr="003D38DD">
        <w:rPr>
          <w:rFonts w:cstheme="minorHAnsi"/>
          <w:lang w:val="en-GB"/>
        </w:rPr>
        <w:t xml:space="preserve"> Tbilisi Infant House and </w:t>
      </w:r>
      <w:proofErr w:type="spellStart"/>
      <w:r w:rsidRPr="003D38DD">
        <w:rPr>
          <w:rFonts w:cstheme="minorHAnsi"/>
          <w:lang w:val="en-GB"/>
        </w:rPr>
        <w:t>Kojori</w:t>
      </w:r>
      <w:proofErr w:type="spellEnd"/>
      <w:r w:rsidRPr="003D38DD">
        <w:rPr>
          <w:rFonts w:cstheme="minorHAnsi"/>
          <w:lang w:val="en-GB"/>
        </w:rPr>
        <w:t xml:space="preserve"> Disabled Children’s House – functioning under the supervision of ATIP </w:t>
      </w:r>
      <w:r>
        <w:rPr>
          <w:rFonts w:cstheme="minorHAnsi"/>
          <w:lang w:val="en-GB"/>
        </w:rPr>
        <w:t>F</w:t>
      </w:r>
      <w:r w:rsidRPr="003D38DD">
        <w:rPr>
          <w:rFonts w:cstheme="minorHAnsi"/>
          <w:lang w:val="en-GB"/>
        </w:rPr>
        <w:t>und.  A child without parental care under the age seven is subject of enrolment in Tbilisi infant house. The services</w:t>
      </w:r>
      <w:r w:rsidRPr="003D38DD">
        <w:rPr>
          <w:rStyle w:val="FootnoteReference"/>
          <w:rFonts w:cstheme="minorHAnsi"/>
          <w:lang w:val="en-GB"/>
        </w:rPr>
        <w:footnoteReference w:id="9"/>
      </w:r>
      <w:r w:rsidRPr="003D38DD">
        <w:rPr>
          <w:rFonts w:cstheme="minorHAnsi"/>
          <w:lang w:val="en-GB"/>
        </w:rPr>
        <w:t xml:space="preserve"> provided in the children’s house are fully funded by the state. Children with acute infectious disease, active form of tuberculous and syphilis, acute disease of central nervous system are not eligible to be enrolled in Tbilisi Children’s House. Children at the age of 7-18 without parental care are subject to be enrolled in </w:t>
      </w:r>
      <w:proofErr w:type="spellStart"/>
      <w:r w:rsidRPr="003D38DD">
        <w:rPr>
          <w:rFonts w:cstheme="minorHAnsi"/>
          <w:lang w:val="en-GB"/>
        </w:rPr>
        <w:t>Kojori</w:t>
      </w:r>
      <w:proofErr w:type="spellEnd"/>
      <w:r w:rsidRPr="003D38DD">
        <w:rPr>
          <w:rFonts w:cstheme="minorHAnsi"/>
          <w:lang w:val="en-GB"/>
        </w:rPr>
        <w:t xml:space="preserve"> Disabled Children’s House. The enrolment conditions are similar to the ones in Tbilisi children’s House. The most problematic issue regarding the children houses is the fact that after the age of 18 children have to leave the shelters, meaning that most of them are potentially homeless. </w:t>
      </w:r>
    </w:p>
    <w:p w14:paraId="2DC8E06D" w14:textId="77777777" w:rsidR="00813727" w:rsidRPr="003D38DD" w:rsidRDefault="00813727" w:rsidP="00813727">
      <w:pPr>
        <w:pStyle w:val="ListParagraph"/>
        <w:jc w:val="both"/>
        <w:rPr>
          <w:rFonts w:cstheme="minorHAnsi"/>
          <w:lang w:val="ka-GE"/>
        </w:rPr>
      </w:pPr>
    </w:p>
    <w:p w14:paraId="0E5682ED" w14:textId="77777777" w:rsidR="00813727" w:rsidRPr="003D38DD" w:rsidRDefault="00813727" w:rsidP="00454C26">
      <w:pPr>
        <w:pStyle w:val="ListParagraph"/>
        <w:numPr>
          <w:ilvl w:val="0"/>
          <w:numId w:val="9"/>
        </w:numPr>
        <w:jc w:val="both"/>
        <w:rPr>
          <w:rFonts w:cstheme="minorHAnsi"/>
          <w:b/>
          <w:lang w:val="en-GB"/>
        </w:rPr>
      </w:pPr>
      <w:r w:rsidRPr="003D38DD">
        <w:rPr>
          <w:rFonts w:cstheme="minorHAnsi"/>
          <w:b/>
          <w:lang w:val="en-GB"/>
        </w:rPr>
        <w:t xml:space="preserve">Boarding Houses for persons with disabilities – </w:t>
      </w:r>
      <w:r w:rsidRPr="005F0A46">
        <w:rPr>
          <w:rFonts w:cstheme="minorHAnsi"/>
          <w:lang w:val="en-GB"/>
        </w:rPr>
        <w:t>T</w:t>
      </w:r>
      <w:r w:rsidRPr="003D38DD">
        <w:rPr>
          <w:rFonts w:cstheme="minorHAnsi"/>
          <w:lang w:val="en-GB"/>
        </w:rPr>
        <w:t xml:space="preserve">here are three boarding houses functioning under the supervision of ATIP Fund: </w:t>
      </w:r>
      <w:proofErr w:type="spellStart"/>
      <w:r w:rsidRPr="003D38DD">
        <w:rPr>
          <w:rFonts w:cstheme="minorHAnsi"/>
          <w:lang w:val="en-GB"/>
        </w:rPr>
        <w:t>Ma</w:t>
      </w:r>
      <w:r>
        <w:rPr>
          <w:rFonts w:cstheme="minorHAnsi"/>
          <w:lang w:val="en-GB"/>
        </w:rPr>
        <w:t>r</w:t>
      </w:r>
      <w:r w:rsidRPr="003D38DD">
        <w:rPr>
          <w:rFonts w:cstheme="minorHAnsi"/>
          <w:lang w:val="en-GB"/>
        </w:rPr>
        <w:t>tkhopi</w:t>
      </w:r>
      <w:proofErr w:type="spellEnd"/>
      <w:r w:rsidRPr="003D38DD">
        <w:rPr>
          <w:rFonts w:cstheme="minorHAnsi"/>
          <w:lang w:val="en-GB"/>
        </w:rPr>
        <w:t xml:space="preserve">, </w:t>
      </w:r>
      <w:proofErr w:type="spellStart"/>
      <w:r w:rsidRPr="003D38DD">
        <w:rPr>
          <w:rFonts w:cstheme="minorHAnsi"/>
          <w:lang w:val="en-GB"/>
        </w:rPr>
        <w:t>Dusheti</w:t>
      </w:r>
      <w:proofErr w:type="spellEnd"/>
      <w:r w:rsidRPr="003D38DD">
        <w:rPr>
          <w:rFonts w:cstheme="minorHAnsi"/>
          <w:lang w:val="en-GB"/>
        </w:rPr>
        <w:t xml:space="preserve"> and </w:t>
      </w:r>
      <w:proofErr w:type="spellStart"/>
      <w:r w:rsidRPr="003D38DD">
        <w:rPr>
          <w:rFonts w:cstheme="minorHAnsi"/>
          <w:lang w:val="en-GB"/>
        </w:rPr>
        <w:t>Dzev</w:t>
      </w:r>
      <w:r>
        <w:rPr>
          <w:rFonts w:cstheme="minorHAnsi"/>
          <w:lang w:val="en-GB"/>
        </w:rPr>
        <w:t>r</w:t>
      </w:r>
      <w:r w:rsidRPr="003D38DD">
        <w:rPr>
          <w:rFonts w:cstheme="minorHAnsi"/>
          <w:lang w:val="en-GB"/>
        </w:rPr>
        <w:t>i</w:t>
      </w:r>
      <w:proofErr w:type="spellEnd"/>
      <w:r w:rsidRPr="003D38DD">
        <w:rPr>
          <w:rFonts w:cstheme="minorHAnsi"/>
          <w:lang w:val="en-GB"/>
        </w:rPr>
        <w:t xml:space="preserve"> boarding houses. In </w:t>
      </w:r>
      <w:proofErr w:type="spellStart"/>
      <w:r w:rsidRPr="003D38DD">
        <w:rPr>
          <w:rFonts w:cstheme="minorHAnsi"/>
          <w:lang w:val="en-GB"/>
        </w:rPr>
        <w:t>Martkhopi</w:t>
      </w:r>
      <w:proofErr w:type="spellEnd"/>
      <w:r w:rsidRPr="003D38DD">
        <w:rPr>
          <w:rFonts w:cstheme="minorHAnsi"/>
          <w:lang w:val="en-GB"/>
        </w:rPr>
        <w:t xml:space="preserve"> and </w:t>
      </w:r>
      <w:proofErr w:type="spellStart"/>
      <w:r w:rsidRPr="003D38DD">
        <w:rPr>
          <w:rFonts w:cstheme="minorHAnsi"/>
          <w:lang w:val="en-GB"/>
        </w:rPr>
        <w:t>Dzevri</w:t>
      </w:r>
      <w:proofErr w:type="spellEnd"/>
      <w:r w:rsidRPr="003D38DD">
        <w:rPr>
          <w:rFonts w:cstheme="minorHAnsi"/>
          <w:lang w:val="en-GB"/>
        </w:rPr>
        <w:t xml:space="preserve"> boarding houses adult persons with disabilities and with a status of having clearly and significantly restricted capacities due to other mental disorders are supposed to be enrolled. Persons with disabilities (mental disorders F70.1</w:t>
      </w:r>
      <w:r>
        <w:rPr>
          <w:rStyle w:val="FootnoteReference"/>
          <w:rFonts w:cstheme="minorHAnsi"/>
          <w:lang w:val="en-GB"/>
        </w:rPr>
        <w:footnoteReference w:id="10"/>
      </w:r>
      <w:r w:rsidRPr="003D38DD">
        <w:rPr>
          <w:rFonts w:cstheme="minorHAnsi"/>
          <w:lang w:val="en-GB"/>
        </w:rPr>
        <w:t xml:space="preserve"> and physical disabilities) are subject to be enrolled in </w:t>
      </w:r>
      <w:proofErr w:type="spellStart"/>
      <w:r w:rsidRPr="003D38DD">
        <w:rPr>
          <w:rFonts w:cstheme="minorHAnsi"/>
          <w:lang w:val="en-GB"/>
        </w:rPr>
        <w:t>Dusheti</w:t>
      </w:r>
      <w:proofErr w:type="spellEnd"/>
      <w:r w:rsidRPr="003D38DD">
        <w:rPr>
          <w:rFonts w:cstheme="minorHAnsi"/>
          <w:lang w:val="en-GB"/>
        </w:rPr>
        <w:t xml:space="preserve"> boarding house. </w:t>
      </w:r>
    </w:p>
    <w:p w14:paraId="27E982F5" w14:textId="77777777" w:rsidR="00813727" w:rsidRPr="003D38DD" w:rsidRDefault="00813727" w:rsidP="00813727">
      <w:pPr>
        <w:pStyle w:val="ListParagraph"/>
        <w:jc w:val="both"/>
        <w:rPr>
          <w:rFonts w:cstheme="minorHAnsi"/>
          <w:b/>
          <w:lang w:val="en-GB"/>
        </w:rPr>
      </w:pPr>
    </w:p>
    <w:p w14:paraId="4451C812" w14:textId="77777777" w:rsidR="00813727" w:rsidRPr="003D38DD" w:rsidRDefault="00813727" w:rsidP="00454C26">
      <w:pPr>
        <w:pStyle w:val="ListParagraph"/>
        <w:numPr>
          <w:ilvl w:val="0"/>
          <w:numId w:val="9"/>
        </w:numPr>
        <w:jc w:val="both"/>
        <w:rPr>
          <w:rFonts w:ascii="Calibri" w:eastAsia="Calibri" w:hAnsi="Calibri" w:cs="Calibri"/>
          <w:lang w:val="en-GB"/>
        </w:rPr>
      </w:pPr>
      <w:r w:rsidRPr="003D38DD">
        <w:rPr>
          <w:rFonts w:cstheme="minorHAnsi"/>
          <w:b/>
          <w:lang w:val="en-GB"/>
        </w:rPr>
        <w:t xml:space="preserve">Boarding Houses for Elderly </w:t>
      </w:r>
      <w:r w:rsidRPr="003D38DD">
        <w:rPr>
          <w:rFonts w:cstheme="minorHAnsi"/>
          <w:b/>
          <w:lang w:val="en-GB"/>
        </w:rPr>
        <w:softHyphen/>
        <w:t xml:space="preserve">– </w:t>
      </w:r>
      <w:r w:rsidRPr="003D38DD">
        <w:rPr>
          <w:rFonts w:cstheme="minorHAnsi"/>
          <w:lang w:val="en-GB"/>
        </w:rPr>
        <w:t xml:space="preserve">Two Elderly Houses (In Kutaisi and Tbilisi) are operating under ATIP </w:t>
      </w:r>
      <w:r>
        <w:rPr>
          <w:rFonts w:cstheme="minorHAnsi"/>
          <w:lang w:val="en-GB"/>
        </w:rPr>
        <w:t>F</w:t>
      </w:r>
      <w:r w:rsidRPr="003D38DD">
        <w:rPr>
          <w:rFonts w:cstheme="minorHAnsi"/>
          <w:lang w:val="en-GB"/>
        </w:rPr>
        <w:t xml:space="preserve">und. </w:t>
      </w:r>
      <w:r w:rsidRPr="003D38DD">
        <w:rPr>
          <w:rFonts w:ascii="Calibri" w:eastAsia="Calibri" w:hAnsi="Calibri" w:cs="Calibri"/>
          <w:lang w:val="en-GB"/>
        </w:rPr>
        <w:t>The conditions to be admitted in the elderly house as a beneficiary are the following:</w:t>
      </w:r>
    </w:p>
    <w:p w14:paraId="107536EE" w14:textId="77777777" w:rsidR="00813727" w:rsidRPr="003D38DD" w:rsidRDefault="00813727" w:rsidP="00454C26">
      <w:pPr>
        <w:numPr>
          <w:ilvl w:val="0"/>
          <w:numId w:val="10"/>
        </w:numPr>
        <w:ind w:left="1134" w:firstLine="0"/>
        <w:contextualSpacing/>
        <w:jc w:val="both"/>
        <w:rPr>
          <w:rFonts w:ascii="Calibri" w:eastAsia="Calibri" w:hAnsi="Calibri" w:cs="Calibri"/>
          <w:lang w:val="en-GB"/>
        </w:rPr>
      </w:pPr>
      <w:r w:rsidRPr="003D38DD">
        <w:rPr>
          <w:rFonts w:ascii="Calibri" w:eastAsia="Calibri" w:hAnsi="Calibri" w:cs="Calibri"/>
          <w:lang w:val="en-GB"/>
        </w:rPr>
        <w:lastRenderedPageBreak/>
        <w:t xml:space="preserve">Any person (men at the age of 65 or more and women at the age of 60 or more) can become a beneficiary of the boarding house, </w:t>
      </w:r>
      <w:r>
        <w:rPr>
          <w:rFonts w:ascii="Calibri" w:eastAsia="Calibri" w:hAnsi="Calibri" w:cs="Calibri"/>
          <w:lang w:val="en-GB"/>
        </w:rPr>
        <w:t>if</w:t>
      </w:r>
      <w:r w:rsidRPr="003D38DD">
        <w:rPr>
          <w:rFonts w:ascii="Calibri" w:eastAsia="Calibri" w:hAnsi="Calibri" w:cs="Calibri"/>
          <w:lang w:val="en-GB"/>
        </w:rPr>
        <w:t xml:space="preserve"> she/he does not have any mental health problems.</w:t>
      </w:r>
    </w:p>
    <w:p w14:paraId="7BC8FA82" w14:textId="77777777" w:rsidR="00813727" w:rsidRDefault="00813727" w:rsidP="00454C26">
      <w:pPr>
        <w:numPr>
          <w:ilvl w:val="0"/>
          <w:numId w:val="10"/>
        </w:numPr>
        <w:ind w:left="1134" w:firstLine="0"/>
        <w:contextualSpacing/>
        <w:jc w:val="both"/>
        <w:rPr>
          <w:rFonts w:ascii="Calibri" w:eastAsia="Calibri" w:hAnsi="Calibri" w:cs="Calibri"/>
          <w:lang w:val="en-GB"/>
        </w:rPr>
      </w:pPr>
      <w:r w:rsidRPr="003D38DD">
        <w:rPr>
          <w:rFonts w:ascii="Calibri" w:eastAsia="Calibri" w:hAnsi="Calibri" w:cs="Calibri"/>
          <w:lang w:val="en-GB"/>
        </w:rPr>
        <w:t>Persons with the communicable diseases such as tuberculosis, Syphilis</w:t>
      </w:r>
      <w:r w:rsidRPr="003D38DD">
        <w:rPr>
          <w:rFonts w:ascii="Calibri" w:eastAsia="Calibri" w:hAnsi="Calibri" w:cs="Calibri"/>
          <w:lang w:val="ka-GE"/>
        </w:rPr>
        <w:t xml:space="preserve">, Contagious skin disease </w:t>
      </w:r>
      <w:r w:rsidRPr="003D38DD">
        <w:rPr>
          <w:rFonts w:ascii="Calibri" w:eastAsia="Calibri" w:hAnsi="Calibri" w:cs="Calibri"/>
          <w:lang w:val="en-GB"/>
        </w:rPr>
        <w:t xml:space="preserve">and also persons with acute disease of the central nervous system cannot become a beneficiary of the boarding hose. </w:t>
      </w:r>
    </w:p>
    <w:p w14:paraId="683F5A50" w14:textId="77777777" w:rsidR="00813727" w:rsidRPr="003D38DD" w:rsidRDefault="00813727" w:rsidP="00813727">
      <w:pPr>
        <w:ind w:left="1134"/>
        <w:contextualSpacing/>
        <w:jc w:val="both"/>
        <w:rPr>
          <w:rFonts w:ascii="Calibri" w:eastAsia="Calibri" w:hAnsi="Calibri" w:cs="Calibri"/>
          <w:lang w:val="en-GB"/>
        </w:rPr>
      </w:pPr>
    </w:p>
    <w:p w14:paraId="6178B076" w14:textId="77777777" w:rsidR="00813727" w:rsidRDefault="00813727" w:rsidP="00813727">
      <w:pPr>
        <w:jc w:val="both"/>
        <w:rPr>
          <w:rFonts w:ascii="Calibri" w:eastAsia="Calibri" w:hAnsi="Calibri" w:cs="Calibri"/>
          <w:lang w:val="en-GB"/>
        </w:rPr>
      </w:pPr>
      <w:r w:rsidRPr="006066AB">
        <w:rPr>
          <w:rFonts w:ascii="Calibri" w:eastAsia="Calibri" w:hAnsi="Calibri" w:cs="Calibri"/>
          <w:u w:val="single"/>
          <w:lang w:val="en-GB"/>
        </w:rPr>
        <w:t>In order to get a shelter in the boarding house a person should apply to the Social Service Agency with the written request.</w:t>
      </w:r>
      <w:r w:rsidRPr="003D38DD">
        <w:rPr>
          <w:rFonts w:ascii="Calibri" w:eastAsia="Calibri" w:hAnsi="Calibri" w:cs="Calibri"/>
          <w:lang w:val="en-GB"/>
        </w:rPr>
        <w:t xml:space="preserve"> </w:t>
      </w:r>
      <w:r>
        <w:rPr>
          <w:rFonts w:ascii="Calibri" w:eastAsia="Calibri" w:hAnsi="Calibri" w:cs="Calibri"/>
          <w:lang w:val="en-GB"/>
        </w:rPr>
        <w:t xml:space="preserve">There is no pre-defined time limit to stay in the shelter. </w:t>
      </w:r>
      <w:r w:rsidRPr="003D38DD">
        <w:rPr>
          <w:rFonts w:ascii="Calibri" w:eastAsia="Calibri" w:hAnsi="Calibri" w:cs="Calibri"/>
          <w:lang w:val="en-GB"/>
        </w:rPr>
        <w:t>The decision about accepting a beneficiary or no</w:t>
      </w:r>
      <w:r>
        <w:rPr>
          <w:rFonts w:ascii="Calibri" w:eastAsia="Calibri" w:hAnsi="Calibri" w:cs="Calibri"/>
          <w:lang w:val="en-GB"/>
        </w:rPr>
        <w:t>t</w:t>
      </w:r>
      <w:r w:rsidRPr="003D38DD">
        <w:rPr>
          <w:rFonts w:ascii="Calibri" w:eastAsia="Calibri" w:hAnsi="Calibri" w:cs="Calibri"/>
          <w:lang w:val="en-GB"/>
        </w:rPr>
        <w:t xml:space="preserve"> is made by the regional council. The council is also responsible to decide whether a beneficiary receives a service free of charge or not. </w:t>
      </w:r>
    </w:p>
    <w:p w14:paraId="6E16934E" w14:textId="77777777" w:rsidR="00813727" w:rsidRPr="00B6275B" w:rsidRDefault="00813727" w:rsidP="00813727">
      <w:pPr>
        <w:jc w:val="both"/>
        <w:rPr>
          <w:rFonts w:cstheme="minorHAnsi"/>
        </w:rPr>
      </w:pPr>
      <w:r w:rsidRPr="00B6275B">
        <w:rPr>
          <w:rFonts w:cstheme="minorHAnsi"/>
        </w:rPr>
        <w:t>According to the decree of the Government of Georgia (#22, Jan 27,2010) the amount of the subsidy for the elderly person to receive a boarding house shelter service is determined in the following way:</w:t>
      </w:r>
    </w:p>
    <w:p w14:paraId="731DFB83" w14:textId="77777777" w:rsidR="00813727" w:rsidRPr="00B6275B" w:rsidRDefault="00813727" w:rsidP="00454C26">
      <w:pPr>
        <w:pStyle w:val="ListParagraph"/>
        <w:numPr>
          <w:ilvl w:val="0"/>
          <w:numId w:val="14"/>
        </w:numPr>
        <w:ind w:left="1276"/>
        <w:jc w:val="both"/>
        <w:rPr>
          <w:rFonts w:cstheme="minorHAnsi"/>
        </w:rPr>
      </w:pPr>
      <w:r w:rsidRPr="00B6275B">
        <w:rPr>
          <w:rFonts w:cstheme="minorHAnsi"/>
        </w:rPr>
        <w:t xml:space="preserve">If elderly person comes from the socially vulnerable family, which has a social ranking score no more than 57,000, she/he receives the service for free, the government is subsidizing the payments through 600 Gel, monthly.   </w:t>
      </w:r>
    </w:p>
    <w:p w14:paraId="6046CB3F" w14:textId="77777777" w:rsidR="00813727" w:rsidRPr="00B6275B" w:rsidRDefault="00813727" w:rsidP="00454C26">
      <w:pPr>
        <w:pStyle w:val="ListParagraph"/>
        <w:numPr>
          <w:ilvl w:val="0"/>
          <w:numId w:val="14"/>
        </w:numPr>
        <w:ind w:left="1276"/>
        <w:jc w:val="both"/>
        <w:rPr>
          <w:rFonts w:cstheme="minorHAnsi"/>
        </w:rPr>
      </w:pPr>
      <w:r w:rsidRPr="00B6275B">
        <w:rPr>
          <w:rFonts w:cstheme="minorHAnsi"/>
        </w:rPr>
        <w:t xml:space="preserve">If the social ranking score of the beneficiary is in the range of 57,001-70,001 the government subsidizes 510 Gel of the monthly payment of the boarding house and the rest (90 Gel) has to be paid by the beneficiary. </w:t>
      </w:r>
    </w:p>
    <w:p w14:paraId="16F01711" w14:textId="77777777" w:rsidR="00813727" w:rsidRPr="00B6275B" w:rsidRDefault="00813727" w:rsidP="00454C26">
      <w:pPr>
        <w:pStyle w:val="ListParagraph"/>
        <w:numPr>
          <w:ilvl w:val="0"/>
          <w:numId w:val="14"/>
        </w:numPr>
        <w:ind w:left="1276"/>
        <w:jc w:val="both"/>
        <w:rPr>
          <w:rFonts w:cstheme="minorHAnsi"/>
        </w:rPr>
      </w:pPr>
      <w:r w:rsidRPr="00B6275B">
        <w:rPr>
          <w:rFonts w:cstheme="minorHAnsi"/>
        </w:rPr>
        <w:t xml:space="preserve">If the social ranking score of the beneficiary is in the range of 70,001-100,001 the government subsidizes only 450 GEL of the fee and the beneficiary pays 150 Gel monthly. </w:t>
      </w:r>
    </w:p>
    <w:p w14:paraId="13B19F3A" w14:textId="77777777" w:rsidR="00813727" w:rsidRPr="00B6275B" w:rsidRDefault="00813727" w:rsidP="00454C26">
      <w:pPr>
        <w:pStyle w:val="ListParagraph"/>
        <w:numPr>
          <w:ilvl w:val="0"/>
          <w:numId w:val="14"/>
        </w:numPr>
        <w:ind w:left="1276"/>
        <w:jc w:val="both"/>
        <w:rPr>
          <w:rFonts w:cstheme="minorHAnsi"/>
        </w:rPr>
      </w:pPr>
      <w:r w:rsidRPr="00B6275B">
        <w:rPr>
          <w:rFonts w:cstheme="minorHAnsi"/>
        </w:rPr>
        <w:t xml:space="preserve">If beneficiaries are moved to the Tbilisi or Kutaisi Elderly Boarding House from other government subsidized institution their service fee will be financed by the government </w:t>
      </w:r>
    </w:p>
    <w:p w14:paraId="20362274" w14:textId="77777777" w:rsidR="00813727" w:rsidRDefault="00813727" w:rsidP="00454C26">
      <w:pPr>
        <w:pStyle w:val="ListParagraph"/>
        <w:numPr>
          <w:ilvl w:val="0"/>
          <w:numId w:val="14"/>
        </w:numPr>
        <w:ind w:left="1276"/>
        <w:jc w:val="both"/>
        <w:rPr>
          <w:rFonts w:cstheme="minorHAnsi"/>
        </w:rPr>
      </w:pPr>
      <w:r w:rsidRPr="00B6275B">
        <w:rPr>
          <w:rFonts w:cstheme="minorHAnsi"/>
        </w:rPr>
        <w:t xml:space="preserve">The beneficiaries who are not included in any of the above-mentioned categories have to pay the total service fee on their own – 600 Gel, monthly. </w:t>
      </w:r>
    </w:p>
    <w:p w14:paraId="57D48053" w14:textId="77777777" w:rsidR="00813727" w:rsidRPr="003D38DD" w:rsidRDefault="00813727" w:rsidP="00813727">
      <w:pPr>
        <w:jc w:val="both"/>
        <w:rPr>
          <w:rFonts w:cstheme="minorHAnsi"/>
        </w:rPr>
      </w:pPr>
      <w:r w:rsidRPr="00A7332D">
        <w:rPr>
          <w:rFonts w:cstheme="minorHAnsi"/>
        </w:rPr>
        <w:t>Beside the pub</w:t>
      </w:r>
      <w:r w:rsidRPr="007B4C31">
        <w:rPr>
          <w:rFonts w:cstheme="minorHAnsi"/>
        </w:rPr>
        <w:t>licly financed boarding houses for elderly people there are several private boarding houses, or shelters for elderly people financed by the international donor organizations. The conditions to be accepted as a beneficiary of the shelter is different for ea</w:t>
      </w:r>
      <w:r w:rsidRPr="00940B0A">
        <w:rPr>
          <w:rFonts w:cstheme="minorHAnsi"/>
        </w:rPr>
        <w:t>ch organization. If the shelter is financed by the international organization, they might require a beneficiary not to have a property under her/his disposal or a person who will take care</w:t>
      </w:r>
      <w:r>
        <w:rPr>
          <w:rFonts w:cstheme="minorHAnsi"/>
        </w:rPr>
        <w:t xml:space="preserve"> of</w:t>
      </w:r>
      <w:r w:rsidRPr="00940B0A">
        <w:rPr>
          <w:rFonts w:cstheme="minorHAnsi"/>
        </w:rPr>
        <w:t xml:space="preserve"> him/her. In private shelters for elderly people minimum service fee is a 50% of the pension of the beneficiary. Service fee increases depending on the conditions and services the shelter can provide to the beneficiary. </w:t>
      </w:r>
    </w:p>
    <w:p w14:paraId="0E4BD53C" w14:textId="77777777" w:rsidR="00813727" w:rsidRPr="003D38DD" w:rsidRDefault="00813727" w:rsidP="00454C26">
      <w:pPr>
        <w:pStyle w:val="ListParagraph"/>
        <w:numPr>
          <w:ilvl w:val="0"/>
          <w:numId w:val="11"/>
        </w:numPr>
        <w:jc w:val="both"/>
        <w:rPr>
          <w:rFonts w:ascii="Calibri" w:eastAsia="Calibri" w:hAnsi="Calibri" w:cs="Calibri"/>
          <w:lang w:val="en-GB"/>
        </w:rPr>
      </w:pPr>
      <w:r w:rsidRPr="003D38DD">
        <w:rPr>
          <w:rFonts w:ascii="Calibri" w:eastAsia="Calibri" w:hAnsi="Calibri" w:cs="Calibri"/>
          <w:b/>
          <w:lang w:val="en-GB"/>
        </w:rPr>
        <w:t>Shelters for Victims of Domestic Violence</w:t>
      </w:r>
      <w:r w:rsidRPr="003D38DD">
        <w:rPr>
          <w:rFonts w:ascii="Calibri" w:eastAsia="Calibri" w:hAnsi="Calibri" w:cs="Calibri"/>
          <w:lang w:val="en-GB"/>
        </w:rPr>
        <w:t xml:space="preserve"> </w:t>
      </w:r>
      <w:r w:rsidRPr="003D38DD">
        <w:rPr>
          <w:rFonts w:ascii="Calibri" w:eastAsia="Calibri" w:hAnsi="Calibri" w:cs="Calibri"/>
          <w:lang w:val="en-GB"/>
        </w:rPr>
        <w:softHyphen/>
        <w:t xml:space="preserve">– Three shelters (in </w:t>
      </w:r>
      <w:proofErr w:type="spellStart"/>
      <w:r w:rsidRPr="003D38DD">
        <w:rPr>
          <w:rFonts w:ascii="Calibri" w:eastAsia="Calibri" w:hAnsi="Calibri" w:cs="Calibri"/>
          <w:lang w:val="en-GB"/>
        </w:rPr>
        <w:t>Sighnaghi</w:t>
      </w:r>
      <w:proofErr w:type="spellEnd"/>
      <w:r w:rsidRPr="003D38DD">
        <w:rPr>
          <w:rFonts w:ascii="Calibri" w:eastAsia="Calibri" w:hAnsi="Calibri" w:cs="Calibri"/>
          <w:lang w:val="en-GB"/>
        </w:rPr>
        <w:t xml:space="preserve">, Kutaisi and Gori) are supervised by the ATIP </w:t>
      </w:r>
      <w:r>
        <w:rPr>
          <w:rFonts w:ascii="Calibri" w:eastAsia="Calibri" w:hAnsi="Calibri" w:cs="Calibri"/>
          <w:lang w:val="en-GB"/>
        </w:rPr>
        <w:t>F</w:t>
      </w:r>
      <w:r w:rsidRPr="003D38DD">
        <w:rPr>
          <w:rFonts w:ascii="Calibri" w:eastAsia="Calibri" w:hAnsi="Calibri" w:cs="Calibri"/>
          <w:lang w:val="en-GB"/>
        </w:rPr>
        <w:t>und.  Victim (woman) of domestic violence or/and victim of sexual violence is supposed to be enrolled in the shelter (with the dependent person</w:t>
      </w:r>
      <w:r w:rsidRPr="003D38DD">
        <w:rPr>
          <w:rStyle w:val="FootnoteReference"/>
          <w:rFonts w:ascii="Calibri" w:eastAsia="Calibri" w:hAnsi="Calibri" w:cs="Calibri"/>
          <w:lang w:val="en-GB"/>
        </w:rPr>
        <w:footnoteReference w:id="11"/>
      </w:r>
      <w:r w:rsidRPr="003D38DD">
        <w:rPr>
          <w:rFonts w:ascii="Calibri" w:eastAsia="Calibri" w:hAnsi="Calibri" w:cs="Calibri"/>
          <w:lang w:val="en-GB"/>
        </w:rPr>
        <w:t xml:space="preserve">). </w:t>
      </w:r>
      <w:r w:rsidRPr="006066AB">
        <w:rPr>
          <w:rFonts w:ascii="Calibri" w:eastAsia="Calibri" w:hAnsi="Calibri" w:cs="Calibri"/>
          <w:u w:val="single"/>
          <w:lang w:val="en-GB"/>
        </w:rPr>
        <w:t>Victims are allowed to stay in the shelter up to three months</w:t>
      </w:r>
      <w:r w:rsidRPr="003D38DD">
        <w:rPr>
          <w:rFonts w:ascii="Calibri" w:eastAsia="Calibri" w:hAnsi="Calibri" w:cs="Calibri"/>
          <w:lang w:val="en-GB"/>
        </w:rPr>
        <w:t xml:space="preserve">. </w:t>
      </w:r>
      <w:r>
        <w:rPr>
          <w:rFonts w:ascii="Calibri" w:eastAsia="Calibri" w:hAnsi="Calibri" w:cs="Calibri"/>
          <w:lang w:val="en-GB"/>
        </w:rPr>
        <w:t xml:space="preserve">After this time period they have to leave the shelter and there is no responsible agency which provides shelters or any other support service to the victims after 3 months. </w:t>
      </w:r>
    </w:p>
    <w:p w14:paraId="0E40138D" w14:textId="77777777" w:rsidR="00813727" w:rsidRPr="003D38DD" w:rsidRDefault="00813727" w:rsidP="00454C26">
      <w:pPr>
        <w:pStyle w:val="ListParagraph"/>
        <w:numPr>
          <w:ilvl w:val="0"/>
          <w:numId w:val="11"/>
        </w:numPr>
        <w:jc w:val="both"/>
        <w:rPr>
          <w:rFonts w:ascii="Calibri" w:eastAsia="Calibri" w:hAnsi="Calibri" w:cs="Calibri"/>
          <w:lang w:val="en-GB"/>
        </w:rPr>
      </w:pPr>
      <w:r w:rsidRPr="003D38DD">
        <w:rPr>
          <w:rFonts w:ascii="Calibri" w:eastAsia="Calibri" w:hAnsi="Calibri" w:cs="Calibri"/>
          <w:b/>
          <w:lang w:val="en-GB"/>
        </w:rPr>
        <w:t xml:space="preserve">Shelters of Trafficking Victims </w:t>
      </w:r>
      <w:r w:rsidRPr="003D38DD">
        <w:rPr>
          <w:rFonts w:ascii="Calibri" w:eastAsia="Calibri" w:hAnsi="Calibri" w:cs="Calibri"/>
          <w:lang w:val="en-GB"/>
        </w:rPr>
        <w:t xml:space="preserve">– shelters are located in Tbilisi and Batumi and victims of trafficking and/or domestic violence are subject to be enrolled in these shelters. Victims are </w:t>
      </w:r>
      <w:r w:rsidRPr="003D38DD">
        <w:rPr>
          <w:rFonts w:ascii="Calibri" w:eastAsia="Calibri" w:hAnsi="Calibri" w:cs="Calibri"/>
          <w:lang w:val="en-GB"/>
        </w:rPr>
        <w:lastRenderedPageBreak/>
        <w:t xml:space="preserve">allowed to </w:t>
      </w:r>
      <w:r w:rsidRPr="006066AB">
        <w:rPr>
          <w:rFonts w:ascii="Calibri" w:eastAsia="Calibri" w:hAnsi="Calibri" w:cs="Calibri"/>
          <w:u w:val="single"/>
          <w:lang w:val="en-GB"/>
        </w:rPr>
        <w:t>stay in the shelter up to three months</w:t>
      </w:r>
      <w:r w:rsidRPr="003D38DD">
        <w:rPr>
          <w:rFonts w:ascii="Calibri" w:eastAsia="Calibri" w:hAnsi="Calibri" w:cs="Calibri"/>
          <w:lang w:val="en-GB"/>
        </w:rPr>
        <w:t xml:space="preserve">. </w:t>
      </w:r>
      <w:r>
        <w:rPr>
          <w:rFonts w:ascii="Calibri" w:eastAsia="Calibri" w:hAnsi="Calibri" w:cs="Calibri"/>
          <w:lang w:val="en-GB"/>
        </w:rPr>
        <w:t xml:space="preserve">After they leave the shelter there is no additional support service provided to the victims. </w:t>
      </w:r>
    </w:p>
    <w:p w14:paraId="4B3AB6E7" w14:textId="77777777" w:rsidR="00813727" w:rsidRPr="003D38DD" w:rsidRDefault="00813727" w:rsidP="00813727">
      <w:pPr>
        <w:jc w:val="both"/>
        <w:rPr>
          <w:rFonts w:cstheme="minorHAnsi"/>
        </w:rPr>
      </w:pPr>
      <w:r w:rsidRPr="003D38DD">
        <w:rPr>
          <w:rFonts w:cstheme="minorHAnsi"/>
        </w:rPr>
        <w:t>Currently the process of deinstitutionalization of shelters is ongoing. Due to the changes big (institutional) shelters are still under the supervision of ATIP fund, while small, family type shelters are supervised by the SSA.</w:t>
      </w:r>
    </w:p>
    <w:p w14:paraId="26879BFA" w14:textId="77777777" w:rsidR="00813727" w:rsidRPr="003D38DD" w:rsidRDefault="00813727" w:rsidP="00454C26">
      <w:pPr>
        <w:pStyle w:val="ListParagraph"/>
        <w:numPr>
          <w:ilvl w:val="0"/>
          <w:numId w:val="12"/>
        </w:numPr>
        <w:jc w:val="both"/>
        <w:rPr>
          <w:rFonts w:cstheme="minorHAnsi"/>
        </w:rPr>
      </w:pPr>
      <w:r w:rsidRPr="003D38DD">
        <w:rPr>
          <w:rFonts w:cstheme="minorHAnsi"/>
          <w:b/>
        </w:rPr>
        <w:t>Children Care</w:t>
      </w:r>
      <w:r w:rsidRPr="003D38DD">
        <w:rPr>
          <w:rFonts w:cstheme="minorHAnsi"/>
        </w:rPr>
        <w:t xml:space="preserve"> – SSA implements three sub-programs of the children care. This includes:</w:t>
      </w:r>
    </w:p>
    <w:p w14:paraId="3B779A6A" w14:textId="77777777" w:rsidR="00813727" w:rsidRPr="003D38DD" w:rsidRDefault="00813727" w:rsidP="00454C26">
      <w:pPr>
        <w:pStyle w:val="ListParagraph"/>
        <w:numPr>
          <w:ilvl w:val="0"/>
          <w:numId w:val="13"/>
        </w:numPr>
        <w:ind w:left="1276" w:hanging="283"/>
        <w:jc w:val="both"/>
      </w:pPr>
      <w:r w:rsidRPr="003D38DD">
        <w:rPr>
          <w:rFonts w:cstheme="minorHAnsi"/>
          <w:b/>
        </w:rPr>
        <w:t>Small family type houses</w:t>
      </w:r>
      <w:r w:rsidRPr="003D38DD">
        <w:rPr>
          <w:rFonts w:cstheme="minorHAnsi"/>
        </w:rPr>
        <w:t xml:space="preserve"> – </w:t>
      </w:r>
      <w:r>
        <w:rPr>
          <w:rFonts w:cstheme="minorHAnsi"/>
        </w:rPr>
        <w:t>children</w:t>
      </w:r>
      <w:r w:rsidRPr="003D38DD">
        <w:rPr>
          <w:rFonts w:cstheme="minorHAnsi"/>
        </w:rPr>
        <w:t xml:space="preserve"> without parental care at the age of 7-18 are living in the home-type houses</w:t>
      </w:r>
      <w:r>
        <w:rPr>
          <w:rFonts w:cstheme="minorHAnsi"/>
        </w:rPr>
        <w:t xml:space="preserve"> with</w:t>
      </w:r>
      <w:r w:rsidRPr="003D38DD">
        <w:rPr>
          <w:rFonts w:cstheme="minorHAnsi"/>
        </w:rPr>
        <w:t xml:space="preserve"> one or two permanent ‘</w:t>
      </w:r>
      <w:proofErr w:type="gramStart"/>
      <w:r w:rsidRPr="003D38DD">
        <w:rPr>
          <w:rFonts w:cstheme="minorHAnsi"/>
        </w:rPr>
        <w:t>parent</w:t>
      </w:r>
      <w:proofErr w:type="gramEnd"/>
      <w:r w:rsidRPr="003D38DD">
        <w:rPr>
          <w:rFonts w:cstheme="minorHAnsi"/>
        </w:rPr>
        <w:t xml:space="preserve">’. The houses are functioning in Tbilisi, Telavi, </w:t>
      </w:r>
      <w:proofErr w:type="spellStart"/>
      <w:r w:rsidRPr="003D38DD">
        <w:rPr>
          <w:rFonts w:cstheme="minorHAnsi"/>
        </w:rPr>
        <w:t>Dusheti</w:t>
      </w:r>
      <w:proofErr w:type="spellEnd"/>
      <w:r w:rsidRPr="003D38DD">
        <w:rPr>
          <w:rFonts w:cstheme="minorHAnsi"/>
        </w:rPr>
        <w:t xml:space="preserve"> and Kutaisi. There are maximum 10 beneficiaries in each house excluding houses in Kutaisi</w:t>
      </w:r>
      <w:r>
        <w:rPr>
          <w:rFonts w:cstheme="minorHAnsi"/>
        </w:rPr>
        <w:t xml:space="preserve">, as those </w:t>
      </w:r>
      <w:r w:rsidRPr="003D38DD">
        <w:rPr>
          <w:rFonts w:cstheme="minorHAnsi"/>
        </w:rPr>
        <w:t xml:space="preserve">are arranged for the </w:t>
      </w:r>
      <w:r>
        <w:rPr>
          <w:rFonts w:cstheme="minorHAnsi"/>
        </w:rPr>
        <w:t>children</w:t>
      </w:r>
      <w:r w:rsidRPr="003D38DD">
        <w:rPr>
          <w:rFonts w:cstheme="minorHAnsi"/>
        </w:rPr>
        <w:t xml:space="preserve"> with disabilities and maximum number of beneficiaries is 7.  The main difference between the family type houses and institutional shelters is that kids are </w:t>
      </w:r>
      <w:r>
        <w:rPr>
          <w:rFonts w:cstheme="minorHAnsi"/>
        </w:rPr>
        <w:t>growing up</w:t>
      </w:r>
      <w:r w:rsidRPr="003D38DD">
        <w:rPr>
          <w:rFonts w:cstheme="minorHAnsi"/>
        </w:rPr>
        <w:t xml:space="preserve"> in more family-type environment</w:t>
      </w:r>
      <w:r w:rsidRPr="003D38DD">
        <w:rPr>
          <w:rFonts w:cstheme="minorHAnsi"/>
          <w:lang w:val="ka-GE"/>
        </w:rPr>
        <w:t xml:space="preserve">. </w:t>
      </w:r>
      <w:r>
        <w:rPr>
          <w:rFonts w:cstheme="minorHAnsi"/>
          <w:lang w:val="en-GB"/>
        </w:rPr>
        <w:t>SSA is not responsible to provide the service of family type house to the beneficiaries after age 18.</w:t>
      </w:r>
    </w:p>
    <w:p w14:paraId="766BB11E" w14:textId="77777777" w:rsidR="00813727" w:rsidRPr="003D38DD" w:rsidRDefault="00813727" w:rsidP="00454C26">
      <w:pPr>
        <w:pStyle w:val="ListParagraph"/>
        <w:numPr>
          <w:ilvl w:val="0"/>
          <w:numId w:val="13"/>
        </w:numPr>
        <w:ind w:left="1276" w:hanging="283"/>
        <w:jc w:val="both"/>
      </w:pPr>
      <w:r w:rsidRPr="003D38DD">
        <w:rPr>
          <w:rFonts w:cstheme="minorHAnsi"/>
          <w:b/>
        </w:rPr>
        <w:t xml:space="preserve">Reintegration </w:t>
      </w:r>
      <w:r w:rsidRPr="003D38DD">
        <w:t xml:space="preserve">– The goal of the sub-program is to support bringing back </w:t>
      </w:r>
      <w:r>
        <w:t>children (from children-care shelters)</w:t>
      </w:r>
      <w:r w:rsidRPr="003D38DD">
        <w:t xml:space="preserve"> to the biological families. </w:t>
      </w:r>
      <w:r>
        <w:t>The</w:t>
      </w:r>
      <w:r w:rsidRPr="003D38DD">
        <w:t xml:space="preserve"> government supports the family with monthly allowance (100 Gel per </w:t>
      </w:r>
      <w:r>
        <w:t>child;</w:t>
      </w:r>
      <w:r w:rsidRPr="003D38DD">
        <w:t xml:space="preserve"> 160 Gel in case the </w:t>
      </w:r>
      <w:r>
        <w:t>child</w:t>
      </w:r>
      <w:r w:rsidRPr="003D38DD">
        <w:t xml:space="preserve"> is with disabilities). Beside</w:t>
      </w:r>
      <w:r>
        <w:t>s,</w:t>
      </w:r>
      <w:r w:rsidRPr="003D38DD">
        <w:t xml:space="preserve"> </w:t>
      </w:r>
      <w:r>
        <w:t>child</w:t>
      </w:r>
      <w:r w:rsidRPr="003D38DD">
        <w:t xml:space="preserve"> has a medical insurance and food voucher. </w:t>
      </w:r>
      <w:r>
        <w:t>Children</w:t>
      </w:r>
      <w:r w:rsidRPr="003D38DD">
        <w:t xml:space="preserve"> and their parents are supported to learn different professions which will help them for future employment.</w:t>
      </w:r>
      <w:r>
        <w:t xml:space="preserve"> Monthly allowances are not paid after the age 18. However, the program supports kids to live in family environment, rather than in shelter, which reduces the risk to become a homeless after age 18. </w:t>
      </w:r>
    </w:p>
    <w:p w14:paraId="1C76B939" w14:textId="77777777" w:rsidR="00813727" w:rsidRPr="003D38DD" w:rsidRDefault="00813727" w:rsidP="00454C26">
      <w:pPr>
        <w:pStyle w:val="ListParagraph"/>
        <w:numPr>
          <w:ilvl w:val="0"/>
          <w:numId w:val="13"/>
        </w:numPr>
        <w:ind w:left="1276" w:hanging="283"/>
        <w:jc w:val="both"/>
      </w:pPr>
      <w:r w:rsidRPr="003D38DD">
        <w:rPr>
          <w:rFonts w:cstheme="minorHAnsi"/>
          <w:b/>
        </w:rPr>
        <w:t xml:space="preserve">Foster care </w:t>
      </w:r>
      <w:r w:rsidRPr="003D38DD">
        <w:t xml:space="preserve">– </w:t>
      </w:r>
      <w:r w:rsidRPr="003D38DD">
        <w:rPr>
          <w:lang w:val="en-GB"/>
        </w:rPr>
        <w:t xml:space="preserve">this policy includes the contract between the government and the family who adopts the </w:t>
      </w:r>
      <w:r>
        <w:rPr>
          <w:lang w:val="en-GB"/>
        </w:rPr>
        <w:t>child</w:t>
      </w:r>
      <w:r w:rsidRPr="003D38DD">
        <w:rPr>
          <w:lang w:val="en-GB"/>
        </w:rPr>
        <w:t xml:space="preserve"> for a certain period to bring him/her up in a family environment.</w:t>
      </w:r>
      <w:r w:rsidRPr="003D38DD">
        <w:t xml:space="preserve"> A </w:t>
      </w:r>
      <w:r>
        <w:t>child</w:t>
      </w:r>
      <w:r w:rsidRPr="003D38DD">
        <w:t xml:space="preserve"> can be adopted only if </w:t>
      </w:r>
      <w:r>
        <w:t>he/she is</w:t>
      </w:r>
      <w:r w:rsidRPr="003D38DD">
        <w:t xml:space="preserve"> orphan, his/her parents are acknowledged as missing persons by the court or the right of being a parent was limited by the law. The government pays monthly allowance to the </w:t>
      </w:r>
      <w:r>
        <w:t xml:space="preserve">foster </w:t>
      </w:r>
      <w:r w:rsidRPr="003D38DD">
        <w:t xml:space="preserve">family (200 Gel in case of relative and daily 16 Gel in case of non-relative). A </w:t>
      </w:r>
      <w:r>
        <w:t>child</w:t>
      </w:r>
      <w:r w:rsidRPr="003D38DD">
        <w:t xml:space="preserve"> can stay in the family maximum </w:t>
      </w:r>
      <w:r>
        <w:t>up to</w:t>
      </w:r>
      <w:r w:rsidRPr="003D38DD">
        <w:t xml:space="preserve"> the age</w:t>
      </w:r>
      <w:r>
        <w:t xml:space="preserve"> of</w:t>
      </w:r>
      <w:r w:rsidRPr="003D38DD">
        <w:t xml:space="preserve"> 21. After that age the government is not paying the allowance</w:t>
      </w:r>
      <w:r>
        <w:t xml:space="preserve"> and </w:t>
      </w:r>
      <w:r>
        <w:rPr>
          <w:rFonts w:cstheme="minorHAnsi"/>
          <w:lang w:val="en-GB"/>
        </w:rPr>
        <w:t>no additional support is provided</w:t>
      </w:r>
      <w:r w:rsidRPr="003D38DD">
        <w:t>.</w:t>
      </w:r>
      <w:r>
        <w:t xml:space="preserve"> The beneficiary can</w:t>
      </w:r>
      <w:r w:rsidRPr="003D38DD">
        <w:t xml:space="preserve"> </w:t>
      </w:r>
      <w:r>
        <w:t xml:space="preserve">stay in the foster family only based on the mutual willing and agreement. </w:t>
      </w:r>
    </w:p>
    <w:p w14:paraId="11AC73C9" w14:textId="77777777" w:rsidR="00813727" w:rsidRPr="003D38DD" w:rsidRDefault="00813727" w:rsidP="00813727">
      <w:pPr>
        <w:pStyle w:val="ListParagraph"/>
        <w:ind w:left="1276"/>
        <w:jc w:val="both"/>
      </w:pPr>
    </w:p>
    <w:p w14:paraId="1FE2A2B7" w14:textId="77777777" w:rsidR="00813727" w:rsidRPr="003D38DD" w:rsidRDefault="00813727" w:rsidP="00454C26">
      <w:pPr>
        <w:pStyle w:val="ListParagraph"/>
        <w:numPr>
          <w:ilvl w:val="0"/>
          <w:numId w:val="12"/>
        </w:numPr>
        <w:jc w:val="both"/>
      </w:pPr>
      <w:r w:rsidRPr="003D38DD">
        <w:rPr>
          <w:b/>
          <w:lang w:val="en-GB"/>
        </w:rPr>
        <w:t xml:space="preserve">Community Organizations </w:t>
      </w:r>
      <w:r w:rsidRPr="005F0A46">
        <w:rPr>
          <w:lang w:val="en-GB"/>
        </w:rPr>
        <w:t xml:space="preserve">– </w:t>
      </w:r>
      <w:r w:rsidRPr="003D38DD">
        <w:rPr>
          <w:lang w:val="en-GB"/>
        </w:rPr>
        <w:t xml:space="preserve">adults with disabilities and elderly people (women over the age 60 and men over the age 65) are allowed to be enrolled </w:t>
      </w:r>
      <w:r>
        <w:rPr>
          <w:lang w:val="en-GB"/>
        </w:rPr>
        <w:t>in such programs</w:t>
      </w:r>
      <w:r w:rsidRPr="003D38DD">
        <w:rPr>
          <w:lang w:val="en-GB"/>
        </w:rPr>
        <w:t>. These organizations represent family type, deinstitutionalized shelters which are administrated by the Non-Governmental Organizations (NGOs) but they are funded from the central budget and monitored by SSA. As for May 2019 there are 12 community organizations functioning in different regions of the country</w:t>
      </w:r>
      <w:r w:rsidRPr="003D38DD">
        <w:rPr>
          <w:rStyle w:val="FootnoteReference"/>
          <w:lang w:val="en-GB"/>
        </w:rPr>
        <w:footnoteReference w:id="12"/>
      </w:r>
      <w:r>
        <w:rPr>
          <w:lang w:val="en-GB"/>
        </w:rPr>
        <w:t xml:space="preserve">. There is no pre-defined duration limit to stay in the community organization. </w:t>
      </w:r>
    </w:p>
    <w:p w14:paraId="5488FEE7" w14:textId="77777777" w:rsidR="00813727" w:rsidRPr="003D38DD" w:rsidRDefault="00813727" w:rsidP="00813727">
      <w:pPr>
        <w:jc w:val="both"/>
        <w:rPr>
          <w:rFonts w:cstheme="minorHAnsi"/>
        </w:rPr>
      </w:pPr>
      <w:r w:rsidRPr="003D38DD">
        <w:rPr>
          <w:rFonts w:cstheme="minorHAnsi"/>
        </w:rPr>
        <w:lastRenderedPageBreak/>
        <w:t xml:space="preserve">Under the Social Service Agency, the Department of the Administration of the Issues of IDPs and Eco-Migrants is responsible for implementation </w:t>
      </w:r>
      <w:r>
        <w:rPr>
          <w:rFonts w:cstheme="minorHAnsi"/>
        </w:rPr>
        <w:t xml:space="preserve">of </w:t>
      </w:r>
      <w:r w:rsidRPr="003D38DD">
        <w:rPr>
          <w:rFonts w:cstheme="minorHAnsi"/>
        </w:rPr>
        <w:t>all necessary programs to provide IDPs and Eco migrants with adequate shelters, including:</w:t>
      </w:r>
    </w:p>
    <w:p w14:paraId="26A7B524" w14:textId="77777777" w:rsidR="00813727" w:rsidRPr="003D38DD" w:rsidRDefault="00813727" w:rsidP="00454C26">
      <w:pPr>
        <w:pStyle w:val="ListParagraph"/>
        <w:numPr>
          <w:ilvl w:val="0"/>
          <w:numId w:val="4"/>
        </w:numPr>
        <w:jc w:val="both"/>
        <w:rPr>
          <w:rFonts w:cstheme="minorHAnsi"/>
        </w:rPr>
      </w:pPr>
      <w:r>
        <w:rPr>
          <w:rFonts w:cstheme="minorHAnsi"/>
        </w:rPr>
        <w:t>P</w:t>
      </w:r>
      <w:r w:rsidRPr="003D38DD">
        <w:rPr>
          <w:rFonts w:cstheme="minorHAnsi"/>
        </w:rPr>
        <w:t>urchasing real estate based on the norms defined by the Georgian legislation to provide emergency support to IDPs and provide them with temporary shelters</w:t>
      </w:r>
      <w:r>
        <w:rPr>
          <w:rStyle w:val="FootnoteReference"/>
          <w:rFonts w:cstheme="minorHAnsi"/>
        </w:rPr>
        <w:footnoteReference w:id="13"/>
      </w:r>
      <w:r w:rsidRPr="003D38DD">
        <w:rPr>
          <w:rFonts w:cstheme="minorHAnsi"/>
        </w:rPr>
        <w:t xml:space="preserve">; </w:t>
      </w:r>
    </w:p>
    <w:p w14:paraId="0ADCFC06" w14:textId="77777777" w:rsidR="00813727" w:rsidRPr="003D38DD" w:rsidRDefault="00813727" w:rsidP="00454C26">
      <w:pPr>
        <w:pStyle w:val="ListParagraph"/>
        <w:numPr>
          <w:ilvl w:val="0"/>
          <w:numId w:val="4"/>
        </w:numPr>
        <w:jc w:val="both"/>
        <w:rPr>
          <w:rFonts w:cstheme="minorHAnsi"/>
        </w:rPr>
      </w:pPr>
      <w:r>
        <w:rPr>
          <w:rFonts w:cstheme="minorHAnsi"/>
        </w:rPr>
        <w:t>R</w:t>
      </w:r>
      <w:r w:rsidRPr="003D38DD">
        <w:rPr>
          <w:rFonts w:cstheme="minorHAnsi"/>
        </w:rPr>
        <w:t>ehabilitating the temporary residential areas of IDPs under their competency;</w:t>
      </w:r>
    </w:p>
    <w:p w14:paraId="5ABD32C4" w14:textId="77777777" w:rsidR="00813727" w:rsidRPr="00F549ED" w:rsidRDefault="00813727" w:rsidP="00454C26">
      <w:pPr>
        <w:pStyle w:val="ListParagraph"/>
        <w:numPr>
          <w:ilvl w:val="0"/>
          <w:numId w:val="4"/>
        </w:numPr>
        <w:jc w:val="both"/>
        <w:rPr>
          <w:lang w:val="en-GB"/>
        </w:rPr>
      </w:pPr>
      <w:r>
        <w:rPr>
          <w:rFonts w:cstheme="minorHAnsi"/>
        </w:rPr>
        <w:t>S</w:t>
      </w:r>
      <w:r w:rsidRPr="003D38DD">
        <w:rPr>
          <w:rFonts w:cstheme="minorHAnsi"/>
        </w:rPr>
        <w:t xml:space="preserve">upporting local municipalities to fulfill their responsibilities regarding to the provision of adequate services to IDPs and eco-migrants. </w:t>
      </w:r>
    </w:p>
    <w:p w14:paraId="27517913" w14:textId="77777777" w:rsidR="00813727" w:rsidRPr="00D11BED" w:rsidRDefault="00813727" w:rsidP="00813727">
      <w:pPr>
        <w:jc w:val="both"/>
        <w:rPr>
          <w:rFonts w:cstheme="minorHAnsi"/>
        </w:rPr>
      </w:pPr>
      <w:r w:rsidRPr="00D11BED">
        <w:rPr>
          <w:rFonts w:cstheme="minorHAnsi"/>
        </w:rPr>
        <w:t>The Government of Georgia ha</w:t>
      </w:r>
      <w:r>
        <w:rPr>
          <w:rFonts w:cstheme="minorHAnsi"/>
        </w:rPr>
        <w:t>s</w:t>
      </w:r>
      <w:r w:rsidRPr="00D11BED">
        <w:rPr>
          <w:rFonts w:cstheme="minorHAnsi"/>
        </w:rPr>
        <w:t xml:space="preserve"> </w:t>
      </w:r>
      <w:r>
        <w:rPr>
          <w:rFonts w:cstheme="minorHAnsi"/>
        </w:rPr>
        <w:t xml:space="preserve">adopted </w:t>
      </w:r>
      <w:r w:rsidRPr="00D11BED">
        <w:rPr>
          <w:rFonts w:cstheme="minorHAnsi"/>
        </w:rPr>
        <w:t xml:space="preserve">several initiatives in order to overcome the problems of unstable housing for IDP families and to provide them with permanent and adequate houses. The related projects include the following: </w:t>
      </w:r>
    </w:p>
    <w:p w14:paraId="7B9E88A5" w14:textId="77777777" w:rsidR="00813727" w:rsidRPr="00D11BED" w:rsidRDefault="00813727" w:rsidP="00454C26">
      <w:pPr>
        <w:pStyle w:val="ListParagraph"/>
        <w:numPr>
          <w:ilvl w:val="0"/>
          <w:numId w:val="2"/>
        </w:numPr>
        <w:jc w:val="both"/>
        <w:rPr>
          <w:rFonts w:cstheme="minorHAnsi"/>
        </w:rPr>
      </w:pPr>
      <w:r w:rsidRPr="003D38DD">
        <w:rPr>
          <w:rFonts w:cstheme="minorHAnsi"/>
          <w:b/>
        </w:rPr>
        <w:t>Co-financing to purchase house</w:t>
      </w:r>
      <w:r w:rsidRPr="00D11BED">
        <w:rPr>
          <w:rFonts w:cstheme="minorHAnsi"/>
        </w:rPr>
        <w:t xml:space="preserve"> –</w:t>
      </w:r>
      <w:r>
        <w:rPr>
          <w:rFonts w:cstheme="minorHAnsi"/>
        </w:rPr>
        <w:t xml:space="preserve"> </w:t>
      </w:r>
      <w:r w:rsidRPr="00D11BED">
        <w:rPr>
          <w:rFonts w:cstheme="minorHAnsi"/>
        </w:rPr>
        <w:t xml:space="preserve">IDP </w:t>
      </w:r>
      <w:r>
        <w:rPr>
          <w:rFonts w:cstheme="minorHAnsi"/>
        </w:rPr>
        <w:t>households</w:t>
      </w:r>
      <w:r w:rsidRPr="00D11BED">
        <w:rPr>
          <w:rFonts w:cstheme="minorHAnsi"/>
        </w:rPr>
        <w:t xml:space="preserve"> which are registered in Tbilisi are able to buy living spaces with co-financ</w:t>
      </w:r>
      <w:r>
        <w:rPr>
          <w:rFonts w:cstheme="minorHAnsi"/>
        </w:rPr>
        <w:t xml:space="preserve">ing of </w:t>
      </w:r>
      <w:proofErr w:type="spellStart"/>
      <w:r>
        <w:rPr>
          <w:rFonts w:cstheme="minorHAnsi"/>
        </w:rPr>
        <w:t>MoLSHA</w:t>
      </w:r>
      <w:proofErr w:type="spellEnd"/>
      <w:r w:rsidRPr="00D11BED">
        <w:rPr>
          <w:rFonts w:cstheme="minorHAnsi"/>
        </w:rPr>
        <w:t xml:space="preserve">.  The Ministry </w:t>
      </w:r>
      <w:r>
        <w:rPr>
          <w:rFonts w:cstheme="minorHAnsi"/>
        </w:rPr>
        <w:t>will finance maximum $350 per m</w:t>
      </w:r>
      <w:r>
        <w:rPr>
          <w:rFonts w:cstheme="minorHAnsi"/>
          <w:vertAlign w:val="superscript"/>
        </w:rPr>
        <w:t>2</w:t>
      </w:r>
      <w:r w:rsidRPr="00D11BED">
        <w:rPr>
          <w:rFonts w:cstheme="minorHAnsi"/>
        </w:rPr>
        <w:t xml:space="preserve">, </w:t>
      </w:r>
      <w:r>
        <w:rPr>
          <w:rFonts w:cstheme="minorHAnsi"/>
        </w:rPr>
        <w:t xml:space="preserve">while </w:t>
      </w:r>
      <w:r w:rsidRPr="00D11BED">
        <w:rPr>
          <w:rFonts w:cstheme="minorHAnsi"/>
        </w:rPr>
        <w:t>househo</w:t>
      </w:r>
      <w:r>
        <w:rPr>
          <w:rFonts w:cstheme="minorHAnsi"/>
        </w:rPr>
        <w:t>ld should pay minimum $60 per m</w:t>
      </w:r>
      <w:r>
        <w:rPr>
          <w:rFonts w:cstheme="minorHAnsi"/>
          <w:vertAlign w:val="superscript"/>
        </w:rPr>
        <w:t>2</w:t>
      </w:r>
      <w:r w:rsidRPr="00D11BED">
        <w:rPr>
          <w:rFonts w:cstheme="minorHAnsi"/>
        </w:rPr>
        <w:t xml:space="preserve">. </w:t>
      </w:r>
    </w:p>
    <w:p w14:paraId="0BED0B5E" w14:textId="32176644" w:rsidR="00813727" w:rsidRPr="00644E39" w:rsidRDefault="00813727" w:rsidP="00454C26">
      <w:pPr>
        <w:pStyle w:val="ListParagraph"/>
        <w:numPr>
          <w:ilvl w:val="0"/>
          <w:numId w:val="2"/>
        </w:numPr>
        <w:jc w:val="both"/>
        <w:rPr>
          <w:rFonts w:cstheme="minorHAnsi"/>
        </w:rPr>
      </w:pPr>
      <w:r w:rsidRPr="003D38DD">
        <w:rPr>
          <w:rFonts w:cstheme="minorHAnsi"/>
          <w:b/>
        </w:rPr>
        <w:t>House in the Village</w:t>
      </w:r>
      <w:r w:rsidRPr="00D11BED">
        <w:rPr>
          <w:rFonts w:cstheme="minorHAnsi"/>
        </w:rPr>
        <w:t xml:space="preserve"> –</w:t>
      </w:r>
      <w:r>
        <w:rPr>
          <w:rFonts w:cstheme="minorHAnsi"/>
        </w:rPr>
        <w:t xml:space="preserve"> </w:t>
      </w:r>
      <w:r w:rsidRPr="00D11BED">
        <w:rPr>
          <w:rFonts w:cstheme="minorHAnsi"/>
        </w:rPr>
        <w:t xml:space="preserve">IDP </w:t>
      </w:r>
      <w:r>
        <w:rPr>
          <w:rFonts w:cstheme="minorHAnsi"/>
        </w:rPr>
        <w:t xml:space="preserve">households may choose to buy </w:t>
      </w:r>
      <w:r w:rsidRPr="00D11BED">
        <w:rPr>
          <w:rFonts w:cstheme="minorHAnsi"/>
        </w:rPr>
        <w:t>private house</w:t>
      </w:r>
      <w:r>
        <w:rPr>
          <w:rFonts w:cstheme="minorHAnsi"/>
        </w:rPr>
        <w:t>s</w:t>
      </w:r>
      <w:r w:rsidRPr="00D11BED">
        <w:rPr>
          <w:rFonts w:cstheme="minorHAnsi"/>
        </w:rPr>
        <w:t xml:space="preserve"> with agricultural land plot</w:t>
      </w:r>
      <w:r>
        <w:rPr>
          <w:rFonts w:cstheme="minorHAnsi"/>
        </w:rPr>
        <w:t>s</w:t>
      </w:r>
      <w:r w:rsidRPr="00D11BED">
        <w:rPr>
          <w:rFonts w:cstheme="minorHAnsi"/>
        </w:rPr>
        <w:t xml:space="preserve"> in </w:t>
      </w:r>
      <w:r>
        <w:rPr>
          <w:rFonts w:cstheme="minorHAnsi"/>
        </w:rPr>
        <w:t xml:space="preserve">any </w:t>
      </w:r>
      <w:r w:rsidR="0021680A">
        <w:rPr>
          <w:rFonts w:cstheme="minorHAnsi"/>
        </w:rPr>
        <w:t>rural</w:t>
      </w:r>
      <w:r>
        <w:rPr>
          <w:rFonts w:cstheme="minorHAnsi"/>
        </w:rPr>
        <w:t xml:space="preserve"> area</w:t>
      </w:r>
      <w:r w:rsidRPr="00D11BED">
        <w:rPr>
          <w:rFonts w:cstheme="minorHAnsi"/>
        </w:rPr>
        <w:t>. If the house</w:t>
      </w:r>
      <w:r>
        <w:rPr>
          <w:rFonts w:cstheme="minorHAnsi"/>
        </w:rPr>
        <w:t>s</w:t>
      </w:r>
      <w:r w:rsidRPr="00D11BED">
        <w:rPr>
          <w:rFonts w:cstheme="minorHAnsi"/>
        </w:rPr>
        <w:t xml:space="preserve"> satisf</w:t>
      </w:r>
      <w:r>
        <w:rPr>
          <w:rFonts w:cstheme="minorHAnsi"/>
        </w:rPr>
        <w:t>y</w:t>
      </w:r>
      <w:r w:rsidRPr="00D11BED">
        <w:rPr>
          <w:rFonts w:cstheme="minorHAnsi"/>
        </w:rPr>
        <w:t xml:space="preserve"> </w:t>
      </w:r>
      <w:r>
        <w:rPr>
          <w:rFonts w:cstheme="minorHAnsi"/>
        </w:rPr>
        <w:t>this</w:t>
      </w:r>
      <w:r w:rsidRPr="00D11BED">
        <w:rPr>
          <w:rFonts w:cstheme="minorHAnsi"/>
        </w:rPr>
        <w:t xml:space="preserve"> </w:t>
      </w:r>
      <w:r>
        <w:rPr>
          <w:rFonts w:cstheme="minorHAnsi"/>
        </w:rPr>
        <w:t>requirement</w:t>
      </w:r>
      <w:r w:rsidRPr="00D11BED">
        <w:rPr>
          <w:rFonts w:cstheme="minorHAnsi"/>
        </w:rPr>
        <w:t xml:space="preserve"> the </w:t>
      </w:r>
      <w:proofErr w:type="spellStart"/>
      <w:r>
        <w:rPr>
          <w:rFonts w:cstheme="minorHAnsi"/>
        </w:rPr>
        <w:t>MoLSHA</w:t>
      </w:r>
      <w:proofErr w:type="spellEnd"/>
      <w:r>
        <w:rPr>
          <w:rFonts w:cstheme="minorHAnsi"/>
        </w:rPr>
        <w:t xml:space="preserve"> will devote funds to </w:t>
      </w:r>
      <w:r w:rsidRPr="00D11BED">
        <w:rPr>
          <w:rFonts w:cstheme="minorHAnsi"/>
        </w:rPr>
        <w:t>purchase the house</w:t>
      </w:r>
      <w:r>
        <w:rPr>
          <w:rFonts w:cstheme="minorHAnsi"/>
        </w:rPr>
        <w:t>s</w:t>
      </w:r>
      <w:r w:rsidRPr="00D11BED">
        <w:rPr>
          <w:rFonts w:cstheme="minorHAnsi"/>
        </w:rPr>
        <w:t xml:space="preserve">. </w:t>
      </w:r>
      <w:r>
        <w:rPr>
          <w:rFonts w:cstheme="minorHAnsi"/>
        </w:rPr>
        <w:t>T</w:t>
      </w:r>
      <w:r w:rsidRPr="00644E39">
        <w:rPr>
          <w:rFonts w:cstheme="minorHAnsi"/>
        </w:rPr>
        <w:t xml:space="preserve">he maximum amount of money that will be paid </w:t>
      </w:r>
      <w:r>
        <w:rPr>
          <w:rFonts w:cstheme="minorHAnsi"/>
        </w:rPr>
        <w:t>per</w:t>
      </w:r>
      <w:r w:rsidRPr="00644E39">
        <w:rPr>
          <w:rFonts w:cstheme="minorHAnsi"/>
        </w:rPr>
        <w:t xml:space="preserve"> household depends on the number of family members. It </w:t>
      </w:r>
      <w:r>
        <w:rPr>
          <w:rFonts w:cstheme="minorHAnsi"/>
        </w:rPr>
        <w:t>would</w:t>
      </w:r>
      <w:r w:rsidRPr="00644E39">
        <w:rPr>
          <w:rFonts w:cstheme="minorHAnsi"/>
        </w:rPr>
        <w:t xml:space="preserve"> also</w:t>
      </w:r>
      <w:r>
        <w:rPr>
          <w:rFonts w:cstheme="minorHAnsi"/>
        </w:rPr>
        <w:t xml:space="preserve"> be</w:t>
      </w:r>
      <w:r w:rsidRPr="00644E39">
        <w:rPr>
          <w:rFonts w:cstheme="minorHAnsi"/>
        </w:rPr>
        <w:t xml:space="preserve"> possible to purchase the house with the co-financing of IDP family and the ministry. In order to get the house, the family should submit application form. If the form will be satisfied the family has 3 months to find the house. </w:t>
      </w:r>
      <w:r>
        <w:rPr>
          <w:rFonts w:cstheme="minorHAnsi"/>
        </w:rPr>
        <w:t>The special audit commission</w:t>
      </w:r>
      <w:r w:rsidRPr="00644E39">
        <w:rPr>
          <w:rFonts w:cstheme="minorHAnsi"/>
        </w:rPr>
        <w:t xml:space="preserve"> determine</w:t>
      </w:r>
      <w:r>
        <w:rPr>
          <w:rFonts w:cstheme="minorHAnsi"/>
        </w:rPr>
        <w:t>s</w:t>
      </w:r>
      <w:r w:rsidRPr="00644E39">
        <w:rPr>
          <w:rFonts w:cstheme="minorHAnsi"/>
        </w:rPr>
        <w:t xml:space="preserve"> market value of the house. </w:t>
      </w:r>
    </w:p>
    <w:p w14:paraId="1FD9DE81" w14:textId="77777777" w:rsidR="00813727" w:rsidRPr="00644E39" w:rsidRDefault="00813727" w:rsidP="00454C26">
      <w:pPr>
        <w:pStyle w:val="ListParagraph"/>
        <w:numPr>
          <w:ilvl w:val="0"/>
          <w:numId w:val="2"/>
        </w:numPr>
        <w:jc w:val="both"/>
        <w:rPr>
          <w:rFonts w:cstheme="minorHAnsi"/>
          <w:b/>
          <w:lang w:val="ka-GE"/>
        </w:rPr>
      </w:pPr>
      <w:r w:rsidRPr="003D38DD">
        <w:rPr>
          <w:rFonts w:cstheme="minorHAnsi"/>
          <w:b/>
        </w:rPr>
        <w:t>Purchase flat from the construction companies</w:t>
      </w:r>
      <w:r w:rsidRPr="00D11BED">
        <w:rPr>
          <w:rFonts w:cstheme="minorHAnsi"/>
        </w:rPr>
        <w:t xml:space="preserve"> </w:t>
      </w:r>
      <w:r>
        <w:rPr>
          <w:rFonts w:cstheme="minorHAnsi"/>
        </w:rPr>
        <w:t xml:space="preserve">– </w:t>
      </w:r>
      <w:proofErr w:type="spellStart"/>
      <w:r>
        <w:rPr>
          <w:rFonts w:cstheme="minorHAnsi"/>
        </w:rPr>
        <w:t>MoLSHA</w:t>
      </w:r>
      <w:proofErr w:type="spellEnd"/>
      <w:r w:rsidRPr="00D11BED">
        <w:rPr>
          <w:rFonts w:cstheme="minorHAnsi"/>
        </w:rPr>
        <w:t xml:space="preserve"> buys flats fr</w:t>
      </w:r>
      <w:r>
        <w:rPr>
          <w:rFonts w:cstheme="minorHAnsi"/>
        </w:rPr>
        <w:t>o</w:t>
      </w:r>
      <w:r w:rsidRPr="00D11BED">
        <w:rPr>
          <w:rFonts w:cstheme="minorHAnsi"/>
        </w:rPr>
        <w:t xml:space="preserve">m the constructors to deliver </w:t>
      </w:r>
      <w:r>
        <w:rPr>
          <w:rFonts w:cstheme="minorHAnsi"/>
        </w:rPr>
        <w:t>the houses to the IDP families.</w:t>
      </w:r>
    </w:p>
    <w:p w14:paraId="0439CE0A" w14:textId="77777777" w:rsidR="00813727" w:rsidRPr="00B6275B" w:rsidRDefault="00813727" w:rsidP="00454C26">
      <w:pPr>
        <w:pStyle w:val="ListParagraph"/>
        <w:numPr>
          <w:ilvl w:val="0"/>
          <w:numId w:val="2"/>
        </w:numPr>
        <w:jc w:val="both"/>
        <w:rPr>
          <w:rFonts w:cstheme="minorHAnsi"/>
          <w:b/>
        </w:rPr>
      </w:pPr>
      <w:r w:rsidRPr="003D38DD">
        <w:rPr>
          <w:rFonts w:cstheme="minorHAnsi"/>
          <w:b/>
        </w:rPr>
        <w:t xml:space="preserve">Giving living spaces under the IDPs’ disposal </w:t>
      </w:r>
      <w:r w:rsidRPr="00644E39">
        <w:rPr>
          <w:rFonts w:cstheme="minorHAnsi"/>
        </w:rPr>
        <w:t>–</w:t>
      </w:r>
      <w:r>
        <w:rPr>
          <w:rFonts w:cstheme="minorHAnsi"/>
          <w:b/>
        </w:rPr>
        <w:t xml:space="preserve"> </w:t>
      </w:r>
      <w:r w:rsidRPr="00D11BED">
        <w:rPr>
          <w:rFonts w:cstheme="minorHAnsi"/>
        </w:rPr>
        <w:t>The houses that are under the legitimate possession of IDP households will be legally given to the families</w:t>
      </w:r>
      <w:r>
        <w:rPr>
          <w:rFonts w:cstheme="minorHAnsi"/>
        </w:rPr>
        <w:t>.</w:t>
      </w:r>
    </w:p>
    <w:p w14:paraId="38A1FA93" w14:textId="77777777" w:rsidR="00813727" w:rsidRDefault="00813727" w:rsidP="00813727">
      <w:pPr>
        <w:jc w:val="both"/>
        <w:rPr>
          <w:rFonts w:cstheme="minorHAnsi"/>
        </w:rPr>
      </w:pPr>
      <w:proofErr w:type="spellStart"/>
      <w:r>
        <w:rPr>
          <w:rFonts w:cstheme="minorHAnsi"/>
        </w:rPr>
        <w:t>MoLSHA</w:t>
      </w:r>
      <w:proofErr w:type="spellEnd"/>
      <w:r>
        <w:rPr>
          <w:rFonts w:cstheme="minorHAnsi"/>
        </w:rPr>
        <w:t xml:space="preserve"> also supports eco-migrants to get the new house. For this purpose, the ministry implements several projects:</w:t>
      </w:r>
    </w:p>
    <w:p w14:paraId="3916A1EF" w14:textId="77777777" w:rsidR="00813727" w:rsidRDefault="00813727" w:rsidP="00454C26">
      <w:pPr>
        <w:pStyle w:val="ListParagraph"/>
        <w:numPr>
          <w:ilvl w:val="0"/>
          <w:numId w:val="12"/>
        </w:numPr>
        <w:ind w:left="851" w:hanging="284"/>
        <w:jc w:val="both"/>
        <w:rPr>
          <w:rFonts w:cstheme="minorHAnsi"/>
        </w:rPr>
      </w:pPr>
      <w:r w:rsidRPr="003D38DD">
        <w:rPr>
          <w:rFonts w:cstheme="minorHAnsi"/>
          <w:b/>
        </w:rPr>
        <w:t xml:space="preserve">Deliver </w:t>
      </w:r>
      <w:r>
        <w:rPr>
          <w:rFonts w:cstheme="minorHAnsi"/>
          <w:b/>
        </w:rPr>
        <w:t>State-owned Real Estate into the</w:t>
      </w:r>
      <w:r w:rsidRPr="003D38DD">
        <w:rPr>
          <w:rFonts w:cstheme="minorHAnsi"/>
          <w:b/>
        </w:rPr>
        <w:t xml:space="preserve"> Legal </w:t>
      </w:r>
      <w:r>
        <w:rPr>
          <w:rFonts w:cstheme="minorHAnsi"/>
          <w:b/>
        </w:rPr>
        <w:t>Possession</w:t>
      </w:r>
      <w:r w:rsidRPr="003D38DD">
        <w:rPr>
          <w:rFonts w:cstheme="minorHAnsi"/>
          <w:b/>
        </w:rPr>
        <w:t xml:space="preserve"> to The Eco-migrants</w:t>
      </w:r>
      <w:r>
        <w:rPr>
          <w:rFonts w:cstheme="minorHAnsi"/>
        </w:rPr>
        <w:t xml:space="preserve"> –</w:t>
      </w:r>
      <w:r w:rsidRPr="006172CB">
        <w:rPr>
          <w:rFonts w:cstheme="minorHAnsi"/>
        </w:rPr>
        <w:t xml:space="preserve"> Since 2012 </w:t>
      </w:r>
      <w:r w:rsidRPr="00317B64">
        <w:rPr>
          <w:rFonts w:cstheme="minorHAnsi"/>
        </w:rPr>
        <w:t xml:space="preserve">the process of delivering state property to the eco-migrants has started.  On the first stage identification of living spaces and monitoring of eco-migrant households has started. </w:t>
      </w:r>
      <w:r w:rsidRPr="004C692F">
        <w:rPr>
          <w:rFonts w:cstheme="minorHAnsi"/>
        </w:rPr>
        <w:t>In 2016 delivering the living spaces under the eco-</w:t>
      </w:r>
      <w:r w:rsidRPr="00080843">
        <w:rPr>
          <w:rFonts w:cstheme="minorHAnsi"/>
        </w:rPr>
        <w:t xml:space="preserve">migrant’s legal possession started. </w:t>
      </w:r>
    </w:p>
    <w:p w14:paraId="344F2112" w14:textId="77777777" w:rsidR="00813727" w:rsidRPr="00080502" w:rsidRDefault="00813727" w:rsidP="00454C26">
      <w:pPr>
        <w:pStyle w:val="ListParagraph"/>
        <w:numPr>
          <w:ilvl w:val="0"/>
          <w:numId w:val="12"/>
        </w:numPr>
        <w:ind w:hanging="180"/>
        <w:jc w:val="both"/>
        <w:rPr>
          <w:rFonts w:cstheme="minorHAnsi"/>
        </w:rPr>
      </w:pPr>
      <w:r w:rsidRPr="00430DBD">
        <w:rPr>
          <w:rFonts w:cstheme="minorHAnsi"/>
          <w:b/>
        </w:rPr>
        <w:t>Settlement of eco-migrants in safe environment</w:t>
      </w:r>
      <w:r w:rsidRPr="008E5724">
        <w:rPr>
          <w:rFonts w:cstheme="minorHAnsi"/>
        </w:rPr>
        <w:t xml:space="preserve"> – </w:t>
      </w:r>
      <w:proofErr w:type="spellStart"/>
      <w:r w:rsidRPr="008E5724">
        <w:rPr>
          <w:rFonts w:cstheme="minorHAnsi"/>
        </w:rPr>
        <w:t>MoLSHA</w:t>
      </w:r>
      <w:proofErr w:type="spellEnd"/>
      <w:r w:rsidRPr="008E5724">
        <w:rPr>
          <w:rFonts w:cstheme="minorHAnsi"/>
        </w:rPr>
        <w:t xml:space="preserve"> buys living spaces for eco-migrant</w:t>
      </w:r>
      <w:r w:rsidRPr="008E5724">
        <w:rPr>
          <w:rFonts w:cstheme="minorHAnsi"/>
          <w:lang w:val="ka-GE"/>
        </w:rPr>
        <w:t xml:space="preserve"> </w:t>
      </w:r>
      <w:r w:rsidRPr="00080502">
        <w:rPr>
          <w:rFonts w:cstheme="minorHAnsi"/>
        </w:rPr>
        <w:t>households under 25,000 GEL. Decision about purchasing or not the house is made by the special commission, the member of the commission are social service agency employees, representative of public defender and representatives of different international organizations and NGOs. The house is delivered to the permanent ownership to the eco-migrant family.</w:t>
      </w:r>
    </w:p>
    <w:p w14:paraId="5AB481CF" w14:textId="77777777" w:rsidR="00813727" w:rsidRPr="00D11BED" w:rsidRDefault="00813727" w:rsidP="00813727">
      <w:pPr>
        <w:pStyle w:val="ListParagraph"/>
        <w:ind w:left="851"/>
        <w:jc w:val="both"/>
        <w:rPr>
          <w:rFonts w:cstheme="minorHAnsi"/>
        </w:rPr>
      </w:pPr>
    </w:p>
    <w:p w14:paraId="59E4CCF9" w14:textId="77777777" w:rsidR="00813727" w:rsidRDefault="00813727" w:rsidP="00813727">
      <w:pPr>
        <w:pStyle w:val="Heading2"/>
        <w:numPr>
          <w:ilvl w:val="0"/>
          <w:numId w:val="1"/>
        </w:numPr>
        <w:jc w:val="both"/>
        <w:rPr>
          <w:rFonts w:asciiTheme="minorHAnsi" w:hAnsiTheme="minorHAnsi" w:cstheme="minorHAnsi"/>
        </w:rPr>
      </w:pPr>
      <w:r w:rsidRPr="0000187D">
        <w:rPr>
          <w:rFonts w:asciiTheme="minorHAnsi" w:hAnsiTheme="minorHAnsi" w:cstheme="minorHAnsi"/>
        </w:rPr>
        <w:lastRenderedPageBreak/>
        <w:t>Problem Definition</w:t>
      </w:r>
    </w:p>
    <w:p w14:paraId="39984014" w14:textId="77777777" w:rsidR="00813727" w:rsidRDefault="00813727" w:rsidP="00813727">
      <w:pPr>
        <w:ind w:left="24"/>
        <w:jc w:val="both"/>
        <w:rPr>
          <w:lang w:val="en-GB"/>
        </w:rPr>
      </w:pPr>
    </w:p>
    <w:p w14:paraId="20DF0E04" w14:textId="77777777" w:rsidR="00813727" w:rsidRDefault="00813727" w:rsidP="00813727">
      <w:pPr>
        <w:ind w:left="24"/>
        <w:jc w:val="both"/>
        <w:rPr>
          <w:lang w:val="en-GB"/>
        </w:rPr>
      </w:pPr>
      <w:r>
        <w:rPr>
          <w:lang w:val="en-GB"/>
        </w:rPr>
        <w:t>The</w:t>
      </w:r>
      <w:r w:rsidRPr="00C23569">
        <w:rPr>
          <w:lang w:val="en-GB"/>
        </w:rPr>
        <w:t xml:space="preserve"> existing literature reveals that there is no unique definition of homelessness that is widely accepted among the different nations. The </w:t>
      </w:r>
      <w:r w:rsidRPr="00D11BED">
        <w:rPr>
          <w:rFonts w:cstheme="minorHAnsi"/>
        </w:rPr>
        <w:t>European Typology on Homelessness and Housing Exclusion (ETHOS)</w:t>
      </w:r>
      <w:r>
        <w:rPr>
          <w:rFonts w:cstheme="minorHAnsi"/>
        </w:rPr>
        <w:t xml:space="preserve"> </w:t>
      </w:r>
      <w:r w:rsidRPr="00C23569">
        <w:rPr>
          <w:lang w:val="en-GB"/>
        </w:rPr>
        <w:t xml:space="preserve">definition of homelessness covers all possible types of homelessness, and countries can treat this definition as a ‘menu’ from which they can chose their preferred and most suitable definitions. </w:t>
      </w:r>
    </w:p>
    <w:p w14:paraId="2829859F" w14:textId="77777777" w:rsidR="00813727" w:rsidRDefault="00813727" w:rsidP="00813727">
      <w:pPr>
        <w:pStyle w:val="Heading3"/>
        <w:jc w:val="both"/>
        <w:rPr>
          <w:lang w:val="en-GB"/>
        </w:rPr>
      </w:pPr>
      <w:r>
        <w:rPr>
          <w:lang w:val="en-GB"/>
        </w:rPr>
        <w:t xml:space="preserve">Defining unstable housing: the </w:t>
      </w:r>
      <w:r w:rsidRPr="00D11BED">
        <w:rPr>
          <w:rFonts w:cstheme="minorHAnsi"/>
        </w:rPr>
        <w:t>European Typology on Homelessness and Housing Exclusion (ETHOS)</w:t>
      </w:r>
      <w:r>
        <w:rPr>
          <w:rStyle w:val="FootnoteReference"/>
          <w:rFonts w:cstheme="minorHAnsi"/>
        </w:rPr>
        <w:footnoteReference w:id="14"/>
      </w:r>
    </w:p>
    <w:p w14:paraId="5BF7FA41" w14:textId="77777777" w:rsidR="00813727" w:rsidRPr="00E050E2" w:rsidRDefault="00813727" w:rsidP="00813727">
      <w:pPr>
        <w:jc w:val="both"/>
        <w:rPr>
          <w:lang w:val="en-GB"/>
        </w:rPr>
      </w:pPr>
    </w:p>
    <w:p w14:paraId="5348731E" w14:textId="77777777" w:rsidR="00813727" w:rsidRPr="00D11BED" w:rsidRDefault="00813727" w:rsidP="00813727">
      <w:pPr>
        <w:jc w:val="both"/>
        <w:rPr>
          <w:rFonts w:cstheme="minorHAnsi"/>
        </w:rPr>
      </w:pPr>
      <w:r>
        <w:rPr>
          <w:rFonts w:cstheme="minorHAnsi"/>
        </w:rPr>
        <w:t xml:space="preserve">According to the ETHOS definition, </w:t>
      </w:r>
      <w:r w:rsidRPr="00D11BED">
        <w:rPr>
          <w:rFonts w:cstheme="minorHAnsi"/>
        </w:rPr>
        <w:t xml:space="preserve">having a home </w:t>
      </w:r>
      <w:r>
        <w:rPr>
          <w:rFonts w:cstheme="minorHAnsi"/>
        </w:rPr>
        <w:t>is defined as</w:t>
      </w:r>
      <w:r w:rsidRPr="00D11BED">
        <w:rPr>
          <w:rFonts w:cstheme="minorHAnsi"/>
        </w:rPr>
        <w:t xml:space="preserve"> hav</w:t>
      </w:r>
      <w:r>
        <w:rPr>
          <w:rFonts w:cstheme="minorHAnsi"/>
        </w:rPr>
        <w:t>ing</w:t>
      </w:r>
      <w:r w:rsidRPr="00D11BED">
        <w:rPr>
          <w:rFonts w:cstheme="minorHAnsi"/>
        </w:rPr>
        <w:t xml:space="preserve"> an adequate space over which a person and his/her family can exercise exclusive possession, being able to maintain privacy and enjoy relations</w:t>
      </w:r>
      <w:r>
        <w:rPr>
          <w:rFonts w:cstheme="minorHAnsi"/>
        </w:rPr>
        <w:t>,</w:t>
      </w:r>
      <w:r w:rsidRPr="00D11BED">
        <w:rPr>
          <w:rFonts w:cstheme="minorHAnsi"/>
        </w:rPr>
        <w:t xml:space="preserve"> and having a legal title to occupation. Based on this definition </w:t>
      </w:r>
      <w:r>
        <w:rPr>
          <w:rFonts w:cstheme="minorHAnsi"/>
        </w:rPr>
        <w:t xml:space="preserve">one can define </w:t>
      </w:r>
      <w:r w:rsidRPr="00D11BED">
        <w:rPr>
          <w:rFonts w:cstheme="minorHAnsi"/>
        </w:rPr>
        <w:t xml:space="preserve">four main </w:t>
      </w:r>
      <w:r>
        <w:rPr>
          <w:rFonts w:cstheme="minorHAnsi"/>
        </w:rPr>
        <w:t xml:space="preserve">categories of individuals/households facing the problem of </w:t>
      </w:r>
      <w:r w:rsidRPr="00B11034">
        <w:rPr>
          <w:rFonts w:cstheme="minorHAnsi"/>
          <w:b/>
        </w:rPr>
        <w:t>unstable housing</w:t>
      </w:r>
      <w:r>
        <w:rPr>
          <w:rFonts w:cstheme="minorHAnsi"/>
        </w:rPr>
        <w:t>: homeless, roofless, people living insecure and inadequate housing conditions (t</w:t>
      </w:r>
      <w:r w:rsidRPr="00D11BED">
        <w:rPr>
          <w:rFonts w:cstheme="minorHAnsi"/>
        </w:rPr>
        <w:t>able 1).</w:t>
      </w:r>
    </w:p>
    <w:p w14:paraId="1D752822" w14:textId="0181B4A6" w:rsidR="00813727" w:rsidRPr="00454C26" w:rsidRDefault="0026391F" w:rsidP="00454C26">
      <w:pPr>
        <w:pStyle w:val="Caption"/>
        <w:keepNext/>
        <w:jc w:val="both"/>
        <w:rPr>
          <w:rFonts w:cstheme="minorHAnsi"/>
          <w:b/>
          <w:i w:val="0"/>
          <w:iCs w:val="0"/>
          <w:color w:val="1F4E79" w:themeColor="accent1" w:themeShade="80"/>
          <w:sz w:val="22"/>
          <w:szCs w:val="22"/>
        </w:rPr>
      </w:pPr>
      <w:r w:rsidRPr="005634E5">
        <w:t xml:space="preserve">Table </w:t>
      </w:r>
      <w:fldSimple w:instr=" SEQ Table \* ARABIC ">
        <w:r w:rsidR="008F3E6B" w:rsidRPr="005634E5">
          <w:t>1</w:t>
        </w:r>
      </w:fldSimple>
      <w:r w:rsidRPr="005634E5">
        <w:t>: European Typology on Homelessness and Housing Exclusion (ETHOS)</w:t>
      </w:r>
      <w:r w:rsidRPr="00454C26">
        <w:rPr>
          <w:i w:val="0"/>
          <w:iCs w:val="0"/>
          <w:sz w:val="22"/>
          <w:szCs w:val="22"/>
        </w:rPr>
        <w:t xml:space="preserve"> </w:t>
      </w:r>
      <w:r w:rsidRPr="00454C26">
        <w:rPr>
          <w:i w:val="0"/>
          <w:iCs w:val="0"/>
          <w:sz w:val="22"/>
          <w:szCs w:val="22"/>
          <w:vertAlign w:val="superscript"/>
        </w:rPr>
        <w:footnoteReference w:id="15"/>
      </w:r>
    </w:p>
    <w:tbl>
      <w:tblPr>
        <w:tblStyle w:val="GridTable1Light-Accent1"/>
        <w:tblW w:w="0" w:type="auto"/>
        <w:tblLook w:val="04A0" w:firstRow="1" w:lastRow="0" w:firstColumn="1" w:lastColumn="0" w:noHBand="0" w:noVBand="1"/>
      </w:tblPr>
      <w:tblGrid>
        <w:gridCol w:w="2199"/>
        <w:gridCol w:w="3251"/>
        <w:gridCol w:w="3720"/>
      </w:tblGrid>
      <w:tr w:rsidR="00813727" w:rsidRPr="00D11BED" w14:paraId="624C687F" w14:textId="77777777" w:rsidTr="009C48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shd w:val="clear" w:color="auto" w:fill="9CC2E5" w:themeFill="accent1" w:themeFillTint="99"/>
          </w:tcPr>
          <w:p w14:paraId="329158D9" w14:textId="77777777" w:rsidR="00813727" w:rsidRPr="00D11BED" w:rsidRDefault="00813727" w:rsidP="009C48A0">
            <w:pPr>
              <w:jc w:val="both"/>
              <w:rPr>
                <w:rFonts w:cstheme="minorHAnsi"/>
              </w:rPr>
            </w:pPr>
            <w:r w:rsidRPr="00D11BED">
              <w:rPr>
                <w:rFonts w:cstheme="minorHAnsi"/>
              </w:rPr>
              <w:t>Conceptual Category</w:t>
            </w:r>
          </w:p>
        </w:tc>
        <w:tc>
          <w:tcPr>
            <w:tcW w:w="3330" w:type="dxa"/>
            <w:shd w:val="clear" w:color="auto" w:fill="9CC2E5" w:themeFill="accent1" w:themeFillTint="99"/>
          </w:tcPr>
          <w:p w14:paraId="0D0A5507" w14:textId="77777777" w:rsidR="00813727" w:rsidRPr="00D11BED" w:rsidRDefault="00813727" w:rsidP="009C48A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D11BED">
              <w:rPr>
                <w:rFonts w:cstheme="minorHAnsi"/>
              </w:rPr>
              <w:t>Operational Category</w:t>
            </w:r>
          </w:p>
        </w:tc>
        <w:tc>
          <w:tcPr>
            <w:tcW w:w="3775" w:type="dxa"/>
            <w:shd w:val="clear" w:color="auto" w:fill="9CC2E5" w:themeFill="accent1" w:themeFillTint="99"/>
          </w:tcPr>
          <w:p w14:paraId="606C9900" w14:textId="77777777" w:rsidR="00813727" w:rsidRPr="00D11BED" w:rsidRDefault="00813727" w:rsidP="009C48A0">
            <w:pPr>
              <w:jc w:val="both"/>
              <w:cnfStyle w:val="100000000000" w:firstRow="1" w:lastRow="0" w:firstColumn="0" w:lastColumn="0" w:oddVBand="0" w:evenVBand="0" w:oddHBand="0" w:evenHBand="0" w:firstRowFirstColumn="0" w:firstRowLastColumn="0" w:lastRowFirstColumn="0" w:lastRowLastColumn="0"/>
              <w:rPr>
                <w:rFonts w:cstheme="minorHAnsi"/>
              </w:rPr>
            </w:pPr>
            <w:r w:rsidRPr="00D11BED">
              <w:rPr>
                <w:rFonts w:cstheme="minorHAnsi"/>
              </w:rPr>
              <w:t>Living Situation</w:t>
            </w:r>
          </w:p>
          <w:p w14:paraId="41367C54" w14:textId="77777777" w:rsidR="00813727" w:rsidRPr="00D11BED" w:rsidRDefault="00813727" w:rsidP="009C48A0">
            <w:pPr>
              <w:jc w:val="both"/>
              <w:cnfStyle w:val="100000000000" w:firstRow="1" w:lastRow="0" w:firstColumn="0" w:lastColumn="0" w:oddVBand="0" w:evenVBand="0" w:oddHBand="0" w:evenHBand="0" w:firstRowFirstColumn="0" w:firstRowLastColumn="0" w:lastRowFirstColumn="0" w:lastRowLastColumn="0"/>
              <w:rPr>
                <w:rFonts w:cstheme="minorHAnsi"/>
              </w:rPr>
            </w:pPr>
          </w:p>
        </w:tc>
      </w:tr>
      <w:tr w:rsidR="00813727" w:rsidRPr="00D11BED" w14:paraId="0B2F8136"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val="restart"/>
          </w:tcPr>
          <w:p w14:paraId="2851C301" w14:textId="77777777" w:rsidR="00813727" w:rsidRPr="00D11BED" w:rsidRDefault="00813727" w:rsidP="009C48A0">
            <w:pPr>
              <w:jc w:val="both"/>
              <w:rPr>
                <w:rFonts w:cstheme="minorHAnsi"/>
              </w:rPr>
            </w:pPr>
            <w:r w:rsidRPr="00D11BED">
              <w:rPr>
                <w:rFonts w:cstheme="minorHAnsi"/>
              </w:rPr>
              <w:t>Roofless</w:t>
            </w:r>
          </w:p>
        </w:tc>
        <w:tc>
          <w:tcPr>
            <w:tcW w:w="3330" w:type="dxa"/>
          </w:tcPr>
          <w:p w14:paraId="63B2C24C"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living rough</w:t>
            </w:r>
          </w:p>
        </w:tc>
        <w:tc>
          <w:tcPr>
            <w:tcW w:w="3775" w:type="dxa"/>
          </w:tcPr>
          <w:p w14:paraId="5BD4BBA5"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Public or external space</w:t>
            </w:r>
          </w:p>
        </w:tc>
      </w:tr>
      <w:tr w:rsidR="00813727" w:rsidRPr="00D11BED" w14:paraId="518AE13B"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tcPr>
          <w:p w14:paraId="387CA70B" w14:textId="77777777" w:rsidR="00813727" w:rsidRPr="00D11BED" w:rsidRDefault="00813727" w:rsidP="009C48A0">
            <w:pPr>
              <w:jc w:val="both"/>
              <w:rPr>
                <w:rFonts w:cstheme="minorHAnsi"/>
              </w:rPr>
            </w:pPr>
          </w:p>
        </w:tc>
        <w:tc>
          <w:tcPr>
            <w:tcW w:w="3330" w:type="dxa"/>
          </w:tcPr>
          <w:p w14:paraId="21213434"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staying in a night shelter</w:t>
            </w:r>
          </w:p>
        </w:tc>
        <w:tc>
          <w:tcPr>
            <w:tcW w:w="3775" w:type="dxa"/>
          </w:tcPr>
          <w:p w14:paraId="11DC7540"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Night shelter</w:t>
            </w:r>
          </w:p>
        </w:tc>
      </w:tr>
      <w:tr w:rsidR="00813727" w:rsidRPr="00D11BED" w14:paraId="3D2DEA74"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val="restart"/>
          </w:tcPr>
          <w:p w14:paraId="57EF6B20" w14:textId="77777777" w:rsidR="00813727" w:rsidRPr="00D11BED" w:rsidRDefault="00813727" w:rsidP="009C48A0">
            <w:pPr>
              <w:jc w:val="both"/>
              <w:rPr>
                <w:rFonts w:cstheme="minorHAnsi"/>
              </w:rPr>
            </w:pPr>
            <w:r w:rsidRPr="00D11BED">
              <w:rPr>
                <w:rFonts w:cstheme="minorHAnsi"/>
              </w:rPr>
              <w:t>Homeless</w:t>
            </w:r>
          </w:p>
        </w:tc>
        <w:tc>
          <w:tcPr>
            <w:tcW w:w="3330" w:type="dxa"/>
          </w:tcPr>
          <w:p w14:paraId="16ED8A89"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in accommodation for the homeless</w:t>
            </w:r>
          </w:p>
        </w:tc>
        <w:tc>
          <w:tcPr>
            <w:tcW w:w="3775" w:type="dxa"/>
          </w:tcPr>
          <w:p w14:paraId="31E8706E"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Homeless hostel</w:t>
            </w:r>
          </w:p>
        </w:tc>
      </w:tr>
      <w:tr w:rsidR="00813727" w:rsidRPr="00D11BED" w14:paraId="7C097473"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tcPr>
          <w:p w14:paraId="25882A5A" w14:textId="77777777" w:rsidR="00813727" w:rsidRPr="00D11BED" w:rsidRDefault="00813727" w:rsidP="009C48A0">
            <w:pPr>
              <w:jc w:val="both"/>
              <w:rPr>
                <w:rFonts w:cstheme="minorHAnsi"/>
              </w:rPr>
            </w:pPr>
          </w:p>
        </w:tc>
        <w:tc>
          <w:tcPr>
            <w:tcW w:w="3330" w:type="dxa"/>
          </w:tcPr>
          <w:p w14:paraId="73CD79BC"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in women’s shelter</w:t>
            </w:r>
          </w:p>
        </w:tc>
        <w:tc>
          <w:tcPr>
            <w:tcW w:w="3775" w:type="dxa"/>
          </w:tcPr>
          <w:p w14:paraId="2CC42699"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Women’s shelter accommodation</w:t>
            </w:r>
          </w:p>
        </w:tc>
      </w:tr>
      <w:tr w:rsidR="00813727" w:rsidRPr="00D11BED" w14:paraId="4E343B8F"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tcPr>
          <w:p w14:paraId="11C55AD0" w14:textId="77777777" w:rsidR="00813727" w:rsidRPr="00D11BED" w:rsidRDefault="00813727" w:rsidP="009C48A0">
            <w:pPr>
              <w:jc w:val="both"/>
              <w:rPr>
                <w:rFonts w:cstheme="minorHAnsi"/>
              </w:rPr>
            </w:pPr>
          </w:p>
        </w:tc>
        <w:tc>
          <w:tcPr>
            <w:tcW w:w="3330" w:type="dxa"/>
          </w:tcPr>
          <w:p w14:paraId="5B399AED"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in accommodation for immigrants</w:t>
            </w:r>
          </w:p>
        </w:tc>
        <w:tc>
          <w:tcPr>
            <w:tcW w:w="3775" w:type="dxa"/>
          </w:tcPr>
          <w:p w14:paraId="4BF96D3C"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Temporary accommodation/reception centers;</w:t>
            </w:r>
          </w:p>
          <w:p w14:paraId="3AE0694B"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Migrant workers accommodations</w:t>
            </w:r>
          </w:p>
        </w:tc>
      </w:tr>
      <w:tr w:rsidR="00813727" w:rsidRPr="00D11BED" w14:paraId="219B8564"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tcPr>
          <w:p w14:paraId="44DDCA92" w14:textId="77777777" w:rsidR="00813727" w:rsidRPr="00D11BED" w:rsidRDefault="00813727" w:rsidP="009C48A0">
            <w:pPr>
              <w:jc w:val="both"/>
              <w:rPr>
                <w:rFonts w:cstheme="minorHAnsi"/>
              </w:rPr>
            </w:pPr>
          </w:p>
        </w:tc>
        <w:tc>
          <w:tcPr>
            <w:tcW w:w="3330" w:type="dxa"/>
          </w:tcPr>
          <w:p w14:paraId="0BB112EB"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due to be released from institutions</w:t>
            </w:r>
          </w:p>
        </w:tc>
        <w:tc>
          <w:tcPr>
            <w:tcW w:w="3775" w:type="dxa"/>
          </w:tcPr>
          <w:p w14:paraId="232F669D"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Penal institutions;</w:t>
            </w:r>
          </w:p>
          <w:p w14:paraId="6C805313"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Medical institutions;</w:t>
            </w:r>
          </w:p>
          <w:p w14:paraId="11FFE908"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Children’s institutions/homes</w:t>
            </w:r>
          </w:p>
        </w:tc>
      </w:tr>
      <w:tr w:rsidR="00813727" w:rsidRPr="00D11BED" w14:paraId="335F19D5"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tcPr>
          <w:p w14:paraId="66590A9E" w14:textId="77777777" w:rsidR="00813727" w:rsidRPr="00D11BED" w:rsidRDefault="00813727" w:rsidP="009C48A0">
            <w:pPr>
              <w:jc w:val="both"/>
              <w:rPr>
                <w:rFonts w:cstheme="minorHAnsi"/>
              </w:rPr>
            </w:pPr>
          </w:p>
        </w:tc>
        <w:tc>
          <w:tcPr>
            <w:tcW w:w="3330" w:type="dxa"/>
          </w:tcPr>
          <w:p w14:paraId="00F93F92"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receiving longer-term support (due to homelessness)</w:t>
            </w:r>
          </w:p>
        </w:tc>
        <w:tc>
          <w:tcPr>
            <w:tcW w:w="3775" w:type="dxa"/>
          </w:tcPr>
          <w:p w14:paraId="7508744A"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Residential care for older homeless people;</w:t>
            </w:r>
          </w:p>
          <w:p w14:paraId="60623A2F"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Supported accommodati</w:t>
            </w:r>
            <w:r>
              <w:rPr>
                <w:rFonts w:cstheme="minorHAnsi"/>
              </w:rPr>
              <w:t>on for formerly homeless people</w:t>
            </w:r>
          </w:p>
        </w:tc>
      </w:tr>
      <w:tr w:rsidR="00813727" w:rsidRPr="00D11BED" w14:paraId="240F0D13"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val="restart"/>
          </w:tcPr>
          <w:p w14:paraId="626EC469" w14:textId="77777777" w:rsidR="00813727" w:rsidRPr="00D11BED" w:rsidRDefault="00813727" w:rsidP="009C48A0">
            <w:pPr>
              <w:jc w:val="both"/>
              <w:rPr>
                <w:rFonts w:cstheme="minorHAnsi"/>
              </w:rPr>
            </w:pPr>
            <w:r w:rsidRPr="00D11BED">
              <w:rPr>
                <w:rFonts w:cstheme="minorHAnsi"/>
              </w:rPr>
              <w:t>Insecure</w:t>
            </w:r>
          </w:p>
        </w:tc>
        <w:tc>
          <w:tcPr>
            <w:tcW w:w="3330" w:type="dxa"/>
          </w:tcPr>
          <w:p w14:paraId="4E71EDA6"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living in insecure accommodation</w:t>
            </w:r>
          </w:p>
        </w:tc>
        <w:tc>
          <w:tcPr>
            <w:tcW w:w="3775" w:type="dxa"/>
          </w:tcPr>
          <w:p w14:paraId="03B6DCAA"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Temporarily with family/friends;</w:t>
            </w:r>
          </w:p>
          <w:p w14:paraId="193C13B1"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No legal (sub)tenancy;</w:t>
            </w:r>
          </w:p>
          <w:p w14:paraId="30CC2E0A"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Illegal occupation of land</w:t>
            </w:r>
          </w:p>
        </w:tc>
      </w:tr>
      <w:tr w:rsidR="00813727" w:rsidRPr="00D11BED" w14:paraId="6D6630E8"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tcPr>
          <w:p w14:paraId="70756AC4" w14:textId="77777777" w:rsidR="00813727" w:rsidRPr="00D11BED" w:rsidRDefault="00813727" w:rsidP="009C48A0">
            <w:pPr>
              <w:jc w:val="both"/>
              <w:rPr>
                <w:rFonts w:cstheme="minorHAnsi"/>
              </w:rPr>
            </w:pPr>
          </w:p>
        </w:tc>
        <w:tc>
          <w:tcPr>
            <w:tcW w:w="3330" w:type="dxa"/>
          </w:tcPr>
          <w:p w14:paraId="638DCB60"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living under threat of eviction</w:t>
            </w:r>
          </w:p>
        </w:tc>
        <w:tc>
          <w:tcPr>
            <w:tcW w:w="3775" w:type="dxa"/>
          </w:tcPr>
          <w:p w14:paraId="51C00A8D"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Legal orders enforced (rented);</w:t>
            </w:r>
          </w:p>
          <w:p w14:paraId="4F61938C"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Re-possession orders (owned)</w:t>
            </w:r>
          </w:p>
        </w:tc>
      </w:tr>
      <w:tr w:rsidR="00813727" w:rsidRPr="00D11BED" w14:paraId="4CC3BF7B"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tcPr>
          <w:p w14:paraId="046F2653" w14:textId="77777777" w:rsidR="00813727" w:rsidRPr="00D11BED" w:rsidRDefault="00813727" w:rsidP="009C48A0">
            <w:pPr>
              <w:jc w:val="both"/>
              <w:rPr>
                <w:rFonts w:cstheme="minorHAnsi"/>
              </w:rPr>
            </w:pPr>
          </w:p>
        </w:tc>
        <w:tc>
          <w:tcPr>
            <w:tcW w:w="3330" w:type="dxa"/>
          </w:tcPr>
          <w:p w14:paraId="371E0350"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living under threaten of violence</w:t>
            </w:r>
          </w:p>
        </w:tc>
        <w:tc>
          <w:tcPr>
            <w:tcW w:w="3775" w:type="dxa"/>
          </w:tcPr>
          <w:p w14:paraId="1571E0A4"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Police recorded indicators</w:t>
            </w:r>
          </w:p>
        </w:tc>
      </w:tr>
      <w:tr w:rsidR="00813727" w:rsidRPr="00D11BED" w14:paraId="515C6AF7"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val="restart"/>
          </w:tcPr>
          <w:p w14:paraId="0C95AB9A" w14:textId="77777777" w:rsidR="00813727" w:rsidRPr="00D11BED" w:rsidRDefault="00813727" w:rsidP="009C48A0">
            <w:pPr>
              <w:jc w:val="both"/>
              <w:rPr>
                <w:rFonts w:cstheme="minorHAnsi"/>
              </w:rPr>
            </w:pPr>
            <w:r w:rsidRPr="00D11BED">
              <w:rPr>
                <w:rFonts w:cstheme="minorHAnsi"/>
              </w:rPr>
              <w:lastRenderedPageBreak/>
              <w:t>Inadequate</w:t>
            </w:r>
          </w:p>
        </w:tc>
        <w:tc>
          <w:tcPr>
            <w:tcW w:w="3330" w:type="dxa"/>
          </w:tcPr>
          <w:p w14:paraId="64E4E538"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living in temporary/non-conventional structures</w:t>
            </w:r>
          </w:p>
        </w:tc>
        <w:tc>
          <w:tcPr>
            <w:tcW w:w="3775" w:type="dxa"/>
          </w:tcPr>
          <w:p w14:paraId="3C3A90FA"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Mobile homes;</w:t>
            </w:r>
          </w:p>
          <w:p w14:paraId="2DD8956C"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Non-conventional building;</w:t>
            </w:r>
          </w:p>
          <w:p w14:paraId="68E91877"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Temporary structure</w:t>
            </w:r>
          </w:p>
        </w:tc>
      </w:tr>
      <w:tr w:rsidR="00813727" w:rsidRPr="00D11BED" w14:paraId="2E287195" w14:textId="77777777" w:rsidTr="009C48A0">
        <w:tc>
          <w:tcPr>
            <w:cnfStyle w:val="001000000000" w:firstRow="0" w:lastRow="0" w:firstColumn="1" w:lastColumn="0" w:oddVBand="0" w:evenVBand="0" w:oddHBand="0" w:evenHBand="0" w:firstRowFirstColumn="0" w:firstRowLastColumn="0" w:lastRowFirstColumn="0" w:lastRowLastColumn="0"/>
            <w:tcW w:w="2245" w:type="dxa"/>
            <w:vMerge/>
          </w:tcPr>
          <w:p w14:paraId="6180687C" w14:textId="77777777" w:rsidR="00813727" w:rsidRPr="00D11BED" w:rsidRDefault="00813727" w:rsidP="009C48A0">
            <w:pPr>
              <w:jc w:val="both"/>
              <w:rPr>
                <w:rFonts w:cstheme="minorHAnsi"/>
              </w:rPr>
            </w:pPr>
          </w:p>
        </w:tc>
        <w:tc>
          <w:tcPr>
            <w:tcW w:w="3330" w:type="dxa"/>
          </w:tcPr>
          <w:p w14:paraId="16354653"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living in unfit housing</w:t>
            </w:r>
          </w:p>
        </w:tc>
        <w:tc>
          <w:tcPr>
            <w:tcW w:w="3775" w:type="dxa"/>
          </w:tcPr>
          <w:p w14:paraId="14D79980" w14:textId="77777777" w:rsidR="00813727" w:rsidRPr="00D11BED" w:rsidRDefault="00813727" w:rsidP="009C48A0">
            <w:pPr>
              <w:jc w:val="both"/>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Occupied dwellings unfit for habitation</w:t>
            </w:r>
          </w:p>
        </w:tc>
      </w:tr>
      <w:tr w:rsidR="00813727" w:rsidRPr="00D11BED" w14:paraId="063F743C" w14:textId="77777777" w:rsidTr="009C48A0">
        <w:trPr>
          <w:trHeight w:val="56"/>
        </w:trPr>
        <w:tc>
          <w:tcPr>
            <w:cnfStyle w:val="001000000000" w:firstRow="0" w:lastRow="0" w:firstColumn="1" w:lastColumn="0" w:oddVBand="0" w:evenVBand="0" w:oddHBand="0" w:evenHBand="0" w:firstRowFirstColumn="0" w:firstRowLastColumn="0" w:lastRowFirstColumn="0" w:lastRowLastColumn="0"/>
            <w:tcW w:w="2245" w:type="dxa"/>
            <w:vMerge/>
          </w:tcPr>
          <w:p w14:paraId="609A2FCD" w14:textId="77777777" w:rsidR="00813727" w:rsidRPr="00D11BED" w:rsidRDefault="00813727" w:rsidP="009C48A0">
            <w:pPr>
              <w:jc w:val="both"/>
              <w:rPr>
                <w:rFonts w:cstheme="minorHAnsi"/>
              </w:rPr>
            </w:pPr>
          </w:p>
        </w:tc>
        <w:tc>
          <w:tcPr>
            <w:tcW w:w="3330" w:type="dxa"/>
          </w:tcPr>
          <w:p w14:paraId="1628C10A"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People living in extreme overcrowding</w:t>
            </w:r>
          </w:p>
        </w:tc>
        <w:tc>
          <w:tcPr>
            <w:tcW w:w="3775" w:type="dxa"/>
          </w:tcPr>
          <w:p w14:paraId="34824FE3" w14:textId="77777777" w:rsidR="00813727" w:rsidRPr="00D11BED" w:rsidRDefault="00813727" w:rsidP="009C48A0">
            <w:pPr>
              <w:cnfStyle w:val="000000000000" w:firstRow="0" w:lastRow="0" w:firstColumn="0" w:lastColumn="0" w:oddVBand="0" w:evenVBand="0" w:oddHBand="0" w:evenHBand="0" w:firstRowFirstColumn="0" w:firstRowLastColumn="0" w:lastRowFirstColumn="0" w:lastRowLastColumn="0"/>
              <w:rPr>
                <w:rFonts w:cstheme="minorHAnsi"/>
              </w:rPr>
            </w:pPr>
            <w:r w:rsidRPr="00D11BED">
              <w:rPr>
                <w:rFonts w:cstheme="minorHAnsi"/>
              </w:rPr>
              <w:t>Highest</w:t>
            </w:r>
            <w:r>
              <w:rPr>
                <w:rFonts w:cstheme="minorHAnsi"/>
              </w:rPr>
              <w:t xml:space="preserve"> national norm of overcrowding</w:t>
            </w:r>
          </w:p>
        </w:tc>
      </w:tr>
    </w:tbl>
    <w:p w14:paraId="4B5AE130" w14:textId="77777777" w:rsidR="00813727" w:rsidRPr="005634E5" w:rsidRDefault="00813727" w:rsidP="00813727">
      <w:pPr>
        <w:jc w:val="both"/>
        <w:rPr>
          <w:i/>
          <w:iCs/>
          <w:color w:val="44546A" w:themeColor="text2"/>
          <w:sz w:val="18"/>
          <w:szCs w:val="18"/>
        </w:rPr>
      </w:pPr>
      <w:r w:rsidRPr="005634E5">
        <w:rPr>
          <w:i/>
          <w:iCs/>
          <w:color w:val="44546A" w:themeColor="text2"/>
          <w:sz w:val="18"/>
          <w:szCs w:val="18"/>
        </w:rPr>
        <w:t>Source: FEANTSA</w:t>
      </w:r>
    </w:p>
    <w:p w14:paraId="787DBB89" w14:textId="77777777" w:rsidR="00813727" w:rsidRPr="001F78AB" w:rsidRDefault="00813727" w:rsidP="00813727">
      <w:pPr>
        <w:jc w:val="both"/>
        <w:rPr>
          <w:rFonts w:cstheme="minorHAnsi"/>
        </w:rPr>
      </w:pPr>
      <w:r>
        <w:rPr>
          <w:lang w:val="en-GB"/>
        </w:rPr>
        <w:t>A</w:t>
      </w:r>
      <w:r w:rsidRPr="00B11034">
        <w:rPr>
          <w:lang w:val="en-GB"/>
        </w:rPr>
        <w:t>mong</w:t>
      </w:r>
      <w:r w:rsidRPr="00B11034">
        <w:rPr>
          <w:rFonts w:cstheme="minorHAnsi"/>
        </w:rPr>
        <w:t xml:space="preserve"> the group</w:t>
      </w:r>
      <w:r>
        <w:rPr>
          <w:rFonts w:cstheme="minorHAnsi"/>
        </w:rPr>
        <w:t>s</w:t>
      </w:r>
      <w:r w:rsidRPr="00B11034">
        <w:rPr>
          <w:rFonts w:cstheme="minorHAnsi"/>
        </w:rPr>
        <w:t xml:space="preserve"> of people who face a problem of unstable housing</w:t>
      </w:r>
      <w:r>
        <w:rPr>
          <w:rFonts w:cstheme="minorHAnsi"/>
        </w:rPr>
        <w:t>,</w:t>
      </w:r>
      <w:r w:rsidRPr="00B11034">
        <w:rPr>
          <w:rFonts w:cstheme="minorHAnsi"/>
        </w:rPr>
        <w:t xml:space="preserve"> the </w:t>
      </w:r>
      <w:r w:rsidRPr="00FF2D86">
        <w:rPr>
          <w:rFonts w:cstheme="minorHAnsi"/>
          <w:b/>
          <w:bCs/>
        </w:rPr>
        <w:t>most vulnerable group</w:t>
      </w:r>
      <w:r>
        <w:rPr>
          <w:rFonts w:cstheme="minorHAnsi"/>
          <w:b/>
          <w:bCs/>
        </w:rPr>
        <w:t>s</w:t>
      </w:r>
      <w:r w:rsidRPr="00FF2D86">
        <w:rPr>
          <w:rFonts w:cstheme="minorHAnsi"/>
          <w:b/>
          <w:bCs/>
        </w:rPr>
        <w:t xml:space="preserve"> are roofless and homeless people</w:t>
      </w:r>
      <w:r w:rsidRPr="00B11034">
        <w:rPr>
          <w:rFonts w:cstheme="minorHAnsi"/>
        </w:rPr>
        <w:t xml:space="preserve">. The main difference between homeless and roofless is that roofless people might spend the night in the </w:t>
      </w:r>
      <w:r w:rsidRPr="00E050E2">
        <w:rPr>
          <w:rFonts w:cstheme="minorHAnsi"/>
        </w:rPr>
        <w:t>open-air</w:t>
      </w:r>
      <w:r w:rsidRPr="00B11034">
        <w:rPr>
          <w:rFonts w:cstheme="minorHAnsi"/>
        </w:rPr>
        <w:t xml:space="preserve"> public spaces</w:t>
      </w:r>
      <w:r>
        <w:rPr>
          <w:rFonts w:cstheme="minorHAnsi"/>
        </w:rPr>
        <w:t xml:space="preserve"> or in night shelters</w:t>
      </w:r>
      <w:r w:rsidRPr="00B11034">
        <w:rPr>
          <w:rFonts w:cstheme="minorHAnsi"/>
        </w:rPr>
        <w:t xml:space="preserve">, while homeless </w:t>
      </w:r>
      <w:r>
        <w:rPr>
          <w:rFonts w:cstheme="minorHAnsi"/>
        </w:rPr>
        <w:t>has</w:t>
      </w:r>
      <w:r w:rsidRPr="00B11034">
        <w:rPr>
          <w:rFonts w:cstheme="minorHAnsi"/>
        </w:rPr>
        <w:t xml:space="preserve"> relatively longer-term shelters. </w:t>
      </w:r>
      <w:r>
        <w:rPr>
          <w:rFonts w:cstheme="minorHAnsi"/>
        </w:rPr>
        <w:t xml:space="preserve">The main difference between night shelters and other shelter types is that in night shelters roofless people can get a service only at night, while in other shelters beneficiary can get a service at any time of a day. The category of homeless people includes people who live in </w:t>
      </w:r>
      <w:r w:rsidRPr="00B11034">
        <w:t>women shelter accommodation, temporary accommodations/reception centers, migrant worker accommodations, penal, medical and children’s institutions. In addition, this category includes: homeless elder</w:t>
      </w:r>
      <w:r>
        <w:t>ly</w:t>
      </w:r>
      <w:r w:rsidRPr="00B11034">
        <w:t xml:space="preserve"> people, or elders who were formerly homeless and are receiving supported accommodation</w:t>
      </w:r>
      <w:r>
        <w:t>.</w:t>
      </w:r>
    </w:p>
    <w:p w14:paraId="0A907374" w14:textId="77777777" w:rsidR="00813727" w:rsidRPr="006172CB" w:rsidRDefault="00813727" w:rsidP="00813727">
      <w:pPr>
        <w:jc w:val="both"/>
      </w:pPr>
      <w:r>
        <w:rPr>
          <w:lang w:val="en-GB"/>
        </w:rPr>
        <w:t xml:space="preserve">A third group of the society which falls under the risk of unstable housing includes the </w:t>
      </w:r>
      <w:r w:rsidRPr="00FF2D86">
        <w:rPr>
          <w:b/>
          <w:bCs/>
          <w:lang w:val="en-GB"/>
        </w:rPr>
        <w:t xml:space="preserve">people living </w:t>
      </w:r>
      <w:r w:rsidRPr="00FF2D86">
        <w:rPr>
          <w:b/>
          <w:bCs/>
        </w:rPr>
        <w:t>in insecure accommodations</w:t>
      </w:r>
      <w:r>
        <w:t xml:space="preserve">. These are, for example, people who temporary live with families and friends, have no legal (sub)tenancy and illegally occupy the land. In the literature, the term </w:t>
      </w:r>
      <w:r w:rsidRPr="00B11034">
        <w:rPr>
          <w:i/>
        </w:rPr>
        <w:t>double-up families</w:t>
      </w:r>
      <w:r>
        <w:t xml:space="preserve"> </w:t>
      </w:r>
      <w:proofErr w:type="gramStart"/>
      <w:r>
        <w:t>is</w:t>
      </w:r>
      <w:proofErr w:type="gramEnd"/>
      <w:r>
        <w:t xml:space="preserve"> widely used to distinguish people living with family and friends temporary. </w:t>
      </w:r>
      <w:r w:rsidRPr="009D46A4">
        <w:t xml:space="preserve">However, </w:t>
      </w:r>
      <w:r w:rsidRPr="009D46A4">
        <w:rPr>
          <w:lang w:val="en-GB"/>
        </w:rPr>
        <w:t>several studies</w:t>
      </w:r>
      <w:r w:rsidRPr="009D46A4">
        <w:t xml:space="preserve"> do not pay attention the duration of staying just simply consider that doubled up families should go into unstable housing category independent from what time they spend in this household</w:t>
      </w:r>
      <w:r>
        <w:t>.</w:t>
      </w:r>
      <w:r w:rsidRPr="009D46A4">
        <w:t xml:space="preserve"> </w:t>
      </w:r>
      <w:r>
        <w:t>F</w:t>
      </w:r>
      <w:r w:rsidRPr="009D46A4">
        <w:t>or example</w:t>
      </w:r>
      <w:r>
        <w:t>,</w:t>
      </w:r>
      <w:r w:rsidRPr="009D46A4">
        <w:t xml:space="preserve"> </w:t>
      </w:r>
      <w:proofErr w:type="spellStart"/>
      <w:r w:rsidRPr="009D46A4">
        <w:t>Burgard</w:t>
      </w:r>
      <w:proofErr w:type="spellEnd"/>
      <w:r w:rsidRPr="009D46A4">
        <w:t xml:space="preserve"> et al. (2012) </w:t>
      </w:r>
      <w:r>
        <w:t xml:space="preserve">describes </w:t>
      </w:r>
      <w:r w:rsidRPr="009D46A4">
        <w:t>doubling up</w:t>
      </w:r>
      <w:r>
        <w:t xml:space="preserve"> as</w:t>
      </w:r>
      <w:r w:rsidRPr="009D46A4">
        <w:t xml:space="preserve"> the situation when a person lives with their families or friends without paying for it, while Kathryn T. Bailey et al. (2015) names the household doubled up if a person lives with a household for a while because of economic difficulty.</w:t>
      </w:r>
      <w:r>
        <w:t xml:space="preserve"> </w:t>
      </w:r>
    </w:p>
    <w:p w14:paraId="62A9E635" w14:textId="77777777" w:rsidR="00813727" w:rsidRDefault="00813727" w:rsidP="00813727">
      <w:pPr>
        <w:jc w:val="both"/>
        <w:rPr>
          <w:rFonts w:cstheme="minorHAnsi"/>
          <w:lang w:val="en-GB"/>
        </w:rPr>
      </w:pPr>
      <w:r>
        <w:rPr>
          <w:rFonts w:cstheme="minorHAnsi"/>
        </w:rPr>
        <w:t xml:space="preserve">The last group listed in table 1 is that of </w:t>
      </w:r>
      <w:r w:rsidRPr="00FF2D86">
        <w:rPr>
          <w:rFonts w:cstheme="minorHAnsi"/>
          <w:b/>
          <w:bCs/>
        </w:rPr>
        <w:t>people living in inadequate housing conditions</w:t>
      </w:r>
      <w:r>
        <w:rPr>
          <w:rFonts w:cstheme="minorHAnsi"/>
        </w:rPr>
        <w:t xml:space="preserve">. These individuals are those living </w:t>
      </w:r>
      <w:r w:rsidRPr="00D11BED">
        <w:rPr>
          <w:rFonts w:cstheme="minorHAnsi"/>
        </w:rPr>
        <w:t>in temporary/non-conventional structures</w:t>
      </w:r>
      <w:r>
        <w:rPr>
          <w:rFonts w:cstheme="minorHAnsi"/>
        </w:rPr>
        <w:t>, including people living in m</w:t>
      </w:r>
      <w:r w:rsidRPr="00D11BED">
        <w:rPr>
          <w:rFonts w:cstheme="minorHAnsi"/>
        </w:rPr>
        <w:t>obile homes</w:t>
      </w:r>
      <w:r>
        <w:rPr>
          <w:rFonts w:cstheme="minorHAnsi"/>
        </w:rPr>
        <w:t>, non-conventional building and t</w:t>
      </w:r>
      <w:r w:rsidRPr="00D11BED">
        <w:rPr>
          <w:rFonts w:cstheme="minorHAnsi"/>
        </w:rPr>
        <w:t>emporary structure</w:t>
      </w:r>
      <w:r>
        <w:rPr>
          <w:rFonts w:cstheme="minorHAnsi"/>
        </w:rPr>
        <w:t xml:space="preserve">s, people in unfit housing and extreme overcrowding. As in Georgia there is no official definition, nor any objective methodology to measure unfit housing, in this analysis we will be referring to the </w:t>
      </w:r>
      <w:r w:rsidRPr="003D38DD">
        <w:rPr>
          <w:rFonts w:cstheme="minorHAnsi"/>
        </w:rPr>
        <w:t>definitions provided by sustainable development targets (</w:t>
      </w:r>
      <w:r>
        <w:rPr>
          <w:rFonts w:cstheme="minorHAnsi"/>
        </w:rPr>
        <w:t xml:space="preserve">in particular, target </w:t>
      </w:r>
      <w:r w:rsidRPr="003D38DD">
        <w:rPr>
          <w:rFonts w:cstheme="minorHAnsi"/>
        </w:rPr>
        <w:t>11.1)</w:t>
      </w:r>
      <w:r>
        <w:rPr>
          <w:rFonts w:cstheme="minorHAnsi"/>
        </w:rPr>
        <w:t xml:space="preserve">. According to the definition in target 11.1, a </w:t>
      </w:r>
      <w:r w:rsidRPr="003D38DD">
        <w:rPr>
          <w:rFonts w:cstheme="minorHAnsi"/>
        </w:rPr>
        <w:t xml:space="preserve">fit house should be built with </w:t>
      </w:r>
      <w:r>
        <w:rPr>
          <w:rFonts w:cstheme="minorHAnsi"/>
        </w:rPr>
        <w:t xml:space="preserve">a </w:t>
      </w:r>
      <w:r w:rsidRPr="003D38DD">
        <w:rPr>
          <w:rFonts w:cstheme="minorHAnsi"/>
        </w:rPr>
        <w:t xml:space="preserve">permanent building structure, </w:t>
      </w:r>
      <w:r>
        <w:rPr>
          <w:rFonts w:cstheme="minorHAnsi"/>
        </w:rPr>
        <w:t>and follow</w:t>
      </w:r>
      <w:r w:rsidRPr="003D38DD">
        <w:rPr>
          <w:rFonts w:cstheme="minorHAnsi"/>
        </w:rPr>
        <w:t xml:space="preserve"> </w:t>
      </w:r>
      <w:r>
        <w:rPr>
          <w:rFonts w:cstheme="minorHAnsi"/>
        </w:rPr>
        <w:t>prescribed</w:t>
      </w:r>
      <w:r w:rsidRPr="003D38DD">
        <w:rPr>
          <w:rFonts w:cstheme="minorHAnsi"/>
        </w:rPr>
        <w:t xml:space="preserve"> specifications for toilets and water supply.</w:t>
      </w:r>
      <w:r>
        <w:rPr>
          <w:rFonts w:cstheme="minorHAnsi"/>
        </w:rPr>
        <w:t xml:space="preserve"> Overcrowding is considered as an issue because, it promotes </w:t>
      </w:r>
      <w:r>
        <w:rPr>
          <w:rFonts w:cstheme="minorHAnsi"/>
          <w:lang w:val="en-GB"/>
        </w:rPr>
        <w:t xml:space="preserve">prevalence of infection diseases, also can deteriorate physical health of the family members and put children in the disadvantageous conditions in terms of getting education. </w:t>
      </w:r>
    </w:p>
    <w:p w14:paraId="2AF15A85" w14:textId="77777777" w:rsidR="00813727" w:rsidRPr="00127771" w:rsidRDefault="00813727" w:rsidP="00813727">
      <w:pPr>
        <w:shd w:val="clear" w:color="auto" w:fill="FFFFFF"/>
        <w:spacing w:before="100" w:beforeAutospacing="1" w:after="100" w:afterAutospacing="1" w:line="240" w:lineRule="auto"/>
        <w:ind w:left="24"/>
        <w:jc w:val="both"/>
        <w:rPr>
          <w:rFonts w:cstheme="minorHAnsi"/>
          <w:lang w:val="en-GB"/>
        </w:rPr>
      </w:pPr>
      <w:r>
        <w:rPr>
          <w:rFonts w:cstheme="minorHAnsi"/>
          <w:lang w:val="en-GB"/>
        </w:rPr>
        <w:t xml:space="preserve">In our work we will be following the UN Habitat and SDG definitions. According to UN Habitat, </w:t>
      </w:r>
      <w:r>
        <w:t>overcrowding occurs if there are more than three people per habitable room, while based on SDG goal 11.1 overcrowding happens if there is less than 9 m</w:t>
      </w:r>
      <w:r>
        <w:rPr>
          <w:vertAlign w:val="superscript"/>
        </w:rPr>
        <w:t>2</w:t>
      </w:r>
      <w:r>
        <w:t xml:space="preserve"> living area per person. </w:t>
      </w:r>
    </w:p>
    <w:p w14:paraId="082A5CF0" w14:textId="77777777" w:rsidR="00813727" w:rsidRPr="0089690C" w:rsidRDefault="00813727" w:rsidP="00813727">
      <w:pPr>
        <w:ind w:left="24"/>
        <w:jc w:val="both"/>
        <w:rPr>
          <w:lang w:val="en-GB"/>
        </w:rPr>
      </w:pPr>
      <w:r>
        <w:rPr>
          <w:lang w:val="en-GB"/>
        </w:rPr>
        <w:t xml:space="preserve">Typically, countries choose to focus on the issue of homelessness instead of the more general “unstable housing”. Even in this case, however, definitions differ. As an example of the “menu approach” followed </w:t>
      </w:r>
      <w:r>
        <w:rPr>
          <w:lang w:val="en-GB"/>
        </w:rPr>
        <w:lastRenderedPageBreak/>
        <w:t>by countries when dealing with unstable housing issues, t</w:t>
      </w:r>
      <w:r w:rsidRPr="0089690C">
        <w:rPr>
          <w:lang w:val="en-GB"/>
        </w:rPr>
        <w:t xml:space="preserve">he </w:t>
      </w:r>
      <w:r w:rsidRPr="009D13A4">
        <w:rPr>
          <w:lang w:val="en-GB"/>
        </w:rPr>
        <w:t>Uni</w:t>
      </w:r>
      <w:r w:rsidRPr="004C3BCA">
        <w:rPr>
          <w:lang w:val="en-GB"/>
        </w:rPr>
        <w:t>ted States</w:t>
      </w:r>
      <w:r>
        <w:rPr>
          <w:lang w:val="en-GB"/>
        </w:rPr>
        <w:t xml:space="preserve"> typically</w:t>
      </w:r>
      <w:r w:rsidRPr="0089690C">
        <w:rPr>
          <w:lang w:val="en-GB"/>
        </w:rPr>
        <w:t xml:space="preserve"> </w:t>
      </w:r>
      <w:r>
        <w:rPr>
          <w:lang w:val="en-GB"/>
        </w:rPr>
        <w:t>focus</w:t>
      </w:r>
      <w:r w:rsidRPr="0089690C">
        <w:rPr>
          <w:lang w:val="en-GB"/>
        </w:rPr>
        <w:t xml:space="preserve"> only </w:t>
      </w:r>
      <w:r>
        <w:rPr>
          <w:lang w:val="en-GB"/>
        </w:rPr>
        <w:t xml:space="preserve">on </w:t>
      </w:r>
      <w:r w:rsidRPr="0089690C">
        <w:rPr>
          <w:lang w:val="en-GB"/>
        </w:rPr>
        <w:t>three categories (‘People living rough’, ‘People staying in a night shelter’ and ‘people in accommodation for homeless’</w:t>
      </w:r>
      <w:r w:rsidRPr="009D13A4">
        <w:rPr>
          <w:lang w:val="en-GB"/>
        </w:rPr>
        <w:t>)</w:t>
      </w:r>
      <w:r>
        <w:rPr>
          <w:lang w:val="en-GB"/>
        </w:rPr>
        <w:t>,</w:t>
      </w:r>
      <w:r w:rsidRPr="0089690C">
        <w:rPr>
          <w:lang w:val="en-GB"/>
        </w:rPr>
        <w:t xml:space="preserve"> while in Australia and in most of the European countries two more categories (‘People living in insecure accommodation’ and ‘People living in temporary/non-conventional structures’) are added</w:t>
      </w:r>
      <w:r>
        <w:rPr>
          <w:lang w:val="en-GB"/>
        </w:rPr>
        <w:t xml:space="preserve"> </w:t>
      </w:r>
      <w:sdt>
        <w:sdtPr>
          <w:rPr>
            <w:lang w:val="en-GB"/>
          </w:rPr>
          <w:id w:val="1809968412"/>
          <w:citation/>
        </w:sdtPr>
        <w:sdtEndPr/>
        <w:sdtContent>
          <w:r w:rsidRPr="00CF01FB">
            <w:rPr>
              <w:lang w:val="en-GB"/>
            </w:rPr>
            <w:fldChar w:fldCharType="begin"/>
          </w:r>
          <w:r w:rsidRPr="006442A4">
            <w:rPr>
              <w:lang w:val="en-GB"/>
            </w:rPr>
            <w:instrText xml:space="preserve"> CITATION BOF19 \l 2057 </w:instrText>
          </w:r>
          <w:r w:rsidRPr="00CF01FB">
            <w:rPr>
              <w:lang w:val="en-GB"/>
            </w:rPr>
            <w:fldChar w:fldCharType="separate"/>
          </w:r>
          <w:r>
            <w:rPr>
              <w:noProof/>
              <w:lang w:val="en-GB"/>
            </w:rPr>
            <w:t>(O'Flaherty, 2019)</w:t>
          </w:r>
          <w:r w:rsidRPr="00CF01FB">
            <w:rPr>
              <w:lang w:val="en-GB"/>
            </w:rPr>
            <w:fldChar w:fldCharType="end"/>
          </w:r>
        </w:sdtContent>
      </w:sdt>
      <w:r w:rsidRPr="0089690C">
        <w:rPr>
          <w:lang w:val="en-GB"/>
        </w:rPr>
        <w:t xml:space="preserve">. </w:t>
      </w:r>
    </w:p>
    <w:p w14:paraId="5C3C14A4" w14:textId="77777777" w:rsidR="00813727" w:rsidRPr="0089690C" w:rsidRDefault="00813727" w:rsidP="00813727">
      <w:pPr>
        <w:shd w:val="clear" w:color="auto" w:fill="FFFFFF"/>
        <w:spacing w:before="100" w:beforeAutospacing="1" w:after="100" w:afterAutospacing="1" w:line="240" w:lineRule="auto"/>
        <w:jc w:val="both"/>
        <w:rPr>
          <w:rFonts w:cstheme="minorHAnsi"/>
          <w:lang w:val="en-GB"/>
        </w:rPr>
      </w:pPr>
      <w:r>
        <w:rPr>
          <w:rFonts w:cstheme="minorHAnsi"/>
          <w:lang w:val="en-GB"/>
        </w:rPr>
        <w:t>In our work we will attempt a preliminary and comprehensive assessment of the unstable housing challenges characterizing Georgia, to provide the broadest possible framework for future discussions.</w:t>
      </w:r>
    </w:p>
    <w:p w14:paraId="07F0ACED" w14:textId="77777777" w:rsidR="00813727" w:rsidRDefault="00813727" w:rsidP="00813727">
      <w:pPr>
        <w:pStyle w:val="Heading3"/>
        <w:jc w:val="both"/>
        <w:rPr>
          <w:lang w:val="en-GB"/>
        </w:rPr>
      </w:pPr>
      <w:r>
        <w:rPr>
          <w:lang w:val="en-GB"/>
        </w:rPr>
        <w:t>Measuring homelessness</w:t>
      </w:r>
    </w:p>
    <w:p w14:paraId="3726AF4E" w14:textId="77777777" w:rsidR="00813727" w:rsidRDefault="00813727" w:rsidP="00813727">
      <w:pPr>
        <w:ind w:left="24"/>
        <w:jc w:val="both"/>
        <w:rPr>
          <w:lang w:val="en-GB"/>
        </w:rPr>
      </w:pPr>
    </w:p>
    <w:p w14:paraId="62200772" w14:textId="77777777" w:rsidR="00813727" w:rsidRPr="0089690C" w:rsidRDefault="00813727" w:rsidP="00813727">
      <w:pPr>
        <w:ind w:left="24"/>
        <w:jc w:val="both"/>
        <w:rPr>
          <w:lang w:val="en-GB"/>
        </w:rPr>
      </w:pPr>
      <w:r>
        <w:rPr>
          <w:lang w:val="en-GB"/>
        </w:rPr>
        <w:t>Countries are typically interested in measuring homelessness. As with the definition of homelessness, also</w:t>
      </w:r>
      <w:r w:rsidRPr="0089690C">
        <w:rPr>
          <w:lang w:val="en-GB"/>
        </w:rPr>
        <w:t xml:space="preserve"> methodology to register and account homeless people differs among the countries, as well as among the regions and states within the countries. Due to the difficulties associated with accounting homeless the</w:t>
      </w:r>
      <w:r w:rsidRPr="009D13A4">
        <w:rPr>
          <w:lang w:val="en-GB"/>
        </w:rPr>
        <w:t xml:space="preserve"> existing data is not always high quality. Methods counting homeless people incl</w:t>
      </w:r>
      <w:r w:rsidRPr="004C3BCA">
        <w:rPr>
          <w:lang w:val="en-GB"/>
        </w:rPr>
        <w:t>ude: point-in-time count of sheltered and unsheltered homeless people</w:t>
      </w:r>
      <w:r w:rsidRPr="00610BE1">
        <w:rPr>
          <w:lang w:val="en-GB"/>
        </w:rPr>
        <w:t xml:space="preserve"> on a night of late January, information about the characteristics of sheltered people during the year, num</w:t>
      </w:r>
      <w:r w:rsidRPr="006442A4">
        <w:rPr>
          <w:lang w:val="en-GB"/>
        </w:rPr>
        <w:t xml:space="preserve">ber of beds available in the homeless shelters </w:t>
      </w:r>
      <w:sdt>
        <w:sdtPr>
          <w:rPr>
            <w:lang w:val="en-GB"/>
          </w:rPr>
          <w:id w:val="-1284880683"/>
          <w:citation/>
        </w:sdtPr>
        <w:sdtEndPr/>
        <w:sdtContent>
          <w:r w:rsidRPr="00CF01FB">
            <w:rPr>
              <w:lang w:val="en-GB"/>
            </w:rPr>
            <w:fldChar w:fldCharType="begin"/>
          </w:r>
          <w:r w:rsidRPr="006442A4">
            <w:rPr>
              <w:lang w:val="en-GB"/>
            </w:rPr>
            <w:instrText xml:space="preserve"> CITATION BOF19 \l 2057 </w:instrText>
          </w:r>
          <w:r w:rsidRPr="00CF01FB">
            <w:rPr>
              <w:lang w:val="en-GB"/>
            </w:rPr>
            <w:fldChar w:fldCharType="separate"/>
          </w:r>
          <w:r>
            <w:rPr>
              <w:noProof/>
              <w:lang w:val="en-GB"/>
            </w:rPr>
            <w:t>(O'Flaherty, 2019)</w:t>
          </w:r>
          <w:r w:rsidRPr="00CF01FB">
            <w:rPr>
              <w:lang w:val="en-GB"/>
            </w:rPr>
            <w:fldChar w:fldCharType="end"/>
          </w:r>
        </w:sdtContent>
      </w:sdt>
      <w:r w:rsidRPr="0089690C">
        <w:rPr>
          <w:lang w:val="en-GB"/>
        </w:rPr>
        <w:t>.</w:t>
      </w:r>
    </w:p>
    <w:p w14:paraId="01CA7E87" w14:textId="1456ED39" w:rsidR="00813727" w:rsidRPr="0089690C" w:rsidRDefault="00813727" w:rsidP="00813727">
      <w:pPr>
        <w:ind w:left="24"/>
        <w:jc w:val="both"/>
        <w:rPr>
          <w:lang w:val="en-GB"/>
        </w:rPr>
      </w:pPr>
      <w:r w:rsidRPr="009D13A4">
        <w:rPr>
          <w:lang w:val="en-GB"/>
        </w:rPr>
        <w:t>The UK use</w:t>
      </w:r>
      <w:r w:rsidRPr="004C3BCA">
        <w:rPr>
          <w:lang w:val="en-GB"/>
        </w:rPr>
        <w:t>s</w:t>
      </w:r>
      <w:r w:rsidRPr="00610BE1">
        <w:rPr>
          <w:lang w:val="en-GB"/>
        </w:rPr>
        <w:t xml:space="preserve"> a different approach of registering/coun</w:t>
      </w:r>
      <w:r w:rsidRPr="006442A4">
        <w:rPr>
          <w:lang w:val="en-GB"/>
        </w:rPr>
        <w:t xml:space="preserve">ting homelessness. They consider a person as a homeless if that person </w:t>
      </w:r>
      <w:r w:rsidR="00B26094" w:rsidRPr="006442A4">
        <w:rPr>
          <w:lang w:val="en-GB"/>
        </w:rPr>
        <w:t xml:space="preserve">cannot be </w:t>
      </w:r>
      <w:r w:rsidRPr="006442A4">
        <w:rPr>
          <w:lang w:val="en-GB"/>
        </w:rPr>
        <w:t xml:space="preserve">reasonably expected to live </w:t>
      </w:r>
      <w:r w:rsidR="005A66BB">
        <w:rPr>
          <w:lang w:val="en-GB"/>
        </w:rPr>
        <w:t>anyw</w:t>
      </w:r>
      <w:r w:rsidRPr="006442A4">
        <w:rPr>
          <w:lang w:val="en-GB"/>
        </w:rPr>
        <w:t>here. The statistics of homelessness is based only on the number of people/households who applied for the registry and were considered as eligible to get governmental assistance. So, they automatically exclude people who chose not to present to a service and those who have not seen eligible to get the assistance</w:t>
      </w:r>
      <w:sdt>
        <w:sdtPr>
          <w:rPr>
            <w:lang w:val="en-GB"/>
          </w:rPr>
          <w:id w:val="-1672025869"/>
          <w:citation/>
        </w:sdtPr>
        <w:sdtEndPr/>
        <w:sdtContent>
          <w:r w:rsidRPr="00CF01FB">
            <w:rPr>
              <w:lang w:val="en-GB"/>
            </w:rPr>
            <w:fldChar w:fldCharType="begin"/>
          </w:r>
          <w:r w:rsidRPr="006442A4">
            <w:rPr>
              <w:lang w:val="en-GB"/>
            </w:rPr>
            <w:instrText xml:space="preserve"> CITATION JMu07 \l 2057 </w:instrText>
          </w:r>
          <w:r w:rsidRPr="00CF01FB">
            <w:rPr>
              <w:lang w:val="en-GB"/>
            </w:rPr>
            <w:fldChar w:fldCharType="separate"/>
          </w:r>
          <w:r>
            <w:rPr>
              <w:noProof/>
              <w:lang w:val="en-GB"/>
            </w:rPr>
            <w:t xml:space="preserve"> (Munnery, 2007)</w:t>
          </w:r>
          <w:r w:rsidRPr="00CF01FB">
            <w:rPr>
              <w:lang w:val="en-GB"/>
            </w:rPr>
            <w:fldChar w:fldCharType="end"/>
          </w:r>
        </w:sdtContent>
      </w:sdt>
      <w:r w:rsidRPr="0089690C">
        <w:rPr>
          <w:lang w:val="en-GB"/>
        </w:rPr>
        <w:t xml:space="preserve">. </w:t>
      </w:r>
    </w:p>
    <w:p w14:paraId="5064B9EA" w14:textId="77777777" w:rsidR="00813727" w:rsidRPr="00E80CE5" w:rsidRDefault="00813727" w:rsidP="00813727">
      <w:pPr>
        <w:shd w:val="clear" w:color="auto" w:fill="FFFFFF"/>
        <w:spacing w:before="100" w:beforeAutospacing="1" w:after="100" w:afterAutospacing="1" w:line="240" w:lineRule="auto"/>
        <w:ind w:left="24"/>
        <w:jc w:val="both"/>
        <w:rPr>
          <w:rFonts w:cstheme="minorHAnsi"/>
          <w:lang w:val="en-GB"/>
        </w:rPr>
      </w:pPr>
      <w:r w:rsidRPr="0089690C">
        <w:rPr>
          <w:lang w:val="en-GB"/>
        </w:rPr>
        <w:t>One of the most problematic issue</w:t>
      </w:r>
      <w:r>
        <w:rPr>
          <w:lang w:val="en-GB"/>
        </w:rPr>
        <w:t>s</w:t>
      </w:r>
      <w:r w:rsidRPr="0089690C">
        <w:rPr>
          <w:lang w:val="en-GB"/>
        </w:rPr>
        <w:t xml:space="preserve"> regarding the homeless people is the provision of shelters for them. The num</w:t>
      </w:r>
      <w:r w:rsidRPr="009D13A4">
        <w:rPr>
          <w:rFonts w:cstheme="minorHAnsi"/>
          <w:lang w:val="en-GB"/>
        </w:rPr>
        <w:t>ber of sheltered homeless is hig</w:t>
      </w:r>
      <w:r w:rsidRPr="004C3BCA">
        <w:rPr>
          <w:rFonts w:cstheme="minorHAnsi"/>
          <w:lang w:val="en-GB"/>
        </w:rPr>
        <w:t>hly constrained with the availability of the shelter space. In case of the sheltere</w:t>
      </w:r>
      <w:r w:rsidRPr="00610BE1">
        <w:rPr>
          <w:rFonts w:cstheme="minorHAnsi"/>
          <w:lang w:val="en-GB"/>
        </w:rPr>
        <w:t>d people supply and demand of shelters are not the only determinan</w:t>
      </w:r>
      <w:r w:rsidRPr="00CF01FB">
        <w:rPr>
          <w:rFonts w:cstheme="minorHAnsi"/>
          <w:lang w:val="en-GB"/>
        </w:rPr>
        <w:t>ts of the number of sheltered people, the quality of shelters also matters.  The number of homeless people who</w:t>
      </w:r>
      <w:r w:rsidRPr="006066AB">
        <w:rPr>
          <w:rFonts w:cstheme="minorHAnsi"/>
          <w:lang w:val="en-GB"/>
        </w:rPr>
        <w:t xml:space="preserve"> are willing to get the shelter service significantly depends on the quality of shelters: the better quality, the more people want to stay. The high-quality shelter implies high cost per person for the shelter, consequently it is available for less people, but more people are willing to stay. The relationship between the quality of the shelter and the number of people willing to get the service is called ‘generosity curve’ </w:t>
      </w:r>
      <w:sdt>
        <w:sdtPr>
          <w:rPr>
            <w:lang w:val="en-GB"/>
          </w:rPr>
          <w:id w:val="648325627"/>
          <w:citation/>
        </w:sdtPr>
        <w:sdtEndPr/>
        <w:sdtContent>
          <w:r w:rsidRPr="0089690C">
            <w:rPr>
              <w:rFonts w:cstheme="minorHAnsi"/>
              <w:lang w:val="en-GB"/>
            </w:rPr>
            <w:fldChar w:fldCharType="begin"/>
          </w:r>
          <w:r w:rsidRPr="006066AB">
            <w:rPr>
              <w:rFonts w:cstheme="minorHAnsi"/>
              <w:lang w:val="en-GB"/>
            </w:rPr>
            <w:instrText xml:space="preserve"> CITATION BOF19 \l 2057 </w:instrText>
          </w:r>
          <w:r w:rsidRPr="0089690C">
            <w:rPr>
              <w:rFonts w:cstheme="minorHAnsi"/>
              <w:lang w:val="en-GB"/>
            </w:rPr>
            <w:fldChar w:fldCharType="separate"/>
          </w:r>
          <w:r w:rsidRPr="0060317C">
            <w:rPr>
              <w:rFonts w:cstheme="minorHAnsi"/>
              <w:noProof/>
              <w:lang w:val="en-GB"/>
            </w:rPr>
            <w:t>(O'Flaherty, 2019)</w:t>
          </w:r>
          <w:r w:rsidRPr="0089690C">
            <w:rPr>
              <w:rFonts w:cstheme="minorHAnsi"/>
              <w:lang w:val="en-GB"/>
            </w:rPr>
            <w:fldChar w:fldCharType="end"/>
          </w:r>
        </w:sdtContent>
      </w:sdt>
      <w:r w:rsidRPr="0089690C">
        <w:rPr>
          <w:rFonts w:cstheme="minorHAnsi"/>
          <w:lang w:val="en-GB"/>
        </w:rPr>
        <w:t>.</w:t>
      </w:r>
    </w:p>
    <w:p w14:paraId="433D1AAE" w14:textId="77777777" w:rsidR="00813727" w:rsidRDefault="00813727" w:rsidP="00813727">
      <w:pPr>
        <w:pStyle w:val="Heading2"/>
        <w:jc w:val="both"/>
      </w:pPr>
      <w:r>
        <w:t>Why Unstable Housing is an Important Issue</w:t>
      </w:r>
    </w:p>
    <w:p w14:paraId="1A35596F" w14:textId="77777777" w:rsidR="00813727" w:rsidRPr="00317B64" w:rsidRDefault="00813727" w:rsidP="00813727">
      <w:pPr>
        <w:jc w:val="both"/>
      </w:pPr>
    </w:p>
    <w:p w14:paraId="0BB4B119" w14:textId="77777777" w:rsidR="00813727" w:rsidRDefault="00813727" w:rsidP="00813727">
      <w:pPr>
        <w:jc w:val="both"/>
        <w:rPr>
          <w:rFonts w:cstheme="minorHAnsi"/>
        </w:rPr>
      </w:pPr>
      <w:r w:rsidRPr="00D11BED">
        <w:rPr>
          <w:rFonts w:cstheme="minorHAnsi"/>
        </w:rPr>
        <w:t>The lack of the control on the residential environment leads to the socio-economic problems for the households</w:t>
      </w:r>
      <w:r>
        <w:rPr>
          <w:rFonts w:cstheme="minorHAnsi"/>
        </w:rPr>
        <w:t xml:space="preserve"> and the individuals exposed to it</w:t>
      </w:r>
      <w:r w:rsidRPr="00D11BED">
        <w:rPr>
          <w:rFonts w:cstheme="minorHAnsi"/>
        </w:rPr>
        <w:t xml:space="preserve">. </w:t>
      </w:r>
    </w:p>
    <w:p w14:paraId="2DFAC148" w14:textId="77777777" w:rsidR="00813727" w:rsidRDefault="00813727" w:rsidP="00813727">
      <w:pPr>
        <w:jc w:val="both"/>
        <w:rPr>
          <w:rFonts w:cstheme="minorHAnsi"/>
          <w:lang w:val="en-GB"/>
        </w:rPr>
      </w:pPr>
      <w:r>
        <w:rPr>
          <w:rFonts w:cstheme="minorHAnsi"/>
        </w:rPr>
        <w:t>Living in an unstable housing environment can cause significant physical and mental health problems (</w:t>
      </w:r>
      <w:r>
        <w:rPr>
          <w:rFonts w:cstheme="minorHAnsi"/>
          <w:lang w:val="en-GB"/>
        </w:rPr>
        <w:t xml:space="preserve">O’Flaherty, 2019). Other accompanying factors such as loss of job, physical health shocks, destroying of social relationships can also have an influence on the psychological problems of the homeless person. </w:t>
      </w:r>
    </w:p>
    <w:p w14:paraId="07D5BFA6" w14:textId="77777777" w:rsidR="00813727" w:rsidRDefault="00813727" w:rsidP="00813727">
      <w:pPr>
        <w:jc w:val="both"/>
        <w:rPr>
          <w:rFonts w:cstheme="minorHAnsi"/>
        </w:rPr>
      </w:pPr>
      <w:r>
        <w:rPr>
          <w:rFonts w:cstheme="minorHAnsi"/>
        </w:rPr>
        <w:lastRenderedPageBreak/>
        <w:t>Individuals experiencing living in inadequate or unfit conditions often suffer from deteriorated health, because they might live in the houses without proper heating, or with inappropriate walls and floor. Health problems for those spending nights in outside public spaces can become even worth. On one hand, this group of people do not have proper living conditions, on the other hand, they do not have funds to take care on health problems. Furthermore, living in open air and do not have permanent address restricts them from getting social assistance, use public health insurance and etc.  Stress associated with the frequent movements and/or living in inadequate conditions also can significantly deteriorate the mental health of the homeless person. Moreover, living in physically insecure environment can also be a reason of increased crime rates, because living in open space increases the risk of being attacked, rubbered and etc.</w:t>
      </w:r>
      <w:r>
        <w:rPr>
          <w:rFonts w:ascii="Sylfaen" w:hAnsi="Sylfaen" w:cstheme="minorHAnsi"/>
          <w:lang w:val="ka-GE"/>
        </w:rPr>
        <w:t xml:space="preserve"> </w:t>
      </w:r>
      <w:sdt>
        <w:sdtPr>
          <w:rPr>
            <w:rFonts w:cstheme="minorHAnsi"/>
            <w:lang w:val="ka-GE"/>
          </w:rPr>
          <w:id w:val="-626015290"/>
          <w:citation/>
        </w:sdtPr>
        <w:sdtEndPr/>
        <w:sdtContent>
          <w:r w:rsidRPr="00D74D8C">
            <w:rPr>
              <w:rFonts w:cstheme="minorHAnsi"/>
              <w:lang w:val="ka-GE"/>
            </w:rPr>
            <w:fldChar w:fldCharType="begin"/>
          </w:r>
          <w:r w:rsidRPr="00D74D8C">
            <w:rPr>
              <w:rFonts w:cstheme="minorHAnsi"/>
              <w:lang w:val="en-GB"/>
            </w:rPr>
            <w:instrText xml:space="preserve"> CITATION NSw18 \l 2057 </w:instrText>
          </w:r>
          <w:r w:rsidRPr="00D74D8C">
            <w:rPr>
              <w:rFonts w:cstheme="minorHAnsi"/>
              <w:lang w:val="ka-GE"/>
            </w:rPr>
            <w:fldChar w:fldCharType="separate"/>
          </w:r>
          <w:r w:rsidRPr="0060317C">
            <w:rPr>
              <w:rFonts w:cstheme="minorHAnsi"/>
              <w:noProof/>
              <w:lang w:val="en-GB"/>
            </w:rPr>
            <w:t>(Swami, 2018)</w:t>
          </w:r>
          <w:r w:rsidRPr="00D74D8C">
            <w:rPr>
              <w:rFonts w:cstheme="minorHAnsi"/>
              <w:lang w:val="ka-GE"/>
            </w:rPr>
            <w:fldChar w:fldCharType="end"/>
          </w:r>
        </w:sdtContent>
      </w:sdt>
      <w:r w:rsidRPr="00D74D8C">
        <w:rPr>
          <w:rFonts w:cstheme="minorHAnsi"/>
          <w:lang w:val="en-GB"/>
        </w:rPr>
        <w:t>.</w:t>
      </w:r>
    </w:p>
    <w:p w14:paraId="2E260AA3" w14:textId="77777777" w:rsidR="00813727" w:rsidRDefault="00813727" w:rsidP="00813727">
      <w:pPr>
        <w:jc w:val="both"/>
        <w:rPr>
          <w:rFonts w:cstheme="minorHAnsi"/>
        </w:rPr>
      </w:pPr>
      <w:r>
        <w:rPr>
          <w:rFonts w:cstheme="minorHAnsi"/>
        </w:rPr>
        <w:t xml:space="preserve">In addition, frequent movements and living in inadequate conditions (including living in overcrowded and unfit housing conditions) significantly deteriorates education outcomes of the kids. Firstly, kids do not have proper learning environment at home (including access to the basic study materials), in addition, if they experience frequent movements it can be associated with rapid changes of the schools, and adaptation with new teachers, classmates and environment can also hinder the children learning outcomes </w:t>
      </w:r>
      <w:sdt>
        <w:sdtPr>
          <w:rPr>
            <w:rFonts w:cstheme="minorHAnsi"/>
          </w:rPr>
          <w:id w:val="-132952013"/>
          <w:citation/>
        </w:sdtPr>
        <w:sdtEndPr/>
        <w:sdtContent>
          <w:r>
            <w:rPr>
              <w:rFonts w:cstheme="minorHAnsi"/>
            </w:rPr>
            <w:fldChar w:fldCharType="begin"/>
          </w:r>
          <w:r>
            <w:rPr>
              <w:rFonts w:cstheme="minorHAnsi"/>
              <w:lang w:val="en-GB"/>
            </w:rPr>
            <w:instrText xml:space="preserve"> CITATION She03 \l 2057 </w:instrText>
          </w:r>
          <w:r>
            <w:rPr>
              <w:rFonts w:cstheme="minorHAnsi"/>
            </w:rPr>
            <w:fldChar w:fldCharType="separate"/>
          </w:r>
          <w:r w:rsidRPr="0060317C">
            <w:rPr>
              <w:rFonts w:cstheme="minorHAnsi"/>
              <w:noProof/>
              <w:lang w:val="en-GB"/>
            </w:rPr>
            <w:t>(Crowley, The Affordable Housing Crisis: Residential Mobility of Poor Families and School Mobility of Poor Children , 2003)</w:t>
          </w:r>
          <w:r>
            <w:rPr>
              <w:rFonts w:cstheme="minorHAnsi"/>
            </w:rPr>
            <w:fldChar w:fldCharType="end"/>
          </w:r>
        </w:sdtContent>
      </w:sdt>
      <w:r>
        <w:rPr>
          <w:rFonts w:cstheme="minorHAnsi"/>
        </w:rPr>
        <w:t>.</w:t>
      </w:r>
    </w:p>
    <w:p w14:paraId="0472E610" w14:textId="77777777" w:rsidR="00813727" w:rsidRDefault="00813727" w:rsidP="00813727">
      <w:pPr>
        <w:jc w:val="both"/>
        <w:rPr>
          <w:rFonts w:cstheme="minorHAnsi"/>
        </w:rPr>
      </w:pPr>
      <w:r>
        <w:rPr>
          <w:rFonts w:cstheme="minorHAnsi"/>
        </w:rPr>
        <w:t>Due to the fact that homelessness often causes deterioration of health and education outcomes it ca</w:t>
      </w:r>
      <w:r w:rsidRPr="00D11BED">
        <w:rPr>
          <w:rFonts w:cstheme="minorHAnsi"/>
        </w:rPr>
        <w:t>n become a reason of labor</w:t>
      </w:r>
      <w:r>
        <w:rPr>
          <w:rFonts w:cstheme="minorHAnsi"/>
        </w:rPr>
        <w:t xml:space="preserve"> market</w:t>
      </w:r>
      <w:r w:rsidRPr="00D11BED">
        <w:rPr>
          <w:rFonts w:cstheme="minorHAnsi"/>
        </w:rPr>
        <w:t xml:space="preserve"> discrimination – homeless people are sometimes rejected to get a job or even might be fired in case they lose a shelter. Such attitude worsens the socio-economic situation of vulnerable groups</w:t>
      </w:r>
      <w:r>
        <w:rPr>
          <w:rFonts w:cstheme="minorHAnsi"/>
        </w:rPr>
        <w:t xml:space="preserve"> </w:t>
      </w:r>
      <w:sdt>
        <w:sdtPr>
          <w:rPr>
            <w:rFonts w:cstheme="minorHAnsi"/>
          </w:rPr>
          <w:id w:val="1690409215"/>
          <w:citation/>
        </w:sdtPr>
        <w:sdtEndPr/>
        <w:sdtContent>
          <w:r>
            <w:rPr>
              <w:rFonts w:cstheme="minorHAnsi"/>
            </w:rPr>
            <w:fldChar w:fldCharType="begin"/>
          </w:r>
          <w:r>
            <w:rPr>
              <w:rFonts w:cstheme="minorHAnsi"/>
              <w:lang w:val="en-GB"/>
            </w:rPr>
            <w:instrText xml:space="preserve">CITATION Hum16 \l 2057 </w:instrText>
          </w:r>
          <w:r>
            <w:rPr>
              <w:rFonts w:cstheme="minorHAnsi"/>
            </w:rPr>
            <w:fldChar w:fldCharType="separate"/>
          </w:r>
          <w:r w:rsidRPr="00D74D8C">
            <w:rPr>
              <w:rFonts w:cstheme="minorHAnsi"/>
              <w:noProof/>
              <w:lang w:val="en-GB"/>
            </w:rPr>
            <w:t>(Human Rights Education and Monitoring Center, 2016)</w:t>
          </w:r>
          <w:r>
            <w:rPr>
              <w:rFonts w:cstheme="minorHAnsi"/>
            </w:rPr>
            <w:fldChar w:fldCharType="end"/>
          </w:r>
        </w:sdtContent>
      </w:sdt>
      <w:r>
        <w:rPr>
          <w:rFonts w:cstheme="minorHAnsi"/>
        </w:rPr>
        <w:t>.</w:t>
      </w:r>
      <w:r w:rsidRPr="00D11BED">
        <w:rPr>
          <w:rFonts w:cstheme="minorHAnsi"/>
        </w:rPr>
        <w:t xml:space="preserve"> </w:t>
      </w:r>
    </w:p>
    <w:p w14:paraId="46F094EE" w14:textId="77777777" w:rsidR="00813727" w:rsidRPr="003D38DD" w:rsidRDefault="00813727" w:rsidP="00813727">
      <w:pPr>
        <w:jc w:val="both"/>
      </w:pPr>
      <w:r>
        <w:rPr>
          <w:rFonts w:cstheme="minorHAnsi"/>
          <w:lang w:val="en-GB"/>
        </w:rPr>
        <w:t xml:space="preserve">Being a homeless (or live in an inadequate housing conditions) can have a significant effect on the job market outcomes in several dimensions. Firstly, lack of social connections and inconvenient living location can make finding a job difficult for homeless people. If a person is grown up in unstable housing conditions (including being roofless, or live in unfit housing conditions) this can lead to low education and health outcomes. These can have two negative impacts: increased cost of job search and lower offered wage. Factors associated with homelessness, such as high level on mental and physical stress, frequent moves, living in unfit housing in inconvenient locations can harm the productivity of worker and negatively effect on the retaining of job </w:t>
      </w:r>
      <w:sdt>
        <w:sdtPr>
          <w:rPr>
            <w:rFonts w:cstheme="minorHAnsi"/>
            <w:lang w:val="en-GB"/>
          </w:rPr>
          <w:id w:val="1658493204"/>
          <w:citation/>
        </w:sdtPr>
        <w:sdtEndPr/>
        <w:sdtContent>
          <w:r>
            <w:rPr>
              <w:rFonts w:cstheme="minorHAnsi"/>
              <w:lang w:val="en-GB"/>
            </w:rPr>
            <w:fldChar w:fldCharType="begin"/>
          </w:r>
          <w:r>
            <w:rPr>
              <w:rFonts w:cstheme="minorHAnsi"/>
              <w:lang w:val="en-GB"/>
            </w:rPr>
            <w:instrText xml:space="preserve"> CITATION NSw18 \l 2057 </w:instrText>
          </w:r>
          <w:r>
            <w:rPr>
              <w:rFonts w:cstheme="minorHAnsi"/>
              <w:lang w:val="en-GB"/>
            </w:rPr>
            <w:fldChar w:fldCharType="separate"/>
          </w:r>
          <w:r w:rsidRPr="0060317C">
            <w:rPr>
              <w:rFonts w:cstheme="minorHAnsi"/>
              <w:noProof/>
              <w:lang w:val="en-GB"/>
            </w:rPr>
            <w:t>(Swami, 2018)</w:t>
          </w:r>
          <w:r>
            <w:rPr>
              <w:rFonts w:cstheme="minorHAnsi"/>
              <w:lang w:val="en-GB"/>
            </w:rPr>
            <w:fldChar w:fldCharType="end"/>
          </w:r>
        </w:sdtContent>
      </w:sdt>
      <w:r>
        <w:rPr>
          <w:rFonts w:cstheme="minorHAnsi"/>
          <w:lang w:val="en-GB"/>
        </w:rPr>
        <w:t xml:space="preserve">. </w:t>
      </w:r>
    </w:p>
    <w:p w14:paraId="168E533E" w14:textId="77777777" w:rsidR="00813727" w:rsidRDefault="00813727" w:rsidP="00813727">
      <w:pPr>
        <w:jc w:val="both"/>
        <w:rPr>
          <w:rFonts w:cstheme="minorHAnsi"/>
        </w:rPr>
      </w:pPr>
      <w:r>
        <w:rPr>
          <w:rFonts w:cstheme="minorHAnsi"/>
        </w:rPr>
        <w:t>Homeless people living in disadvantageous conditions promotes higher income inequality in the society. Having lower access to the labor market and lower productivity (caused by poor living conditions) gives unequal opportunities to the ones living in stable and unstable housing environments. Furthermore, being a homeless (not officially registered in any municipality) hinders homeless people to get benefits from public services, such as municipal shelter services, monthly social assistance from the government, etc.</w:t>
      </w:r>
    </w:p>
    <w:p w14:paraId="6D1C30C3" w14:textId="77777777" w:rsidR="00813727" w:rsidRDefault="00813727" w:rsidP="00813727">
      <w:pPr>
        <w:jc w:val="both"/>
        <w:rPr>
          <w:rFonts w:cstheme="minorHAnsi"/>
        </w:rPr>
      </w:pPr>
      <w:r>
        <w:rPr>
          <w:rFonts w:cstheme="minorHAnsi"/>
        </w:rPr>
        <w:t>This is strictly related to another problem that homeless people face, social exclusion</w:t>
      </w:r>
      <w:r>
        <w:rPr>
          <w:rStyle w:val="FootnoteReference"/>
          <w:rFonts w:cstheme="minorHAnsi"/>
        </w:rPr>
        <w:footnoteReference w:id="16"/>
      </w:r>
      <w:r>
        <w:rPr>
          <w:rFonts w:cstheme="minorHAnsi"/>
        </w:rPr>
        <w:t>. According to the studies on homelessness problems in Georgia</w:t>
      </w:r>
      <w:sdt>
        <w:sdtPr>
          <w:rPr>
            <w:rFonts w:cstheme="minorHAnsi"/>
          </w:rPr>
          <w:id w:val="-1103185639"/>
          <w:citation/>
        </w:sdtPr>
        <w:sdtEndPr/>
        <w:sdtContent>
          <w:r>
            <w:rPr>
              <w:rFonts w:cstheme="minorHAnsi"/>
            </w:rPr>
            <w:fldChar w:fldCharType="begin"/>
          </w:r>
          <w:r>
            <w:rPr>
              <w:rFonts w:cstheme="minorHAnsi"/>
              <w:lang w:val="en-GB"/>
            </w:rPr>
            <w:instrText xml:space="preserve">CITATION Wor15 \m Hum16 \l 2057 </w:instrText>
          </w:r>
          <w:r>
            <w:rPr>
              <w:rFonts w:cstheme="minorHAnsi"/>
            </w:rPr>
            <w:fldChar w:fldCharType="separate"/>
          </w:r>
          <w:r>
            <w:rPr>
              <w:rFonts w:cstheme="minorHAnsi"/>
              <w:noProof/>
              <w:lang w:val="en-GB"/>
            </w:rPr>
            <w:t xml:space="preserve"> </w:t>
          </w:r>
          <w:r w:rsidRPr="00D74D8C">
            <w:rPr>
              <w:rFonts w:cstheme="minorHAnsi"/>
              <w:noProof/>
              <w:lang w:val="en-GB"/>
            </w:rPr>
            <w:t xml:space="preserve">(World Bank, 2015; Human Rights Education and </w:t>
          </w:r>
          <w:r w:rsidRPr="00D74D8C">
            <w:rPr>
              <w:rFonts w:cstheme="minorHAnsi"/>
              <w:noProof/>
              <w:lang w:val="en-GB"/>
            </w:rPr>
            <w:lastRenderedPageBreak/>
            <w:t>Monitoring Center, 2016)</w:t>
          </w:r>
          <w:r>
            <w:rPr>
              <w:rFonts w:cstheme="minorHAnsi"/>
            </w:rPr>
            <w:fldChar w:fldCharType="end"/>
          </w:r>
        </w:sdtContent>
      </w:sdt>
      <w:r>
        <w:rPr>
          <w:rFonts w:cstheme="minorHAnsi"/>
        </w:rPr>
        <w:t xml:space="preserve"> vulnerable groups of people are often stigmatized by the rest of the society, which leads to the lack of the social connections (which itself limits the probability of being employed). </w:t>
      </w:r>
    </w:p>
    <w:p w14:paraId="6D878E5D" w14:textId="77777777" w:rsidR="00813727" w:rsidRDefault="00813727" w:rsidP="00813727">
      <w:pPr>
        <w:jc w:val="both"/>
        <w:rPr>
          <w:rFonts w:cstheme="minorHAnsi"/>
          <w:lang w:val="en-GB"/>
        </w:rPr>
      </w:pPr>
      <w:r>
        <w:rPr>
          <w:rFonts w:cstheme="minorHAnsi"/>
          <w:lang w:val="en-GB"/>
        </w:rPr>
        <w:t xml:space="preserve">Unstable housing conditions, particularly associated with housing unaffordability, can also cause high concentration of low-income households in poor areas, which can undermine social cohesion and community bonds and increase levels of crime and anti-social behaviour </w:t>
      </w:r>
      <w:sdt>
        <w:sdtPr>
          <w:rPr>
            <w:rFonts w:cstheme="minorHAnsi"/>
            <w:lang w:val="en-GB"/>
          </w:rPr>
          <w:id w:val="1435624988"/>
          <w:citation/>
        </w:sdtPr>
        <w:sdtEndPr/>
        <w:sdtContent>
          <w:r>
            <w:rPr>
              <w:rFonts w:cstheme="minorHAnsi"/>
              <w:lang w:val="en-GB"/>
            </w:rPr>
            <w:fldChar w:fldCharType="begin"/>
          </w:r>
          <w:r>
            <w:rPr>
              <w:rFonts w:cstheme="minorHAnsi"/>
              <w:lang w:val="en-GB"/>
            </w:rPr>
            <w:instrText xml:space="preserve"> CITATION She03 \l 2057 </w:instrText>
          </w:r>
          <w:r>
            <w:rPr>
              <w:rFonts w:cstheme="minorHAnsi"/>
              <w:lang w:val="en-GB"/>
            </w:rPr>
            <w:fldChar w:fldCharType="separate"/>
          </w:r>
          <w:r w:rsidRPr="0060317C">
            <w:rPr>
              <w:rFonts w:cstheme="minorHAnsi"/>
              <w:noProof/>
              <w:lang w:val="en-GB"/>
            </w:rPr>
            <w:t>(Crowley, The Affordable Housing Crisis: Residential Mobility of Poor Families and School Mobility of Poor Children , 2003)</w:t>
          </w:r>
          <w:r>
            <w:rPr>
              <w:rFonts w:cstheme="minorHAnsi"/>
              <w:lang w:val="en-GB"/>
            </w:rPr>
            <w:fldChar w:fldCharType="end"/>
          </w:r>
        </w:sdtContent>
      </w:sdt>
      <w:r>
        <w:rPr>
          <w:rFonts w:cstheme="minorHAnsi"/>
          <w:lang w:val="en-GB"/>
        </w:rPr>
        <w:t xml:space="preserve">. </w:t>
      </w:r>
    </w:p>
    <w:p w14:paraId="046D8AC9" w14:textId="77777777" w:rsidR="00813727" w:rsidRDefault="00813727" w:rsidP="00813727">
      <w:pPr>
        <w:jc w:val="both"/>
        <w:rPr>
          <w:lang w:val="en-GB"/>
        </w:rPr>
      </w:pPr>
      <w:r>
        <w:t xml:space="preserve">In addition, </w:t>
      </w:r>
      <w:r>
        <w:rPr>
          <w:lang w:val="en-GB"/>
        </w:rPr>
        <w:t xml:space="preserve">housing unaffordability and the associated unstable housing (particularly the need to live in unfit housing) can </w:t>
      </w:r>
      <w:r>
        <w:t xml:space="preserve">also lead to an increase in </w:t>
      </w:r>
      <w:r w:rsidRPr="00D11BED">
        <w:t>energy expenditures</w:t>
      </w:r>
      <w:r w:rsidRPr="000846E0">
        <w:rPr>
          <w:lang w:val="en-GB"/>
        </w:rPr>
        <w:t xml:space="preserve"> </w:t>
      </w:r>
      <w:r>
        <w:rPr>
          <w:lang w:val="en-GB"/>
        </w:rPr>
        <w:t xml:space="preserve">and inhibit the progress towards more environmentally sustainable and healthier dwellings. When families cannot afford investments in environmentally friendly technologies, such as </w:t>
      </w:r>
      <w:r>
        <w:t xml:space="preserve">re-use </w:t>
      </w:r>
      <w:r w:rsidRPr="004E13DB">
        <w:t>of grey water, greater use of energy rated buildin</w:t>
      </w:r>
      <w:r>
        <w:t xml:space="preserve">g material and appliances, more </w:t>
      </w:r>
      <w:r w:rsidRPr="004E13DB">
        <w:t>efficient use of insulation</w:t>
      </w:r>
      <w:r>
        <w:t xml:space="preserve"> and etc.</w:t>
      </w:r>
      <w:sdt>
        <w:sdtPr>
          <w:id w:val="-1575890348"/>
          <w:citation/>
        </w:sdtPr>
        <w:sdtEndPr/>
        <w:sdtContent>
          <w:r>
            <w:fldChar w:fldCharType="begin"/>
          </w:r>
          <w:r>
            <w:rPr>
              <w:lang w:val="en-GB"/>
            </w:rPr>
            <w:instrText xml:space="preserve"> CITATION Eli07 \l 2057 </w:instrText>
          </w:r>
          <w:r>
            <w:fldChar w:fldCharType="separate"/>
          </w:r>
          <w:r>
            <w:rPr>
              <w:noProof/>
              <w:lang w:val="en-GB"/>
            </w:rPr>
            <w:t xml:space="preserve"> (Elizabeth J. Muller, 2007)</w:t>
          </w:r>
          <w:r>
            <w:fldChar w:fldCharType="end"/>
          </w:r>
        </w:sdtContent>
      </w:sdt>
      <w:r>
        <w:t xml:space="preserve"> they might be forced to use cheaper heating materials, such as</w:t>
      </w:r>
      <w:r w:rsidRPr="00D11BED">
        <w:t xml:space="preserve"> wood or plastic materials, which negatively effects on their health as well as on the environment. </w:t>
      </w:r>
      <w:bookmarkStart w:id="1" w:name="_Hlk20230256"/>
      <w:r>
        <w:rPr>
          <w:lang w:val="en-GB"/>
        </w:rPr>
        <w:t>Determinants of unstable housing</w:t>
      </w:r>
    </w:p>
    <w:p w14:paraId="79720460" w14:textId="77777777" w:rsidR="00813727" w:rsidRDefault="00813727" w:rsidP="00813727">
      <w:pPr>
        <w:jc w:val="both"/>
        <w:rPr>
          <w:rFonts w:cstheme="minorHAnsi"/>
          <w:lang w:val="en-GB"/>
        </w:rPr>
      </w:pPr>
      <w:r>
        <w:rPr>
          <w:rFonts w:cstheme="minorHAnsi"/>
          <w:lang w:val="en-GB"/>
        </w:rPr>
        <w:t xml:space="preserve">According to the existing literature, several factors can be assigned as a determinant of unstable housing. </w:t>
      </w:r>
    </w:p>
    <w:p w14:paraId="261EE265" w14:textId="77777777" w:rsidR="00813727" w:rsidRPr="006066AB" w:rsidRDefault="00813727" w:rsidP="00813727">
      <w:pPr>
        <w:jc w:val="both"/>
        <w:rPr>
          <w:rFonts w:cstheme="minorHAnsi"/>
          <w:b/>
          <w:bCs/>
          <w:lang w:val="en-GB"/>
        </w:rPr>
      </w:pPr>
      <w:r w:rsidRPr="006066AB">
        <w:rPr>
          <w:rFonts w:cstheme="minorHAnsi"/>
          <w:b/>
          <w:bCs/>
          <w:lang w:val="en-GB"/>
        </w:rPr>
        <w:t xml:space="preserve">Housing </w:t>
      </w:r>
      <w:r>
        <w:rPr>
          <w:rFonts w:cstheme="minorHAnsi"/>
          <w:b/>
          <w:bCs/>
          <w:lang w:val="en-GB"/>
        </w:rPr>
        <w:t>un</w:t>
      </w:r>
      <w:r w:rsidRPr="006066AB">
        <w:rPr>
          <w:rFonts w:cstheme="minorHAnsi"/>
          <w:b/>
          <w:bCs/>
          <w:lang w:val="en-GB"/>
        </w:rPr>
        <w:t>affordability</w:t>
      </w:r>
      <w:r>
        <w:rPr>
          <w:rFonts w:cstheme="minorHAnsi"/>
          <w:b/>
          <w:bCs/>
          <w:lang w:val="en-GB"/>
        </w:rPr>
        <w:t xml:space="preserve"> and unavailability</w:t>
      </w:r>
    </w:p>
    <w:p w14:paraId="09DFF890" w14:textId="77777777" w:rsidR="00813727" w:rsidRDefault="00813727" w:rsidP="00813727">
      <w:pPr>
        <w:jc w:val="both"/>
        <w:rPr>
          <w:rFonts w:cstheme="minorHAnsi"/>
          <w:lang w:val="en-GB"/>
        </w:rPr>
      </w:pPr>
      <w:r>
        <w:rPr>
          <w:rFonts w:cstheme="minorHAnsi"/>
          <w:lang w:val="en-GB"/>
        </w:rPr>
        <w:t>Two of the main determinants of unstable housing are the affordability and the availability of housing. These two dimensions are so strictly interrelated that are better considered jointly. As a matter of fact, the lack of available houses pushes up housing prices, making them less affordable for the poorer segments of the population. For this reason, in this discussion we will be focusing on unaffordability.</w:t>
      </w:r>
    </w:p>
    <w:p w14:paraId="704F64CE" w14:textId="77777777" w:rsidR="00813727" w:rsidRDefault="00813727" w:rsidP="00813727">
      <w:pPr>
        <w:jc w:val="both"/>
        <w:rPr>
          <w:rFonts w:cstheme="minorHAnsi"/>
          <w:lang w:val="en-GB"/>
        </w:rPr>
      </w:pPr>
      <w:r>
        <w:rPr>
          <w:rFonts w:cstheme="minorHAnsi"/>
          <w:lang w:val="en-GB"/>
        </w:rPr>
        <w:t>The literature defines housing affordability as the ratio of income to house prices or the proportion of income to mortgage repayment or rent</w:t>
      </w:r>
      <w:sdt>
        <w:sdtPr>
          <w:rPr>
            <w:rFonts w:cstheme="minorHAnsi"/>
            <w:lang w:val="en-GB"/>
          </w:rPr>
          <w:id w:val="-1569566333"/>
          <w:citation/>
        </w:sdtPr>
        <w:sdtEndPr/>
        <w:sdtContent>
          <w:r>
            <w:rPr>
              <w:rFonts w:cstheme="minorHAnsi"/>
              <w:lang w:val="en-GB"/>
            </w:rPr>
            <w:fldChar w:fldCharType="begin"/>
          </w:r>
          <w:r>
            <w:rPr>
              <w:rFonts w:cstheme="minorHAnsi"/>
              <w:lang w:val="en-GB"/>
            </w:rPr>
            <w:instrText xml:space="preserve">CITATION JAn \l 2057 </w:instrText>
          </w:r>
          <w:r>
            <w:rPr>
              <w:rFonts w:cstheme="minorHAnsi"/>
              <w:lang w:val="en-GB"/>
            </w:rPr>
            <w:fldChar w:fldCharType="separate"/>
          </w:r>
          <w:r>
            <w:rPr>
              <w:rFonts w:cstheme="minorHAnsi"/>
              <w:noProof/>
              <w:lang w:val="en-GB"/>
            </w:rPr>
            <w:t xml:space="preserve"> </w:t>
          </w:r>
          <w:r w:rsidRPr="0060317C">
            <w:rPr>
              <w:rFonts w:cstheme="minorHAnsi"/>
              <w:noProof/>
              <w:lang w:val="en-GB"/>
            </w:rPr>
            <w:t>(Anthony, 2018)</w:t>
          </w:r>
          <w:r>
            <w:rPr>
              <w:rFonts w:cstheme="minorHAnsi"/>
              <w:lang w:val="en-GB"/>
            </w:rPr>
            <w:fldChar w:fldCharType="end"/>
          </w:r>
        </w:sdtContent>
      </w:sdt>
      <w:r>
        <w:rPr>
          <w:rFonts w:cstheme="minorHAnsi"/>
          <w:lang w:val="en-GB"/>
        </w:rPr>
        <w:t xml:space="preserve">. Accordingly, if a household spends more than 30% of their income on housing for mortgage service or rent payment, it is considered to be facing the problem of housing unaffordability. </w:t>
      </w:r>
      <w:r>
        <w:rPr>
          <w:rFonts w:cstheme="minorHAnsi"/>
        </w:rPr>
        <w:t>Unaffordability can be a result of the low income of the household or high prices of the existing housing stock. According to the statistics provided by Eurostat</w:t>
      </w:r>
      <w:r>
        <w:rPr>
          <w:rStyle w:val="FootnoteReference"/>
          <w:rFonts w:cstheme="minorHAnsi"/>
        </w:rPr>
        <w:footnoteReference w:id="17"/>
      </w:r>
      <w:r>
        <w:rPr>
          <w:rFonts w:cstheme="minorHAnsi"/>
        </w:rPr>
        <w:t>, 10% of the EU population spend approximately 30% of their disposal income on housing</w:t>
      </w:r>
      <w:r>
        <w:rPr>
          <w:rFonts w:cstheme="minorHAnsi"/>
          <w:lang w:val="ka-GE"/>
        </w:rPr>
        <w:t>,</w:t>
      </w:r>
      <w:r>
        <w:rPr>
          <w:rFonts w:cstheme="minorHAnsi"/>
          <w:lang w:val="en-GB"/>
        </w:rPr>
        <w:t xml:space="preserve"> and considered as unaffordable housing</w:t>
      </w:r>
      <w:r>
        <w:rPr>
          <w:rFonts w:cstheme="minorHAnsi"/>
        </w:rPr>
        <w:t xml:space="preserve">. Notably, households, which are renting houses at market price are tend to pay higher share of their income on housing than those who pay monthly mortgage loan payments. </w:t>
      </w:r>
      <w:r>
        <w:rPr>
          <w:rFonts w:cstheme="minorHAnsi"/>
          <w:lang w:val="en-GB"/>
        </w:rPr>
        <w:t xml:space="preserve">The lack of housing affordability can cause broader problems, such as housing insecurity. If the housing cost </w:t>
      </w:r>
      <w:r>
        <w:rPr>
          <w:rFonts w:cstheme="minorHAnsi"/>
          <w:lang w:val="en-GB"/>
        </w:rPr>
        <w:lastRenderedPageBreak/>
        <w:t xml:space="preserve">burden is high for a household, it will tend to move frequently and to be more likely delinquent on its mortgage payments, and to be a subject of eviction. </w:t>
      </w:r>
    </w:p>
    <w:p w14:paraId="30DB3164" w14:textId="77777777" w:rsidR="00813727" w:rsidRDefault="00813727" w:rsidP="00813727">
      <w:pPr>
        <w:jc w:val="both"/>
        <w:rPr>
          <w:rFonts w:cstheme="minorHAnsi"/>
        </w:rPr>
      </w:pPr>
      <w:r>
        <w:rPr>
          <w:rFonts w:cstheme="minorHAnsi"/>
        </w:rPr>
        <w:t>Beyond the high cost of acquiring the ownership of an adequate housing space, housing affordability (in a broader sense) refers to all</w:t>
      </w:r>
      <w:r w:rsidRPr="00D11BED">
        <w:rPr>
          <w:rFonts w:cstheme="minorHAnsi"/>
        </w:rPr>
        <w:t xml:space="preserve"> situation</w:t>
      </w:r>
      <w:r>
        <w:rPr>
          <w:rFonts w:cstheme="minorHAnsi"/>
        </w:rPr>
        <w:t>s in which</w:t>
      </w:r>
      <w:r w:rsidRPr="00D11BED">
        <w:rPr>
          <w:rFonts w:cstheme="minorHAnsi"/>
        </w:rPr>
        <w:t xml:space="preserve"> expenditures</w:t>
      </w:r>
      <w:r>
        <w:rPr>
          <w:rFonts w:cstheme="minorHAnsi"/>
        </w:rPr>
        <w:t xml:space="preserve"> to ensure</w:t>
      </w:r>
      <w:r w:rsidRPr="00D11BED">
        <w:rPr>
          <w:rFonts w:cstheme="minorHAnsi"/>
        </w:rPr>
        <w:t xml:space="preserve"> adequate housing</w:t>
      </w:r>
      <w:r>
        <w:rPr>
          <w:rStyle w:val="FootnoteReference"/>
          <w:rFonts w:cstheme="minorHAnsi"/>
        </w:rPr>
        <w:footnoteReference w:id="18"/>
      </w:r>
      <w:r>
        <w:rPr>
          <w:rFonts w:cstheme="minorHAnsi"/>
        </w:rPr>
        <w:t xml:space="preserve"> </w:t>
      </w:r>
      <w:r w:rsidRPr="00D11BED">
        <w:rPr>
          <w:rFonts w:cstheme="minorHAnsi"/>
        </w:rPr>
        <w:t xml:space="preserve">leaves </w:t>
      </w:r>
      <w:r>
        <w:rPr>
          <w:rFonts w:cstheme="minorHAnsi"/>
        </w:rPr>
        <w:t xml:space="preserve">a </w:t>
      </w:r>
      <w:r w:rsidRPr="00D11BED">
        <w:rPr>
          <w:rFonts w:cstheme="minorHAnsi"/>
        </w:rPr>
        <w:t xml:space="preserve">household with enough income </w:t>
      </w:r>
      <w:r>
        <w:rPr>
          <w:rFonts w:cstheme="minorHAnsi"/>
        </w:rPr>
        <w:t xml:space="preserve">left </w:t>
      </w:r>
      <w:r w:rsidRPr="00D11BED">
        <w:rPr>
          <w:rFonts w:cstheme="minorHAnsi"/>
        </w:rPr>
        <w:t>to pay for other expenses</w:t>
      </w:r>
      <w:sdt>
        <w:sdtPr>
          <w:rPr>
            <w:rFonts w:cstheme="minorHAnsi"/>
          </w:rPr>
          <w:id w:val="-94943153"/>
          <w:citation/>
        </w:sdtPr>
        <w:sdtEndPr/>
        <w:sdtContent>
          <w:r w:rsidRPr="00D11BED">
            <w:rPr>
              <w:rFonts w:cstheme="minorHAnsi"/>
            </w:rPr>
            <w:fldChar w:fldCharType="begin"/>
          </w:r>
          <w:r w:rsidRPr="00D11BED">
            <w:rPr>
              <w:rFonts w:cstheme="minorHAnsi"/>
            </w:rPr>
            <w:instrText xml:space="preserve"> CITATION Eco07 \l 1033 </w:instrText>
          </w:r>
          <w:r w:rsidRPr="00D11BED">
            <w:rPr>
              <w:rFonts w:cstheme="minorHAnsi"/>
            </w:rPr>
            <w:fldChar w:fldCharType="separate"/>
          </w:r>
          <w:r>
            <w:rPr>
              <w:rFonts w:cstheme="minorHAnsi"/>
              <w:noProof/>
            </w:rPr>
            <w:t xml:space="preserve"> </w:t>
          </w:r>
          <w:r w:rsidRPr="0060317C">
            <w:rPr>
              <w:rFonts w:cstheme="minorHAnsi"/>
              <w:noProof/>
            </w:rPr>
            <w:t>(Economic Commission for Europe, 2007)</w:t>
          </w:r>
          <w:r w:rsidRPr="00D11BED">
            <w:rPr>
              <w:rFonts w:cstheme="minorHAnsi"/>
            </w:rPr>
            <w:fldChar w:fldCharType="end"/>
          </w:r>
        </w:sdtContent>
      </w:sdt>
      <w:r w:rsidRPr="00D11BED">
        <w:rPr>
          <w:rFonts w:cstheme="minorHAnsi"/>
        </w:rPr>
        <w:t>.</w:t>
      </w:r>
      <w:r>
        <w:rPr>
          <w:rFonts w:cstheme="minorHAnsi"/>
        </w:rPr>
        <w:t xml:space="preserve">  </w:t>
      </w:r>
    </w:p>
    <w:p w14:paraId="64029B39" w14:textId="77777777" w:rsidR="00813727" w:rsidRDefault="00813727" w:rsidP="00813727">
      <w:pPr>
        <w:jc w:val="both"/>
        <w:rPr>
          <w:rFonts w:cstheme="minorHAnsi"/>
          <w:lang w:val="en-GB"/>
        </w:rPr>
      </w:pPr>
      <w:r>
        <w:rPr>
          <w:rFonts w:cstheme="minorHAnsi"/>
          <w:lang w:val="en-GB"/>
        </w:rPr>
        <w:t>Unaffordability in the more restrictive sense can depend from a plurality of causes, among which:</w:t>
      </w:r>
    </w:p>
    <w:p w14:paraId="5309C800" w14:textId="77777777" w:rsidR="00813727" w:rsidRDefault="00813727" w:rsidP="00454C26">
      <w:pPr>
        <w:pStyle w:val="ListParagraph"/>
        <w:numPr>
          <w:ilvl w:val="0"/>
          <w:numId w:val="15"/>
        </w:numPr>
        <w:jc w:val="both"/>
        <w:rPr>
          <w:rFonts w:cstheme="minorHAnsi"/>
          <w:lang w:val="en-GB"/>
        </w:rPr>
      </w:pPr>
      <w:r>
        <w:rPr>
          <w:rFonts w:cstheme="minorHAnsi"/>
          <w:lang w:val="en-GB"/>
        </w:rPr>
        <w:t>increased costs of construction inputs (for example due to a deterioration of the exchange rate, when inputs must be imported);</w:t>
      </w:r>
    </w:p>
    <w:p w14:paraId="394A903A" w14:textId="77777777" w:rsidR="00813727" w:rsidRDefault="00813727" w:rsidP="00454C26">
      <w:pPr>
        <w:pStyle w:val="ListParagraph"/>
        <w:numPr>
          <w:ilvl w:val="0"/>
          <w:numId w:val="15"/>
        </w:numPr>
        <w:jc w:val="both"/>
        <w:rPr>
          <w:rFonts w:cstheme="minorHAnsi"/>
          <w:lang w:val="en-GB"/>
        </w:rPr>
      </w:pPr>
      <w:r>
        <w:rPr>
          <w:rFonts w:cstheme="minorHAnsi"/>
          <w:lang w:val="en-GB"/>
        </w:rPr>
        <w:t>limited competition in the supply side of the market (with sellers able to limit the growth of the housing stock to maintain high prices);</w:t>
      </w:r>
    </w:p>
    <w:p w14:paraId="7C8BCDF2" w14:textId="77777777" w:rsidR="00813727" w:rsidRDefault="00813727" w:rsidP="00454C26">
      <w:pPr>
        <w:pStyle w:val="ListParagraph"/>
        <w:numPr>
          <w:ilvl w:val="0"/>
          <w:numId w:val="15"/>
        </w:numPr>
        <w:jc w:val="both"/>
        <w:rPr>
          <w:rFonts w:cstheme="minorHAnsi"/>
          <w:lang w:val="en-GB"/>
        </w:rPr>
      </w:pPr>
      <w:r>
        <w:rPr>
          <w:rFonts w:cstheme="minorHAnsi"/>
          <w:lang w:val="en-GB"/>
        </w:rPr>
        <w:t xml:space="preserve">sudden increase in </w:t>
      </w:r>
      <w:r w:rsidRPr="0089690C">
        <w:rPr>
          <w:rFonts w:cstheme="minorHAnsi"/>
          <w:lang w:val="en-GB"/>
        </w:rPr>
        <w:t>demand</w:t>
      </w:r>
      <w:r>
        <w:rPr>
          <w:rFonts w:cstheme="minorHAnsi"/>
          <w:lang w:val="en-GB"/>
        </w:rPr>
        <w:t xml:space="preserve"> (for example due to rapid population growth and/or to the arousal of alternative - non-traditional - opportunities to use the existing housing stock) exceeding the capacity of the </w:t>
      </w:r>
      <w:r w:rsidRPr="0089690C">
        <w:rPr>
          <w:rFonts w:cstheme="minorHAnsi"/>
          <w:lang w:val="en-GB"/>
        </w:rPr>
        <w:t xml:space="preserve">supply </w:t>
      </w:r>
      <w:r>
        <w:rPr>
          <w:rFonts w:cstheme="minorHAnsi"/>
          <w:lang w:val="en-GB"/>
        </w:rPr>
        <w:t>side of</w:t>
      </w:r>
      <w:r w:rsidRPr="0089690C">
        <w:rPr>
          <w:rFonts w:cstheme="minorHAnsi"/>
          <w:lang w:val="en-GB"/>
        </w:rPr>
        <w:t xml:space="preserve"> the market</w:t>
      </w:r>
      <w:r>
        <w:rPr>
          <w:rFonts w:cstheme="minorHAnsi"/>
          <w:lang w:val="en-GB"/>
        </w:rPr>
        <w:t xml:space="preserve"> to increase the housing stock</w:t>
      </w:r>
      <w:r w:rsidRPr="0089690C">
        <w:rPr>
          <w:rFonts w:cstheme="minorHAnsi"/>
          <w:lang w:val="en-GB"/>
        </w:rPr>
        <w:t xml:space="preserve">, leading to </w:t>
      </w:r>
      <w:r w:rsidRPr="003623D5">
        <w:rPr>
          <w:rFonts w:cstheme="minorHAnsi"/>
          <w:lang w:val="en-GB"/>
        </w:rPr>
        <w:t>an increase in prices</w:t>
      </w:r>
      <w:r>
        <w:rPr>
          <w:rFonts w:cstheme="minorHAnsi"/>
          <w:lang w:val="en-GB"/>
        </w:rPr>
        <w:t>;</w:t>
      </w:r>
    </w:p>
    <w:p w14:paraId="1A68A4B1" w14:textId="77777777" w:rsidR="00813727" w:rsidRDefault="00813727" w:rsidP="00454C26">
      <w:pPr>
        <w:pStyle w:val="ListParagraph"/>
        <w:numPr>
          <w:ilvl w:val="0"/>
          <w:numId w:val="15"/>
        </w:numPr>
        <w:jc w:val="both"/>
        <w:rPr>
          <w:rFonts w:cstheme="minorHAnsi"/>
          <w:lang w:val="en-GB"/>
        </w:rPr>
      </w:pPr>
      <w:r>
        <w:rPr>
          <w:rFonts w:cstheme="minorHAnsi"/>
          <w:lang w:val="en-GB"/>
        </w:rPr>
        <w:t>high incidence of poverty;</w:t>
      </w:r>
    </w:p>
    <w:p w14:paraId="3B82E3CE" w14:textId="77777777" w:rsidR="00813727" w:rsidRDefault="00813727" w:rsidP="00454C26">
      <w:pPr>
        <w:pStyle w:val="ListParagraph"/>
        <w:numPr>
          <w:ilvl w:val="0"/>
          <w:numId w:val="15"/>
        </w:numPr>
        <w:jc w:val="both"/>
        <w:rPr>
          <w:rFonts w:cstheme="minorHAnsi"/>
          <w:lang w:val="en-GB"/>
        </w:rPr>
      </w:pPr>
      <w:r w:rsidRPr="009D13A4">
        <w:rPr>
          <w:rFonts w:cstheme="minorHAnsi"/>
          <w:lang w:val="en-GB"/>
        </w:rPr>
        <w:t>low wages and incomes;</w:t>
      </w:r>
    </w:p>
    <w:p w14:paraId="276A36F2" w14:textId="77777777" w:rsidR="00813727" w:rsidRDefault="00813727" w:rsidP="00454C26">
      <w:pPr>
        <w:pStyle w:val="ListParagraph"/>
        <w:numPr>
          <w:ilvl w:val="0"/>
          <w:numId w:val="15"/>
        </w:numPr>
        <w:jc w:val="both"/>
        <w:rPr>
          <w:rFonts w:cstheme="minorHAnsi"/>
          <w:lang w:val="en-GB"/>
        </w:rPr>
      </w:pPr>
      <w:r w:rsidRPr="009D13A4">
        <w:rPr>
          <w:rFonts w:cstheme="minorHAnsi"/>
          <w:lang w:val="en-GB"/>
        </w:rPr>
        <w:t>high</w:t>
      </w:r>
      <w:r w:rsidRPr="004C3BCA">
        <w:rPr>
          <w:rFonts w:cstheme="minorHAnsi"/>
          <w:lang w:val="en-GB"/>
        </w:rPr>
        <w:t xml:space="preserve"> l</w:t>
      </w:r>
      <w:r w:rsidRPr="00610BE1">
        <w:rPr>
          <w:rFonts w:cstheme="minorHAnsi"/>
          <w:lang w:val="en-GB"/>
        </w:rPr>
        <w:t>evels of</w:t>
      </w:r>
      <w:r w:rsidRPr="00B71A2E">
        <w:rPr>
          <w:rFonts w:cstheme="minorHAnsi"/>
          <w:lang w:val="en-GB"/>
        </w:rPr>
        <w:t xml:space="preserve"> inequality (encouraging “hoarding” of houses by wealthier individual in the society – e.g. as a form of investment – preventing the prices from falling)</w:t>
      </w:r>
      <w:r>
        <w:rPr>
          <w:rFonts w:cstheme="minorHAnsi"/>
          <w:lang w:val="en-GB"/>
        </w:rPr>
        <w:t>.</w:t>
      </w:r>
    </w:p>
    <w:p w14:paraId="30CAA4FA" w14:textId="77777777" w:rsidR="00813727" w:rsidRDefault="00813727" w:rsidP="00813727">
      <w:pPr>
        <w:jc w:val="both"/>
        <w:rPr>
          <w:rFonts w:cstheme="minorHAnsi"/>
          <w:noProof/>
        </w:rPr>
      </w:pPr>
      <w:r>
        <w:rPr>
          <w:rFonts w:cstheme="minorHAnsi"/>
          <w:lang w:val="en-GB"/>
        </w:rPr>
        <w:t xml:space="preserve">Extending the definition of unaffordability in line with that of the </w:t>
      </w:r>
      <w:r w:rsidRPr="00D11BED">
        <w:rPr>
          <w:rFonts w:cstheme="minorHAnsi"/>
          <w:noProof/>
        </w:rPr>
        <w:t>Economic Commission for Europe</w:t>
      </w:r>
      <w:r>
        <w:rPr>
          <w:rFonts w:cstheme="minorHAnsi"/>
          <w:noProof/>
        </w:rPr>
        <w:t>, would add to the list of potential determinants for unaffordability factors like:</w:t>
      </w:r>
    </w:p>
    <w:p w14:paraId="6927D419" w14:textId="77777777" w:rsidR="00813727" w:rsidRDefault="00813727" w:rsidP="00454C26">
      <w:pPr>
        <w:pStyle w:val="ListParagraph"/>
        <w:numPr>
          <w:ilvl w:val="0"/>
          <w:numId w:val="16"/>
        </w:numPr>
        <w:jc w:val="both"/>
        <w:rPr>
          <w:rFonts w:cstheme="minorHAnsi"/>
          <w:lang w:val="en-GB"/>
        </w:rPr>
      </w:pPr>
      <w:r>
        <w:rPr>
          <w:rFonts w:cstheme="minorHAnsi"/>
          <w:lang w:val="en-GB"/>
        </w:rPr>
        <w:t>High utility tariffs;</w:t>
      </w:r>
    </w:p>
    <w:p w14:paraId="3800B5A6" w14:textId="77777777" w:rsidR="00813727" w:rsidRDefault="00813727" w:rsidP="00454C26">
      <w:pPr>
        <w:pStyle w:val="ListParagraph"/>
        <w:numPr>
          <w:ilvl w:val="0"/>
          <w:numId w:val="16"/>
        </w:numPr>
        <w:jc w:val="both"/>
        <w:rPr>
          <w:rFonts w:cstheme="minorHAnsi"/>
          <w:lang w:val="en-GB"/>
        </w:rPr>
      </w:pPr>
      <w:r>
        <w:rPr>
          <w:rFonts w:cstheme="minorHAnsi"/>
          <w:lang w:val="en-GB"/>
        </w:rPr>
        <w:t>High maintenance costs;</w:t>
      </w:r>
    </w:p>
    <w:p w14:paraId="0E4570BB" w14:textId="77777777" w:rsidR="00813727" w:rsidRPr="009D13A4" w:rsidRDefault="00813727" w:rsidP="00454C26">
      <w:pPr>
        <w:pStyle w:val="ListParagraph"/>
        <w:numPr>
          <w:ilvl w:val="0"/>
          <w:numId w:val="16"/>
        </w:numPr>
        <w:jc w:val="both"/>
        <w:rPr>
          <w:rFonts w:cstheme="minorHAnsi"/>
          <w:lang w:val="en-GB"/>
        </w:rPr>
      </w:pPr>
      <w:r>
        <w:rPr>
          <w:rFonts w:cstheme="minorHAnsi"/>
          <w:lang w:val="en-GB"/>
        </w:rPr>
        <w:t>High taxes on property.</w:t>
      </w:r>
    </w:p>
    <w:p w14:paraId="19027E18" w14:textId="77777777" w:rsidR="00813727" w:rsidRPr="004C3BCA" w:rsidRDefault="00813727" w:rsidP="00813727">
      <w:pPr>
        <w:pStyle w:val="ListParagraph"/>
        <w:jc w:val="both"/>
        <w:rPr>
          <w:rFonts w:cstheme="minorHAnsi"/>
          <w:lang w:val="en-GB"/>
        </w:rPr>
      </w:pPr>
    </w:p>
    <w:p w14:paraId="0FAC0F20" w14:textId="77777777" w:rsidR="00813727" w:rsidRDefault="00813727" w:rsidP="00813727">
      <w:pPr>
        <w:pStyle w:val="ListParagraph"/>
        <w:ind w:left="0"/>
        <w:rPr>
          <w:lang w:val="en-GB"/>
        </w:rPr>
      </w:pPr>
      <w:r>
        <w:rPr>
          <w:lang w:val="en-GB"/>
        </w:rPr>
        <w:t>The literature</w:t>
      </w:r>
      <w:sdt>
        <w:sdtPr>
          <w:rPr>
            <w:lang w:val="en-GB"/>
          </w:rPr>
          <w:id w:val="-1907595342"/>
          <w:citation/>
        </w:sdtPr>
        <w:sdtEndPr/>
        <w:sdtContent>
          <w:r>
            <w:rPr>
              <w:lang w:val="en-GB"/>
            </w:rPr>
            <w:fldChar w:fldCharType="begin"/>
          </w:r>
          <w:r>
            <w:rPr>
              <w:lang w:val="en-GB"/>
            </w:rPr>
            <w:instrText xml:space="preserve"> CITATION Car04 \l 2057 </w:instrText>
          </w:r>
          <w:r>
            <w:rPr>
              <w:lang w:val="en-GB"/>
            </w:rPr>
            <w:fldChar w:fldCharType="separate"/>
          </w:r>
          <w:r>
            <w:rPr>
              <w:noProof/>
              <w:lang w:val="en-GB"/>
            </w:rPr>
            <w:t xml:space="preserve"> (Carol S. Cohen, 2004)</w:t>
          </w:r>
          <w:r>
            <w:rPr>
              <w:lang w:val="en-GB"/>
            </w:rPr>
            <w:fldChar w:fldCharType="end"/>
          </w:r>
        </w:sdtContent>
      </w:sdt>
      <w:r>
        <w:rPr>
          <w:lang w:val="en-GB"/>
        </w:rPr>
        <w:t xml:space="preserve"> also shows that housing unaffordability can be associated with gender specific factors, with female headed households experience unstable housing problems more frequently than male headed households because of their low economic status and patterns of discrimination. Female headed households with children are vulnerable groups which face difficulties with acquiring and maintaining safe, permanent and affordable housing. </w:t>
      </w:r>
    </w:p>
    <w:p w14:paraId="56CCFF23" w14:textId="77777777" w:rsidR="00813727" w:rsidRPr="009D13A4" w:rsidRDefault="00813727" w:rsidP="00813727">
      <w:pPr>
        <w:pStyle w:val="ListParagraph"/>
        <w:ind w:left="0"/>
        <w:rPr>
          <w:lang w:val="en-GB"/>
        </w:rPr>
      </w:pPr>
    </w:p>
    <w:p w14:paraId="1164CA9E" w14:textId="77777777" w:rsidR="00813727" w:rsidRPr="006066AB" w:rsidRDefault="00813727" w:rsidP="00813727">
      <w:pPr>
        <w:jc w:val="both"/>
        <w:rPr>
          <w:rFonts w:cstheme="minorHAnsi"/>
          <w:b/>
          <w:bCs/>
          <w:lang w:val="en-GB"/>
        </w:rPr>
      </w:pPr>
      <w:r w:rsidRPr="006066AB">
        <w:rPr>
          <w:rFonts w:cstheme="minorHAnsi"/>
          <w:b/>
          <w:bCs/>
          <w:lang w:val="en-GB"/>
        </w:rPr>
        <w:t>Other causes of unstable housing</w:t>
      </w:r>
    </w:p>
    <w:p w14:paraId="62BDCE43" w14:textId="77777777" w:rsidR="00813727" w:rsidRDefault="00813727" w:rsidP="00813727">
      <w:pPr>
        <w:jc w:val="both"/>
        <w:rPr>
          <w:rFonts w:cstheme="minorHAnsi"/>
          <w:lang w:val="en-GB"/>
        </w:rPr>
      </w:pPr>
      <w:r>
        <w:rPr>
          <w:rFonts w:cstheme="minorHAnsi"/>
          <w:lang w:val="en-GB"/>
        </w:rPr>
        <w:t>The study of McVicar et al. (2015) shows that there is a statistically significant positive relationship between substance and alcohol use in one period and having a problem of unstable housing in the consecutive period.</w:t>
      </w:r>
    </w:p>
    <w:p w14:paraId="269EC964" w14:textId="77777777" w:rsidR="00813727" w:rsidRDefault="00813727" w:rsidP="00813727">
      <w:pPr>
        <w:jc w:val="both"/>
        <w:rPr>
          <w:rFonts w:cstheme="minorHAnsi"/>
          <w:lang w:val="en-GB"/>
        </w:rPr>
      </w:pPr>
      <w:r>
        <w:rPr>
          <w:rFonts w:cstheme="minorHAnsi"/>
          <w:lang w:val="en-GB"/>
        </w:rPr>
        <w:t xml:space="preserve">Domestic violence is another contributing factor in housing instability. According to the literature, women who are victims of domestic violence prefer to have the problems of insecure housing rather than living in unsafe environment. Women with children represent the fastest growing population of the homeless people and battered women’s shelters are often the only opportunity for the victims to </w:t>
      </w:r>
      <w:r>
        <w:rPr>
          <w:rFonts w:cstheme="minorHAnsi"/>
          <w:lang w:val="en-GB"/>
        </w:rPr>
        <w:lastRenderedPageBreak/>
        <w:t xml:space="preserve">be sheltered. A parent’s ability to cope with pending homelessness is exacerbated by low income, limited opportunity for getting job (because they have to take care on the kid), unreliable child support payment </w:t>
      </w:r>
      <w:sdt>
        <w:sdtPr>
          <w:rPr>
            <w:rFonts w:cstheme="minorHAnsi"/>
            <w:lang w:val="en-GB"/>
          </w:rPr>
          <w:id w:val="-1949846948"/>
          <w:citation/>
        </w:sdtPr>
        <w:sdtEndPr/>
        <w:sdtContent>
          <w:r>
            <w:rPr>
              <w:rFonts w:cstheme="minorHAnsi"/>
              <w:lang w:val="en-GB"/>
            </w:rPr>
            <w:fldChar w:fldCharType="begin"/>
          </w:r>
          <w:r>
            <w:rPr>
              <w:rFonts w:cstheme="minorHAnsi"/>
              <w:lang w:val="en-GB"/>
            </w:rPr>
            <w:instrText xml:space="preserve"> CITATION Car04 \l 2057 </w:instrText>
          </w:r>
          <w:r>
            <w:rPr>
              <w:rFonts w:cstheme="minorHAnsi"/>
              <w:lang w:val="en-GB"/>
            </w:rPr>
            <w:fldChar w:fldCharType="separate"/>
          </w:r>
          <w:r w:rsidRPr="0060317C">
            <w:rPr>
              <w:rFonts w:cstheme="minorHAnsi"/>
              <w:noProof/>
              <w:lang w:val="en-GB"/>
            </w:rPr>
            <w:t>(Carol S. Cohen, 2004)</w:t>
          </w:r>
          <w:r>
            <w:rPr>
              <w:rFonts w:cstheme="minorHAnsi"/>
              <w:lang w:val="en-GB"/>
            </w:rPr>
            <w:fldChar w:fldCharType="end"/>
          </w:r>
        </w:sdtContent>
      </w:sdt>
      <w:r>
        <w:rPr>
          <w:rFonts w:cstheme="minorHAnsi"/>
          <w:lang w:val="en-GB"/>
        </w:rPr>
        <w:t>.</w:t>
      </w:r>
    </w:p>
    <w:p w14:paraId="34A0CE21" w14:textId="77777777" w:rsidR="00813727" w:rsidRDefault="00813727" w:rsidP="00813727">
      <w:pPr>
        <w:jc w:val="both"/>
        <w:rPr>
          <w:rFonts w:cstheme="minorHAnsi"/>
          <w:lang w:val="ka-GE"/>
        </w:rPr>
      </w:pPr>
      <w:r>
        <w:rPr>
          <w:rFonts w:cstheme="minorHAnsi"/>
          <w:lang w:val="en-GB"/>
        </w:rPr>
        <w:t>Additional causes of unstable housing are forced internal displacement due to conflicts or to natural disasters.</w:t>
      </w:r>
      <w:bookmarkEnd w:id="1"/>
    </w:p>
    <w:p w14:paraId="1810A8CC" w14:textId="77777777" w:rsidR="00813727" w:rsidRDefault="00813727" w:rsidP="00813727">
      <w:pPr>
        <w:pStyle w:val="Heading2"/>
        <w:jc w:val="both"/>
      </w:pPr>
      <w:r>
        <w:t>Which role for the government?</w:t>
      </w:r>
    </w:p>
    <w:p w14:paraId="522867A9" w14:textId="77777777" w:rsidR="00813727" w:rsidRDefault="00813727" w:rsidP="00813727">
      <w:pPr>
        <w:jc w:val="both"/>
      </w:pPr>
    </w:p>
    <w:p w14:paraId="731D9828" w14:textId="17A42FF6" w:rsidR="00813727" w:rsidRDefault="00813727" w:rsidP="00813727">
      <w:pPr>
        <w:jc w:val="both"/>
      </w:pPr>
      <w:r>
        <w:t xml:space="preserve">When analyzing a problem and the potential role for the government in its solution, it is not sufficient to look at its characteristics and consequences. It is also necessary to assess whether the government intervention is justifiable. This is the case when the problem is caused (or made worse) by some sort of market or regulatory failure and the government intervention is deemed able to correct the </w:t>
      </w:r>
      <w:r w:rsidR="009E6455">
        <w:t>above-mentioned</w:t>
      </w:r>
      <w:r>
        <w:t xml:space="preserve"> failure in a way that leads to an overall improvement (keeping into account not only the benefits but also the costs of the intervention).</w:t>
      </w:r>
    </w:p>
    <w:p w14:paraId="51632799" w14:textId="77777777" w:rsidR="00813727" w:rsidRDefault="00813727" w:rsidP="00813727">
      <w:pPr>
        <w:jc w:val="both"/>
      </w:pPr>
      <w:r>
        <w:t>Examples of market failures justifying government intervention in this context could be:</w:t>
      </w:r>
    </w:p>
    <w:p w14:paraId="63F2F62A" w14:textId="77777777" w:rsidR="00813727" w:rsidRPr="006066AB" w:rsidRDefault="00813727" w:rsidP="00454C26">
      <w:pPr>
        <w:pStyle w:val="ListParagraph"/>
        <w:numPr>
          <w:ilvl w:val="0"/>
          <w:numId w:val="18"/>
        </w:numPr>
        <w:jc w:val="both"/>
        <w:rPr>
          <w:rFonts w:cstheme="minorHAnsi"/>
          <w:lang w:val="ka-GE"/>
        </w:rPr>
      </w:pPr>
      <w:r w:rsidRPr="006066AB">
        <w:rPr>
          <w:rFonts w:cstheme="minorHAnsi"/>
        </w:rPr>
        <w:t>Lack of competition in t</w:t>
      </w:r>
      <w:r>
        <w:rPr>
          <w:rFonts w:cstheme="minorHAnsi"/>
        </w:rPr>
        <w:t>he housing sector, leading to slower than optimal growth of the housing stock and higher prices on the housing market;</w:t>
      </w:r>
    </w:p>
    <w:p w14:paraId="7ADAA470" w14:textId="77777777" w:rsidR="00813727" w:rsidRPr="006066AB" w:rsidRDefault="00813727" w:rsidP="00454C26">
      <w:pPr>
        <w:pStyle w:val="ListParagraph"/>
        <w:numPr>
          <w:ilvl w:val="0"/>
          <w:numId w:val="18"/>
        </w:numPr>
        <w:jc w:val="both"/>
        <w:rPr>
          <w:rFonts w:cstheme="minorHAnsi"/>
          <w:lang w:val="ka-GE"/>
        </w:rPr>
      </w:pPr>
      <w:r>
        <w:rPr>
          <w:rFonts w:cstheme="minorHAnsi"/>
        </w:rPr>
        <w:t>Distortive regulation, creating bottlenecks and inefficiencies and leading to greater housing instability;</w:t>
      </w:r>
    </w:p>
    <w:p w14:paraId="30E34E35" w14:textId="77777777" w:rsidR="00813727" w:rsidRPr="006066AB" w:rsidRDefault="00813727" w:rsidP="00454C26">
      <w:pPr>
        <w:pStyle w:val="ListParagraph"/>
        <w:numPr>
          <w:ilvl w:val="0"/>
          <w:numId w:val="18"/>
        </w:numPr>
        <w:jc w:val="both"/>
        <w:rPr>
          <w:rFonts w:cstheme="minorHAnsi"/>
          <w:lang w:val="ka-GE"/>
        </w:rPr>
      </w:pPr>
      <w:r>
        <w:rPr>
          <w:rFonts w:cstheme="minorHAnsi"/>
        </w:rPr>
        <w:t>Existence of externalities (positive and/or negative) correlated with the phenomenon of unstable housing.</w:t>
      </w:r>
    </w:p>
    <w:p w14:paraId="1B3C01ED" w14:textId="77777777" w:rsidR="00813727" w:rsidRPr="006066AB" w:rsidRDefault="00813727" w:rsidP="00813727">
      <w:pPr>
        <w:jc w:val="both"/>
        <w:rPr>
          <w:rFonts w:cstheme="minorHAnsi"/>
        </w:rPr>
      </w:pPr>
      <w:r>
        <w:rPr>
          <w:rFonts w:cstheme="minorHAnsi"/>
        </w:rPr>
        <w:t xml:space="preserve">The analysis of the international literature has already highlighted some potential rationale for government intervention, highlighting the potentially negative long-term impacts associated with unstable housing (especially on children, but also on adults), which are clearly not incorporated in the decision-making processes of private economic agents and, therefore, market forces cannot be expected to solve autonomously. </w:t>
      </w:r>
    </w:p>
    <w:p w14:paraId="68229D30" w14:textId="77777777" w:rsidR="00813727" w:rsidRPr="006066AB" w:rsidRDefault="00813727" w:rsidP="00813727">
      <w:pPr>
        <w:jc w:val="both"/>
        <w:rPr>
          <w:rFonts w:cstheme="minorHAnsi"/>
        </w:rPr>
      </w:pPr>
      <w:r>
        <w:rPr>
          <w:rFonts w:cstheme="minorHAnsi"/>
        </w:rPr>
        <w:t>In the following section we will be delineating the extent and depth of unstable housing in Georgia, as well as exploring the existence of other potential sources of market failures providing additional rationale for government intervention.</w:t>
      </w:r>
    </w:p>
    <w:p w14:paraId="12F52E34" w14:textId="77777777" w:rsidR="00813727" w:rsidRDefault="00813727" w:rsidP="00813727">
      <w:pPr>
        <w:jc w:val="both"/>
        <w:rPr>
          <w:rFonts w:cstheme="minorHAnsi"/>
        </w:rPr>
      </w:pPr>
    </w:p>
    <w:p w14:paraId="62FA4CB7" w14:textId="77777777" w:rsidR="00813727" w:rsidRPr="006066AB" w:rsidRDefault="00813727" w:rsidP="00813727">
      <w:pPr>
        <w:pStyle w:val="Heading2"/>
        <w:numPr>
          <w:ilvl w:val="0"/>
          <w:numId w:val="1"/>
        </w:numPr>
        <w:jc w:val="both"/>
        <w:rPr>
          <w:rFonts w:asciiTheme="minorHAnsi" w:hAnsiTheme="minorHAnsi" w:cstheme="minorHAnsi"/>
        </w:rPr>
      </w:pPr>
      <w:r w:rsidRPr="006066AB">
        <w:rPr>
          <w:rFonts w:asciiTheme="minorHAnsi" w:hAnsiTheme="minorHAnsi" w:cstheme="minorHAnsi"/>
        </w:rPr>
        <w:t>Background to the baseline scenario</w:t>
      </w:r>
    </w:p>
    <w:p w14:paraId="375E01CA" w14:textId="77777777" w:rsidR="00813727" w:rsidRPr="0053270C" w:rsidRDefault="00813727" w:rsidP="00813727">
      <w:pPr>
        <w:jc w:val="both"/>
      </w:pPr>
    </w:p>
    <w:p w14:paraId="2C777F25" w14:textId="798D02E6" w:rsidR="00813727" w:rsidRDefault="00813727" w:rsidP="00813727">
      <w:pPr>
        <w:jc w:val="both"/>
        <w:rPr>
          <w:rFonts w:cstheme="minorHAnsi"/>
        </w:rPr>
      </w:pPr>
      <w:r>
        <w:rPr>
          <w:rFonts w:cstheme="minorHAnsi"/>
        </w:rPr>
        <w:t>The causes and consequences of unstable housing need to be examined with help of different information sources. The data analysis presented below is based on several data sources, including previous publications on the topic, as the definition of unstable housing is quite broad and it includes lots of categories of unstable housing differing with the level of severity of the problem</w:t>
      </w:r>
      <w:r>
        <w:rPr>
          <w:rStyle w:val="FootnoteReference"/>
          <w:rFonts w:cstheme="minorHAnsi"/>
        </w:rPr>
        <w:footnoteReference w:id="19"/>
      </w:r>
      <w:r>
        <w:rPr>
          <w:rFonts w:cstheme="minorHAnsi"/>
        </w:rPr>
        <w:t xml:space="preserve">. After </w:t>
      </w:r>
      <w:r>
        <w:rPr>
          <w:rFonts w:cstheme="minorHAnsi"/>
        </w:rPr>
        <w:lastRenderedPageBreak/>
        <w:t>providing a brief overview of the existing literature about unstable housing in Georgia, we will discuss the evidence emerged from our own analysis of the available data.</w:t>
      </w:r>
    </w:p>
    <w:p w14:paraId="7F558355" w14:textId="77777777" w:rsidR="00813727" w:rsidRDefault="00813727" w:rsidP="00813727">
      <w:pPr>
        <w:pStyle w:val="Heading3"/>
        <w:jc w:val="both"/>
        <w:rPr>
          <w:rFonts w:asciiTheme="minorHAnsi" w:hAnsiTheme="minorHAnsi"/>
        </w:rPr>
      </w:pPr>
      <w:r>
        <w:rPr>
          <w:rFonts w:asciiTheme="minorHAnsi" w:hAnsiTheme="minorHAnsi"/>
        </w:rPr>
        <w:t>A brief overview of the existing literature about unstable housing in Georgia</w:t>
      </w:r>
    </w:p>
    <w:p w14:paraId="0E9C4C5E" w14:textId="77777777" w:rsidR="00813727" w:rsidRDefault="00813727" w:rsidP="00813727">
      <w:pPr>
        <w:jc w:val="both"/>
        <w:rPr>
          <w:rFonts w:cstheme="minorHAnsi"/>
        </w:rPr>
      </w:pPr>
    </w:p>
    <w:p w14:paraId="1D2A68A0" w14:textId="77777777" w:rsidR="00813727" w:rsidRDefault="00813727" w:rsidP="00813727">
      <w:pPr>
        <w:jc w:val="both"/>
        <w:rPr>
          <w:rFonts w:cstheme="minorHAnsi"/>
        </w:rPr>
      </w:pPr>
      <w:r>
        <w:rPr>
          <w:rFonts w:cstheme="minorHAnsi"/>
        </w:rPr>
        <w:t xml:space="preserve">According to the available literature, one of the main determinants of unstable housing in Georgia is unaffordability of the housing and, therefore, addressing the issue of affordability is one of the crucial in order to achieve the constitutional goal of providing access to stable and adequate housing to Georgian citizens </w:t>
      </w:r>
      <w:sdt>
        <w:sdtPr>
          <w:rPr>
            <w:rFonts w:cstheme="minorHAnsi"/>
          </w:rPr>
          <w:id w:val="-1560001977"/>
          <w:citation/>
        </w:sdtPr>
        <w:sdtEndPr/>
        <w:sdtContent>
          <w:r>
            <w:rPr>
              <w:rFonts w:cstheme="minorHAnsi"/>
            </w:rPr>
            <w:fldChar w:fldCharType="begin"/>
          </w:r>
          <w:r>
            <w:rPr>
              <w:rFonts w:cstheme="minorHAnsi"/>
              <w:lang w:val="en-GB"/>
            </w:rPr>
            <w:instrText xml:space="preserve">CITATION Hum16 \m Wor15 \l 2057 </w:instrText>
          </w:r>
          <w:r>
            <w:rPr>
              <w:rFonts w:cstheme="minorHAnsi"/>
            </w:rPr>
            <w:fldChar w:fldCharType="separate"/>
          </w:r>
          <w:r w:rsidRPr="00D74D8C">
            <w:rPr>
              <w:rFonts w:cstheme="minorHAnsi"/>
              <w:noProof/>
              <w:lang w:val="en-GB"/>
            </w:rPr>
            <w:t>(Human Rights Education and Monitoring Center, 2016; World Bank, 2015)</w:t>
          </w:r>
          <w:r>
            <w:rPr>
              <w:rFonts w:cstheme="minorHAnsi"/>
            </w:rPr>
            <w:fldChar w:fldCharType="end"/>
          </w:r>
        </w:sdtContent>
      </w:sdt>
      <w:r>
        <w:rPr>
          <w:rFonts w:cstheme="minorHAnsi"/>
        </w:rPr>
        <w:t xml:space="preserve">. </w:t>
      </w:r>
    </w:p>
    <w:p w14:paraId="7EFC779F" w14:textId="77777777" w:rsidR="00813727" w:rsidRPr="003D38DD" w:rsidRDefault="00813727" w:rsidP="00813727">
      <w:pPr>
        <w:jc w:val="both"/>
      </w:pPr>
      <w:r>
        <w:rPr>
          <w:rFonts w:cstheme="minorHAnsi"/>
          <w:lang w:val="en-GB"/>
        </w:rPr>
        <w:t xml:space="preserve">A major cause of unaffordability seems to be the relatively </w:t>
      </w:r>
      <w:r w:rsidRPr="006066AB">
        <w:rPr>
          <w:rFonts w:cstheme="minorHAnsi"/>
          <w:b/>
          <w:bCs/>
          <w:lang w:val="en-GB"/>
        </w:rPr>
        <w:t>high unemployment, coupled with low salaries</w:t>
      </w:r>
      <w:r>
        <w:rPr>
          <w:rFonts w:cstheme="minorHAnsi"/>
          <w:lang w:val="en-GB"/>
        </w:rPr>
        <w:t xml:space="preserve"> a significant part of the population receives. A study by the Human Rights Education and Monitoring </w:t>
      </w:r>
      <w:proofErr w:type="spellStart"/>
      <w:r>
        <w:rPr>
          <w:rFonts w:cstheme="minorHAnsi"/>
          <w:lang w:val="en-GB"/>
        </w:rPr>
        <w:t>Center</w:t>
      </w:r>
      <w:proofErr w:type="spellEnd"/>
      <w:r>
        <w:rPr>
          <w:rFonts w:cstheme="minorHAnsi"/>
          <w:lang w:val="en-GB"/>
        </w:rPr>
        <w:t xml:space="preserve"> (EMC) </w:t>
      </w:r>
      <w:sdt>
        <w:sdtPr>
          <w:rPr>
            <w:rFonts w:cstheme="minorHAnsi"/>
            <w:lang w:val="en-GB"/>
          </w:rPr>
          <w:id w:val="-386490261"/>
          <w:citation/>
        </w:sdtPr>
        <w:sdtEndPr/>
        <w:sdtContent>
          <w:r>
            <w:rPr>
              <w:rFonts w:cstheme="minorHAnsi"/>
              <w:lang w:val="en-GB"/>
            </w:rPr>
            <w:fldChar w:fldCharType="begin"/>
          </w:r>
          <w:r>
            <w:rPr>
              <w:rFonts w:cstheme="minorHAnsi"/>
              <w:lang w:val="en-GB"/>
            </w:rPr>
            <w:instrText xml:space="preserve">CITATION Hum16 \l 2057 </w:instrText>
          </w:r>
          <w:r>
            <w:rPr>
              <w:rFonts w:cstheme="minorHAnsi"/>
              <w:lang w:val="en-GB"/>
            </w:rPr>
            <w:fldChar w:fldCharType="separate"/>
          </w:r>
          <w:r w:rsidRPr="00D74D8C">
            <w:rPr>
              <w:rFonts w:cstheme="minorHAnsi"/>
              <w:noProof/>
              <w:lang w:val="en-GB"/>
            </w:rPr>
            <w:t>(Human Rights Education and Monitoring Center, 2016)</w:t>
          </w:r>
          <w:r>
            <w:rPr>
              <w:rFonts w:cstheme="minorHAnsi"/>
              <w:lang w:val="en-GB"/>
            </w:rPr>
            <w:fldChar w:fldCharType="end"/>
          </w:r>
        </w:sdtContent>
      </w:sdt>
      <w:r>
        <w:rPr>
          <w:rFonts w:cstheme="minorHAnsi"/>
          <w:lang w:val="en-GB"/>
        </w:rPr>
        <w:t xml:space="preserve"> reveals that unemployment and low salaries have significant negative impact on the housing affordability. According to the study, households with low salaries cannot afford to pay a rent, which leaves them without a shelter. </w:t>
      </w:r>
      <w:r w:rsidRPr="006066AB">
        <w:rPr>
          <w:rFonts w:cstheme="minorHAnsi"/>
          <w:b/>
          <w:bCs/>
          <w:lang w:val="en-GB"/>
        </w:rPr>
        <w:t>Healthcare costs</w:t>
      </w:r>
      <w:r>
        <w:rPr>
          <w:rFonts w:cstheme="minorHAnsi"/>
          <w:lang w:val="en-GB"/>
        </w:rPr>
        <w:t xml:space="preserve">, reducing disposable income of the households, constitute another factor. According to the same report, many households also report that they could not afford paying a rent after losing a job. In addition, many surveyed individuals report that the main reason why they lost the house and could not afford a new one was high healthcare expenses. Households had to sell the houses in order to pay surgery or medical treatment costs and after that due to the low income they could not purchase new flat. </w:t>
      </w:r>
    </w:p>
    <w:p w14:paraId="36860320" w14:textId="77777777" w:rsidR="00813727" w:rsidRDefault="00813727" w:rsidP="00813727">
      <w:pPr>
        <w:jc w:val="both"/>
        <w:rPr>
          <w:rFonts w:cstheme="minorHAnsi"/>
          <w:lang w:val="en-GB"/>
        </w:rPr>
      </w:pPr>
      <w:r>
        <w:rPr>
          <w:rFonts w:cstheme="minorHAnsi"/>
          <w:lang w:val="en-GB"/>
        </w:rPr>
        <w:t xml:space="preserve">The </w:t>
      </w:r>
      <w:r w:rsidRPr="006066AB">
        <w:rPr>
          <w:rFonts w:cstheme="minorHAnsi"/>
          <w:b/>
          <w:bCs/>
          <w:lang w:val="en-GB"/>
        </w:rPr>
        <w:t>market prices of the existing housing stock</w:t>
      </w:r>
      <w:r>
        <w:rPr>
          <w:rFonts w:cstheme="minorHAnsi"/>
          <w:lang w:val="en-GB"/>
        </w:rPr>
        <w:t xml:space="preserve"> also effect the affordability of housing. An insufficient housing stock (with respect to an increase in demand) would result in unavailability of housing and put pressure on prices, reducing affordability. However, according to </w:t>
      </w:r>
      <w:r>
        <w:rPr>
          <w:rFonts w:cstheme="minorHAnsi"/>
        </w:rPr>
        <w:t xml:space="preserve">most experts and housing availability is currently not an issue, even though some express doubts about the quality of the existing building stock. </w:t>
      </w:r>
      <w:r>
        <w:rPr>
          <w:rFonts w:cstheme="minorHAnsi"/>
          <w:lang w:val="en-GB"/>
        </w:rPr>
        <w:t xml:space="preserve">During the 1990s, due to the </w:t>
      </w:r>
      <w:proofErr w:type="gramStart"/>
      <w:r>
        <w:rPr>
          <w:rFonts w:cstheme="minorHAnsi"/>
          <w:lang w:val="en-GB"/>
        </w:rPr>
        <w:t>hard socio-economic</w:t>
      </w:r>
      <w:proofErr w:type="gramEnd"/>
      <w:r>
        <w:rPr>
          <w:rFonts w:cstheme="minorHAnsi"/>
          <w:lang w:val="en-GB"/>
        </w:rPr>
        <w:t xml:space="preserve"> conditions in the country the process of creating a new housing stock was suspended. At the same time, the quality of the existing housing stock deteriorated. Most families could neither afford to purchase/build new houses, nor to maintain the ones they owned properly. However, along with the increase of family sizes more spaces were needed. For this reason, people started expansion of their existing living spaces through accessory buildings, using – for example – modified balconies and part of common spaces as living spaces. Such works were typically done by low skilled labour, which negatively affected on the appearance of the buildings, but also the structural stability of the expansions is also questionable </w:t>
      </w:r>
      <w:sdt>
        <w:sdtPr>
          <w:rPr>
            <w:rFonts w:cstheme="minorHAnsi"/>
            <w:lang w:val="en-GB"/>
          </w:rPr>
          <w:id w:val="-56401787"/>
          <w:citation/>
        </w:sdtPr>
        <w:sdtEndPr/>
        <w:sdtContent>
          <w:r>
            <w:rPr>
              <w:rFonts w:cstheme="minorHAnsi"/>
              <w:lang w:val="en-GB"/>
            </w:rPr>
            <w:fldChar w:fldCharType="begin"/>
          </w:r>
          <w:r>
            <w:rPr>
              <w:rFonts w:cstheme="minorHAnsi"/>
              <w:lang w:val="en-GB"/>
            </w:rPr>
            <w:instrText xml:space="preserve"> CITATION Wor15 \l 2057 </w:instrText>
          </w:r>
          <w:r>
            <w:rPr>
              <w:rFonts w:cstheme="minorHAnsi"/>
              <w:lang w:val="en-GB"/>
            </w:rPr>
            <w:fldChar w:fldCharType="separate"/>
          </w:r>
          <w:r w:rsidRPr="0060317C">
            <w:rPr>
              <w:rFonts w:cstheme="minorHAnsi"/>
              <w:noProof/>
              <w:lang w:val="en-GB"/>
            </w:rPr>
            <w:t>(World Bank, 2015)</w:t>
          </w:r>
          <w:r>
            <w:rPr>
              <w:rFonts w:cstheme="minorHAnsi"/>
              <w:lang w:val="en-GB"/>
            </w:rPr>
            <w:fldChar w:fldCharType="end"/>
          </w:r>
        </w:sdtContent>
      </w:sdt>
      <w:r>
        <w:rPr>
          <w:rFonts w:cstheme="minorHAnsi"/>
          <w:lang w:val="en-GB"/>
        </w:rPr>
        <w:t>.</w:t>
      </w:r>
    </w:p>
    <w:p w14:paraId="4E32BFE9" w14:textId="0D30B2FA" w:rsidR="00813727" w:rsidRDefault="00813727" w:rsidP="00813727">
      <w:pPr>
        <w:jc w:val="both"/>
      </w:pPr>
      <w:r>
        <w:rPr>
          <w:rFonts w:cstheme="minorHAnsi"/>
          <w:lang w:val="en-GB"/>
        </w:rPr>
        <w:t xml:space="preserve">The expansion of the dwellings is not the only reason of the </w:t>
      </w:r>
      <w:r w:rsidRPr="006066AB">
        <w:rPr>
          <w:rFonts w:cstheme="minorHAnsi"/>
          <w:b/>
          <w:bCs/>
          <w:lang w:val="en-GB"/>
        </w:rPr>
        <w:t>poor-quality housing</w:t>
      </w:r>
      <w:r>
        <w:rPr>
          <w:rFonts w:cstheme="minorHAnsi"/>
          <w:lang w:val="en-GB"/>
        </w:rPr>
        <w:t xml:space="preserve"> in Georgia. Significant share of the existing housing stock in Georgia still comes to the houses that were built during the Soviet Union period. The houses during that period were built with cheap materials and quickly in order to accommodate increased </w:t>
      </w:r>
      <w:r w:rsidR="0021680A">
        <w:rPr>
          <w:rFonts w:cstheme="minorHAnsi"/>
          <w:lang w:val="en-GB"/>
        </w:rPr>
        <w:t>urban</w:t>
      </w:r>
      <w:r>
        <w:rPr>
          <w:rFonts w:cstheme="minorHAnsi"/>
          <w:lang w:val="en-GB"/>
        </w:rPr>
        <w:t xml:space="preserve"> population (especially in Tbilisi). In addition, poor maintenance of the buildings accelerated the deterioration process even more. Even though that the share of Soviet Union housing stock is decreasing along with the expansion of the construction sectors, the quality of newly build houses is not always good or satisfactory. This is mainly driven by the fact that</w:t>
      </w:r>
      <w:r w:rsidRPr="00FF1EB7">
        <w:t xml:space="preserve"> imported and locally produced </w:t>
      </w:r>
      <w:r>
        <w:t xml:space="preserve">construction </w:t>
      </w:r>
      <w:r w:rsidRPr="00FF1EB7">
        <w:t>materials are neither standard nor certified</w:t>
      </w:r>
      <w:r>
        <w:t>. In addition, i</w:t>
      </w:r>
      <w:r w:rsidRPr="00FF1EB7">
        <w:t>t</w:t>
      </w:r>
      <w:r>
        <w:t xml:space="preserve"> is not very difficult to </w:t>
      </w:r>
      <w:r>
        <w:lastRenderedPageBreak/>
        <w:t xml:space="preserve">get a building permit in Georgia </w:t>
      </w:r>
      <w:r>
        <w:softHyphen/>
        <w:t xml:space="preserve">– </w:t>
      </w:r>
      <w:r w:rsidRPr="00035060">
        <w:t xml:space="preserve">the documentation requirements for </w:t>
      </w:r>
      <w:r>
        <w:t>getting a building permit</w:t>
      </w:r>
      <w:r w:rsidRPr="00035060">
        <w:t xml:space="preserve"> are much </w:t>
      </w:r>
      <w:r>
        <w:t xml:space="preserve">lower than in other European countries </w:t>
      </w:r>
      <w:sdt>
        <w:sdtPr>
          <w:id w:val="582261709"/>
          <w:citation/>
        </w:sdtPr>
        <w:sdtEndPr/>
        <w:sdtContent>
          <w:r>
            <w:fldChar w:fldCharType="begin"/>
          </w:r>
          <w:r>
            <w:rPr>
              <w:lang w:val="en-GB"/>
            </w:rPr>
            <w:instrText xml:space="preserve"> CITATION Wor15 \l 2057 </w:instrText>
          </w:r>
          <w:r>
            <w:fldChar w:fldCharType="separate"/>
          </w:r>
          <w:r>
            <w:rPr>
              <w:noProof/>
              <w:lang w:val="en-GB"/>
            </w:rPr>
            <w:t>(World Bank, 2015)</w:t>
          </w:r>
          <w:r>
            <w:fldChar w:fldCharType="end"/>
          </w:r>
        </w:sdtContent>
      </w:sdt>
      <w:r>
        <w:t>.</w:t>
      </w:r>
    </w:p>
    <w:p w14:paraId="0BF92CF5" w14:textId="77777777" w:rsidR="00813727" w:rsidRPr="00D11BED" w:rsidRDefault="00813727" w:rsidP="00813727">
      <w:pPr>
        <w:jc w:val="both"/>
      </w:pPr>
      <w:r>
        <w:t xml:space="preserve">According to the studies conducted by World Bank </w:t>
      </w:r>
      <w:sdt>
        <w:sdtPr>
          <w:id w:val="710000619"/>
          <w:citation/>
        </w:sdtPr>
        <w:sdtEndPr/>
        <w:sdtContent>
          <w:r>
            <w:fldChar w:fldCharType="begin"/>
          </w:r>
          <w:r>
            <w:rPr>
              <w:lang w:val="en-GB"/>
            </w:rPr>
            <w:instrText xml:space="preserve"> CITATION Wor15 \l 2057 </w:instrText>
          </w:r>
          <w:r>
            <w:fldChar w:fldCharType="separate"/>
          </w:r>
          <w:r>
            <w:rPr>
              <w:noProof/>
              <w:lang w:val="en-GB"/>
            </w:rPr>
            <w:t>(World Bank, 2015)</w:t>
          </w:r>
          <w:r>
            <w:fldChar w:fldCharType="end"/>
          </w:r>
        </w:sdtContent>
      </w:sdt>
      <w:r>
        <w:t xml:space="preserve">; SDC </w:t>
      </w:r>
      <w:sdt>
        <w:sdtPr>
          <w:id w:val="-953548089"/>
          <w:citation/>
        </w:sdtPr>
        <w:sdtEndPr/>
        <w:sdtContent>
          <w:r>
            <w:fldChar w:fldCharType="begin"/>
          </w:r>
          <w:r>
            <w:rPr>
              <w:lang w:val="en-GB"/>
            </w:rPr>
            <w:instrText xml:space="preserve"> CITATION Swi15 \l 2057 </w:instrText>
          </w:r>
          <w:r>
            <w:fldChar w:fldCharType="separate"/>
          </w:r>
          <w:r>
            <w:rPr>
              <w:noProof/>
              <w:lang w:val="en-GB"/>
            </w:rPr>
            <w:t>(Swiss Agency for Developmen Cooperation (SDC), 2015)</w:t>
          </w:r>
          <w:r>
            <w:fldChar w:fldCharType="end"/>
          </w:r>
        </w:sdtContent>
      </w:sdt>
      <w:r>
        <w:t xml:space="preserve">  and Georgian Young Lawyers Association </w:t>
      </w:r>
      <w:sdt>
        <w:sdtPr>
          <w:id w:val="-1105804869"/>
          <w:citation/>
        </w:sdtPr>
        <w:sdtEndPr/>
        <w:sdtContent>
          <w:r>
            <w:fldChar w:fldCharType="begin"/>
          </w:r>
          <w:r>
            <w:rPr>
              <w:lang w:val="en-GB"/>
            </w:rPr>
            <w:instrText xml:space="preserve"> CITATION Geo14 \l 2057 </w:instrText>
          </w:r>
          <w:r>
            <w:fldChar w:fldCharType="separate"/>
          </w:r>
          <w:r>
            <w:rPr>
              <w:noProof/>
              <w:lang w:val="en-GB"/>
            </w:rPr>
            <w:t>(Georgian Young Lawyers Association, 2014)</w:t>
          </w:r>
          <w:r>
            <w:fldChar w:fldCharType="end"/>
          </w:r>
        </w:sdtContent>
      </w:sdt>
      <w:r>
        <w:t xml:space="preserve">in Georgia, the problem of unstable housing is also associated with the </w:t>
      </w:r>
      <w:r w:rsidRPr="006066AB">
        <w:rPr>
          <w:b/>
          <w:bCs/>
        </w:rPr>
        <w:t>loss of territory and the internal displacement</w:t>
      </w:r>
      <w:r>
        <w:t xml:space="preserve"> of individuals and households due to armed conflicts that have characterized the country’s recent past. </w:t>
      </w:r>
      <w:r w:rsidRPr="00D11BED">
        <w:t>Internally Displaced Pe</w:t>
      </w:r>
      <w:r>
        <w:t>rsons</w:t>
      </w:r>
      <w:r w:rsidRPr="00D11BED">
        <w:t xml:space="preserve"> </w:t>
      </w:r>
      <w:r>
        <w:t>historically</w:t>
      </w:r>
      <w:r w:rsidRPr="00D11BED">
        <w:t xml:space="preserve"> represent</w:t>
      </w:r>
      <w:r>
        <w:t>ed</w:t>
      </w:r>
      <w:r w:rsidRPr="00D11BED">
        <w:t xml:space="preserve"> one of the largest group</w:t>
      </w:r>
      <w:r>
        <w:t>s</w:t>
      </w:r>
      <w:r w:rsidRPr="00D11BED">
        <w:t xml:space="preserve"> of population with problems of unstable housing. </w:t>
      </w:r>
      <w:r>
        <w:t>Initially,</w:t>
      </w:r>
      <w:r w:rsidRPr="00D11BED">
        <w:t xml:space="preserve"> IDPs </w:t>
      </w:r>
      <w:r>
        <w:t>were</w:t>
      </w:r>
      <w:r w:rsidRPr="00D11BED">
        <w:t xml:space="preserve"> </w:t>
      </w:r>
      <w:r>
        <w:t>relocated</w:t>
      </w:r>
      <w:r w:rsidRPr="00D11BED">
        <w:t xml:space="preserve"> to building</w:t>
      </w:r>
      <w:r>
        <w:t>s</w:t>
      </w:r>
      <w:r w:rsidRPr="00D11BED">
        <w:t xml:space="preserve"> which were not primarily intended for living purposes, including vacant of ab</w:t>
      </w:r>
      <w:r>
        <w:t xml:space="preserve">andoned </w:t>
      </w:r>
      <w:r w:rsidRPr="00D11BED">
        <w:t xml:space="preserve">research institutes, kindergartens, hospitals, hotels and etc.  Most of the places </w:t>
      </w:r>
      <w:r>
        <w:t xml:space="preserve">were of </w:t>
      </w:r>
      <w:r w:rsidRPr="00D11BED">
        <w:t>communal type, which means that several households share</w:t>
      </w:r>
      <w:r>
        <w:t>d</w:t>
      </w:r>
      <w:r w:rsidRPr="00D11BED">
        <w:t xml:space="preserve"> the same bathroom and kitchen</w:t>
      </w:r>
      <w:r>
        <w:t xml:space="preserve">. </w:t>
      </w:r>
      <w:r w:rsidRPr="00D11BED">
        <w:t xml:space="preserve">Usually, only one room was delivered to each family without considering the number of household members. </w:t>
      </w:r>
      <w:r>
        <w:t xml:space="preserve">In such cases IDPs </w:t>
      </w:r>
      <w:r w:rsidRPr="00D11BED">
        <w:t>face</w:t>
      </w:r>
      <w:r>
        <w:t>d</w:t>
      </w:r>
      <w:r w:rsidRPr="00D11BED">
        <w:t xml:space="preserve"> two types of problems related to unstable housing: </w:t>
      </w:r>
      <w:r w:rsidRPr="006066AB">
        <w:rPr>
          <w:u w:val="single"/>
        </w:rPr>
        <w:t>unfit housing</w:t>
      </w:r>
      <w:r w:rsidRPr="00D11BED">
        <w:t xml:space="preserve"> (because the proposed building does not always satisfy the minim requirements for s</w:t>
      </w:r>
      <w:r>
        <w:t>anitary-hygienic norms, such as common bathroom and etc.</w:t>
      </w:r>
      <w:r w:rsidRPr="00D11BED">
        <w:t xml:space="preserve">) </w:t>
      </w:r>
      <w:r w:rsidRPr="006066AB">
        <w:rPr>
          <w:u w:val="single"/>
        </w:rPr>
        <w:t>and overcrowding</w:t>
      </w:r>
      <w:r>
        <w:t xml:space="preserve"> (according to the Sustainable </w:t>
      </w:r>
      <w:r>
        <w:rPr>
          <w:lang w:val="en-GB"/>
        </w:rPr>
        <w:t>Development</w:t>
      </w:r>
      <w:r>
        <w:t xml:space="preserve"> Goal 11.1 the overcrowding issue arise when three people live in a room with less than 9m</w:t>
      </w:r>
      <w:r>
        <w:rPr>
          <w:vertAlign w:val="superscript"/>
        </w:rPr>
        <w:t>2</w:t>
      </w:r>
      <w:r>
        <w:t xml:space="preserve"> of area)</w:t>
      </w:r>
      <w:r w:rsidRPr="00D11BED">
        <w:t xml:space="preserve">. In addition, in most of the cases the houses are under the temporary disposal of IDP families, which is translated into the insecure housing. </w:t>
      </w:r>
    </w:p>
    <w:p w14:paraId="713E6846" w14:textId="77777777" w:rsidR="00813727" w:rsidRDefault="00813727" w:rsidP="00813727">
      <w:pPr>
        <w:jc w:val="both"/>
        <w:rPr>
          <w:rFonts w:cstheme="minorHAnsi"/>
        </w:rPr>
      </w:pPr>
      <w:r>
        <w:rPr>
          <w:rFonts w:cstheme="minorHAnsi"/>
          <w:bCs/>
        </w:rPr>
        <w:t xml:space="preserve"> According to </w:t>
      </w:r>
      <w:proofErr w:type="spellStart"/>
      <w:r>
        <w:rPr>
          <w:rFonts w:cstheme="minorHAnsi"/>
          <w:bCs/>
        </w:rPr>
        <w:t>MoLSHA</w:t>
      </w:r>
      <w:proofErr w:type="spellEnd"/>
      <w:r>
        <w:rPr>
          <w:rFonts w:cstheme="minorHAnsi"/>
          <w:bCs/>
        </w:rPr>
        <w:t xml:space="preserve">, </w:t>
      </w:r>
      <w:r w:rsidRPr="006066AB">
        <w:rPr>
          <w:rFonts w:cstheme="minorHAnsi"/>
          <w:b/>
          <w:bCs/>
        </w:rPr>
        <w:t>Natural disasters</w:t>
      </w:r>
      <w:r>
        <w:rPr>
          <w:rFonts w:cstheme="minorHAnsi"/>
        </w:rPr>
        <w:t xml:space="preserve"> can also become a reason of losing house. </w:t>
      </w:r>
      <w:r w:rsidRPr="00D11BED">
        <w:rPr>
          <w:rFonts w:cstheme="minorHAnsi"/>
        </w:rPr>
        <w:t xml:space="preserve">This usually is a problem for the people living in mountainous areas and/or are under the </w:t>
      </w:r>
      <w:r>
        <w:rPr>
          <w:rFonts w:cstheme="minorHAnsi"/>
        </w:rPr>
        <w:t>threat of</w:t>
      </w:r>
      <w:r w:rsidRPr="00D11BED">
        <w:rPr>
          <w:rFonts w:cstheme="minorHAnsi"/>
        </w:rPr>
        <w:t xml:space="preserve"> los</w:t>
      </w:r>
      <w:r>
        <w:rPr>
          <w:rFonts w:cstheme="minorHAnsi"/>
        </w:rPr>
        <w:t>ing</w:t>
      </w:r>
      <w:r w:rsidRPr="00D11BED">
        <w:rPr>
          <w:rFonts w:cstheme="minorHAnsi"/>
        </w:rPr>
        <w:t xml:space="preserve"> their houses due to the natural disasters such as earthquakes and landslides. </w:t>
      </w:r>
      <w:r>
        <w:rPr>
          <w:rFonts w:cstheme="minorHAnsi"/>
        </w:rPr>
        <w:t>Historically, eco-migrants</w:t>
      </w:r>
      <w:r w:rsidRPr="00D11BED">
        <w:rPr>
          <w:rFonts w:cstheme="minorHAnsi"/>
        </w:rPr>
        <w:t xml:space="preserve"> </w:t>
      </w:r>
      <w:r>
        <w:rPr>
          <w:rFonts w:cstheme="minorHAnsi"/>
        </w:rPr>
        <w:t>were</w:t>
      </w:r>
      <w:r w:rsidRPr="00D11BED">
        <w:rPr>
          <w:rFonts w:cstheme="minorHAnsi"/>
        </w:rPr>
        <w:t xml:space="preserve"> </w:t>
      </w:r>
      <w:r>
        <w:rPr>
          <w:rFonts w:cstheme="minorHAnsi"/>
        </w:rPr>
        <w:t xml:space="preserve">moved </w:t>
      </w:r>
      <w:r w:rsidRPr="00D11BED">
        <w:rPr>
          <w:rFonts w:cstheme="minorHAnsi"/>
        </w:rPr>
        <w:t xml:space="preserve">to temporary living places, and </w:t>
      </w:r>
      <w:r>
        <w:rPr>
          <w:rFonts w:cstheme="minorHAnsi"/>
        </w:rPr>
        <w:t xml:space="preserve">– like IDPs – </w:t>
      </w:r>
      <w:r w:rsidRPr="00D11BED">
        <w:rPr>
          <w:rFonts w:cstheme="minorHAnsi"/>
        </w:rPr>
        <w:t xml:space="preserve">not always </w:t>
      </w:r>
      <w:r>
        <w:rPr>
          <w:rFonts w:cstheme="minorHAnsi"/>
        </w:rPr>
        <w:t>to</w:t>
      </w:r>
      <w:r w:rsidRPr="00D11BED">
        <w:rPr>
          <w:rFonts w:cstheme="minorHAnsi"/>
        </w:rPr>
        <w:t xml:space="preserve"> buildings</w:t>
      </w:r>
      <w:r>
        <w:rPr>
          <w:rFonts w:cstheme="minorHAnsi"/>
        </w:rPr>
        <w:t xml:space="preserve"> </w:t>
      </w:r>
      <w:r w:rsidRPr="00D11BED">
        <w:rPr>
          <w:rFonts w:cstheme="minorHAnsi"/>
        </w:rPr>
        <w:t xml:space="preserve">initially intended </w:t>
      </w:r>
      <w:r>
        <w:rPr>
          <w:rFonts w:cstheme="minorHAnsi"/>
        </w:rPr>
        <w:t xml:space="preserve">to serve </w:t>
      </w:r>
      <w:r w:rsidRPr="00D11BED">
        <w:rPr>
          <w:rFonts w:cstheme="minorHAnsi"/>
        </w:rPr>
        <w:t xml:space="preserve">as a living space. </w:t>
      </w:r>
    </w:p>
    <w:p w14:paraId="02334B41" w14:textId="77777777" w:rsidR="00813727" w:rsidRDefault="00813727" w:rsidP="00813727">
      <w:pPr>
        <w:jc w:val="both"/>
        <w:rPr>
          <w:rFonts w:cstheme="minorHAnsi"/>
        </w:rPr>
      </w:pPr>
      <w:r>
        <w:rPr>
          <w:rFonts w:cstheme="minorHAnsi"/>
        </w:rPr>
        <w:t xml:space="preserve">IDPs and eco-migrants are not the only group of citizens who are living in the buildings which was not initially planned for housing purposes. People, who cannot afford to purchase/rent flats often use different spaces as their house. It is common among the vulnerable groups of the society to use nonconventional facilities for their permanent habitation. Some people use office or garage spaces as their living spaces, other construct the living space by their own resources and usually materials used for the construction is not safe and appropriate for permanent habitation. In many cases such spaces do not have proper water supply, electricity and gas system, sewerage systems and etc. In addition, people living in such places are not often protected from environmental hazards, such as rain, wind and etc. </w:t>
      </w:r>
      <w:sdt>
        <w:sdtPr>
          <w:rPr>
            <w:rFonts w:cstheme="minorHAnsi"/>
          </w:rPr>
          <w:id w:val="1522354946"/>
          <w:citation/>
        </w:sdtPr>
        <w:sdtEndPr/>
        <w:sdtContent>
          <w:r>
            <w:rPr>
              <w:rFonts w:cstheme="minorHAnsi"/>
            </w:rPr>
            <w:fldChar w:fldCharType="begin"/>
          </w:r>
          <w:r>
            <w:rPr>
              <w:rFonts w:cstheme="minorHAnsi"/>
              <w:lang w:val="en-GB"/>
            </w:rPr>
            <w:instrText xml:space="preserve">CITATION Segnaposto1 \l 2057 </w:instrText>
          </w:r>
          <w:r>
            <w:rPr>
              <w:rFonts w:cstheme="minorHAnsi"/>
            </w:rPr>
            <w:fldChar w:fldCharType="separate"/>
          </w:r>
          <w:r w:rsidRPr="00D20247">
            <w:rPr>
              <w:rFonts w:cstheme="minorHAnsi"/>
              <w:noProof/>
              <w:lang w:val="en-GB"/>
            </w:rPr>
            <w:t>(Human Rights Education and Monitoring Center, 2016)</w:t>
          </w:r>
          <w:r>
            <w:rPr>
              <w:rFonts w:cstheme="minorHAnsi"/>
            </w:rPr>
            <w:fldChar w:fldCharType="end"/>
          </w:r>
        </w:sdtContent>
      </w:sdt>
      <w:r>
        <w:rPr>
          <w:rFonts w:cstheme="minorHAnsi"/>
        </w:rPr>
        <w:t xml:space="preserve">. </w:t>
      </w:r>
    </w:p>
    <w:p w14:paraId="04DABFFA" w14:textId="77777777" w:rsidR="00813727" w:rsidRDefault="00813727" w:rsidP="00813727">
      <w:pPr>
        <w:shd w:val="clear" w:color="auto" w:fill="FFFFFF"/>
        <w:spacing w:after="105" w:line="240" w:lineRule="auto"/>
        <w:jc w:val="both"/>
        <w:rPr>
          <w:rFonts w:cstheme="minorHAnsi"/>
          <w:lang w:val="en-GB"/>
        </w:rPr>
      </w:pPr>
      <w:r w:rsidRPr="006066AB">
        <w:rPr>
          <w:rFonts w:cstheme="minorHAnsi"/>
          <w:b/>
          <w:bCs/>
          <w:lang w:val="en-GB"/>
        </w:rPr>
        <w:t>Cultural traits</w:t>
      </w:r>
      <w:r>
        <w:rPr>
          <w:rFonts w:cstheme="minorHAnsi"/>
          <w:lang w:val="en-GB"/>
        </w:rPr>
        <w:t xml:space="preserve"> can also have an influence on unstable housing patterns. For example, in the Georgian reality the ‘multi-generation’ families, when two-three or more generation of the families live together, are common. This can lead to the problem of overcrowded dwellings. </w:t>
      </w:r>
      <w:r>
        <w:rPr>
          <w:rFonts w:cstheme="minorHAnsi"/>
        </w:rPr>
        <w:t>Overcrowded dwellings are considered to be another common issue in the Georgian housing sector.</w:t>
      </w:r>
      <w:r>
        <w:rPr>
          <w:rFonts w:cstheme="minorHAnsi"/>
          <w:lang w:val="en-GB"/>
        </w:rPr>
        <w:t xml:space="preserve"> </w:t>
      </w:r>
    </w:p>
    <w:p w14:paraId="62822ECA" w14:textId="04347D68" w:rsidR="00813727" w:rsidRPr="00813727" w:rsidRDefault="00813727" w:rsidP="00813727">
      <w:pPr>
        <w:jc w:val="both"/>
        <w:rPr>
          <w:rFonts w:cstheme="minorHAnsi"/>
          <w:lang w:val="en-GB"/>
        </w:rPr>
      </w:pPr>
      <w:r>
        <w:rPr>
          <w:rFonts w:cstheme="minorHAnsi"/>
          <w:lang w:val="en-GB"/>
        </w:rPr>
        <w:t xml:space="preserve">Other aspects affecting on unstable housing and homelessness are </w:t>
      </w:r>
      <w:r w:rsidRPr="006066AB">
        <w:rPr>
          <w:rFonts w:cstheme="minorHAnsi"/>
          <w:b/>
          <w:bCs/>
          <w:lang w:val="en-GB"/>
        </w:rPr>
        <w:t>gender related issues</w:t>
      </w:r>
      <w:r>
        <w:rPr>
          <w:rFonts w:cstheme="minorHAnsi"/>
          <w:lang w:val="en-GB"/>
        </w:rPr>
        <w:t xml:space="preserve"> which also can have roots among cultural characteristics. According to the study by EMC </w:t>
      </w:r>
      <w:sdt>
        <w:sdtPr>
          <w:rPr>
            <w:rFonts w:cstheme="minorHAnsi"/>
            <w:lang w:val="en-GB"/>
          </w:rPr>
          <w:id w:val="-583762691"/>
          <w:citation/>
        </w:sdtPr>
        <w:sdtEndPr/>
        <w:sdtContent>
          <w:r>
            <w:rPr>
              <w:rFonts w:cstheme="minorHAnsi"/>
              <w:lang w:val="en-GB"/>
            </w:rPr>
            <w:fldChar w:fldCharType="begin"/>
          </w:r>
          <w:r>
            <w:rPr>
              <w:rFonts w:cstheme="minorHAnsi"/>
              <w:lang w:val="en-GB"/>
            </w:rPr>
            <w:instrText xml:space="preserve">CITATION Hum16 \l 2057 </w:instrText>
          </w:r>
          <w:r>
            <w:rPr>
              <w:rFonts w:cstheme="minorHAnsi"/>
              <w:lang w:val="en-GB"/>
            </w:rPr>
            <w:fldChar w:fldCharType="separate"/>
          </w:r>
          <w:r w:rsidRPr="00D74D8C">
            <w:rPr>
              <w:rFonts w:cstheme="minorHAnsi"/>
              <w:noProof/>
              <w:lang w:val="en-GB"/>
            </w:rPr>
            <w:t>(Human Rights Education and Monitoring Center, 2016)</w:t>
          </w:r>
          <w:r>
            <w:rPr>
              <w:rFonts w:cstheme="minorHAnsi"/>
              <w:lang w:val="en-GB"/>
            </w:rPr>
            <w:fldChar w:fldCharType="end"/>
          </w:r>
        </w:sdtContent>
      </w:sdt>
      <w:r>
        <w:rPr>
          <w:rFonts w:cstheme="minorHAnsi"/>
          <w:lang w:val="en-GB"/>
        </w:rPr>
        <w:t xml:space="preserve"> female citizens often face the problem of unstable housing due to the several reasons: cultural characteristics sometimes effect on the family decision to inherit all the property to the son, not the daughter, such decisions often leave females (with their dependents) in unstable housing conditions. In addition, in Georgia females are more frequently victim of the domestic violence. </w:t>
      </w:r>
      <w:r>
        <w:rPr>
          <w:rFonts w:cstheme="minorHAnsi"/>
          <w:lang w:val="en-GB"/>
        </w:rPr>
        <w:lastRenderedPageBreak/>
        <w:t xml:space="preserve">For such victims several women shelters are functioning in the country (discusses above), however, the space in the shelters is provided usually for a short-term and after that period women either have to go back to the rapist, or to live to the friends and relatives for undefined time periods, or become homeless. </w:t>
      </w:r>
    </w:p>
    <w:p w14:paraId="5F01B18F" w14:textId="6CBBAD3C" w:rsidR="006C20D5" w:rsidRDefault="006C20D5" w:rsidP="00454C26">
      <w:pPr>
        <w:pStyle w:val="Heading3"/>
        <w:jc w:val="both"/>
      </w:pPr>
      <w:r>
        <w:rPr>
          <w:rFonts w:asciiTheme="minorHAnsi" w:hAnsiTheme="minorHAnsi"/>
        </w:rPr>
        <w:t xml:space="preserve">Data </w:t>
      </w:r>
    </w:p>
    <w:p w14:paraId="3C1BE44C" w14:textId="77777777" w:rsidR="00B16C99" w:rsidRDefault="00B16C99" w:rsidP="00976D0B">
      <w:pPr>
        <w:jc w:val="both"/>
        <w:rPr>
          <w:rFonts w:cstheme="minorHAnsi"/>
        </w:rPr>
      </w:pPr>
    </w:p>
    <w:p w14:paraId="2AFD5602" w14:textId="7A76D6D0" w:rsidR="006C20D5" w:rsidRDefault="00082663" w:rsidP="00976D0B">
      <w:pPr>
        <w:jc w:val="both"/>
        <w:rPr>
          <w:rFonts w:cstheme="minorHAnsi"/>
        </w:rPr>
      </w:pPr>
      <w:r>
        <w:rPr>
          <w:rFonts w:cstheme="minorHAnsi"/>
        </w:rPr>
        <w:t>The main source</w:t>
      </w:r>
      <w:r w:rsidR="004925E6">
        <w:rPr>
          <w:rFonts w:cstheme="minorHAnsi"/>
        </w:rPr>
        <w:t>s</w:t>
      </w:r>
      <w:r>
        <w:rPr>
          <w:rFonts w:cstheme="minorHAnsi"/>
        </w:rPr>
        <w:t xml:space="preserve"> of </w:t>
      </w:r>
      <w:r w:rsidR="006C20D5">
        <w:rPr>
          <w:rFonts w:cstheme="minorHAnsi"/>
        </w:rPr>
        <w:t xml:space="preserve">data and </w:t>
      </w:r>
      <w:r>
        <w:rPr>
          <w:rFonts w:cstheme="minorHAnsi"/>
        </w:rPr>
        <w:t xml:space="preserve">information </w:t>
      </w:r>
      <w:r w:rsidR="006C20D5">
        <w:rPr>
          <w:rFonts w:cstheme="minorHAnsi"/>
        </w:rPr>
        <w:t xml:space="preserve">discussed in this section </w:t>
      </w:r>
      <w:r>
        <w:rPr>
          <w:rFonts w:cstheme="minorHAnsi"/>
        </w:rPr>
        <w:t>are</w:t>
      </w:r>
      <w:r w:rsidR="006C20D5">
        <w:rPr>
          <w:rFonts w:cstheme="minorHAnsi"/>
        </w:rPr>
        <w:t>:</w:t>
      </w:r>
      <w:r w:rsidR="00F523B3">
        <w:rPr>
          <w:rFonts w:cstheme="minorHAnsi"/>
        </w:rPr>
        <w:t xml:space="preserve"> </w:t>
      </w:r>
    </w:p>
    <w:p w14:paraId="371D5124" w14:textId="68090664" w:rsidR="006C20D5" w:rsidRPr="006066AB" w:rsidRDefault="00F523B3" w:rsidP="00454C26">
      <w:pPr>
        <w:pStyle w:val="ListParagraph"/>
        <w:numPr>
          <w:ilvl w:val="0"/>
          <w:numId w:val="17"/>
        </w:numPr>
        <w:jc w:val="both"/>
        <w:rPr>
          <w:i/>
          <w:iCs/>
          <w:color w:val="44546A" w:themeColor="text2"/>
          <w:sz w:val="18"/>
          <w:szCs w:val="18"/>
        </w:rPr>
      </w:pPr>
      <w:r w:rsidRPr="009D13A4">
        <w:rPr>
          <w:rFonts w:cstheme="minorHAnsi"/>
        </w:rPr>
        <w:t>National Statistics Office of Georgia</w:t>
      </w:r>
      <w:r w:rsidR="004925E6" w:rsidRPr="004C3BCA">
        <w:rPr>
          <w:rFonts w:cstheme="minorHAnsi"/>
        </w:rPr>
        <w:t xml:space="preserve"> </w:t>
      </w:r>
      <w:r w:rsidR="004925E6" w:rsidRPr="00610BE1">
        <w:rPr>
          <w:rFonts w:cstheme="minorHAnsi"/>
        </w:rPr>
        <w:t>(</w:t>
      </w:r>
      <w:proofErr w:type="spellStart"/>
      <w:r w:rsidR="004925E6" w:rsidRPr="00610BE1">
        <w:rPr>
          <w:rFonts w:cstheme="minorHAnsi"/>
        </w:rPr>
        <w:t>Geostat</w:t>
      </w:r>
      <w:proofErr w:type="spellEnd"/>
      <w:r w:rsidR="006C20D5" w:rsidRPr="006066AB">
        <w:rPr>
          <w:rFonts w:cstheme="minorHAnsi"/>
        </w:rPr>
        <w:t>)</w:t>
      </w:r>
      <w:r w:rsidR="00501E13">
        <w:rPr>
          <w:rStyle w:val="FootnoteReference"/>
          <w:rFonts w:cstheme="minorHAnsi"/>
        </w:rPr>
        <w:footnoteReference w:id="20"/>
      </w:r>
      <w:r w:rsidR="006C20D5">
        <w:rPr>
          <w:rFonts w:cstheme="minorHAnsi"/>
        </w:rPr>
        <w:t>;</w:t>
      </w:r>
    </w:p>
    <w:p w14:paraId="57A648F3" w14:textId="3D470BCF" w:rsidR="006C20D5" w:rsidRPr="006066AB" w:rsidRDefault="00840F80" w:rsidP="00454C26">
      <w:pPr>
        <w:pStyle w:val="ListParagraph"/>
        <w:numPr>
          <w:ilvl w:val="0"/>
          <w:numId w:val="17"/>
        </w:numPr>
        <w:jc w:val="both"/>
        <w:rPr>
          <w:i/>
          <w:iCs/>
          <w:color w:val="44546A" w:themeColor="text2"/>
          <w:sz w:val="18"/>
          <w:szCs w:val="18"/>
        </w:rPr>
      </w:pPr>
      <w:r w:rsidRPr="009D13A4">
        <w:rPr>
          <w:rFonts w:cstheme="minorHAnsi"/>
        </w:rPr>
        <w:t xml:space="preserve">Ministry of Internally Displaced Persons from the Occupied Territories, </w:t>
      </w:r>
      <w:proofErr w:type="spellStart"/>
      <w:r w:rsidRPr="009D13A4">
        <w:rPr>
          <w:rFonts w:cstheme="minorHAnsi"/>
        </w:rPr>
        <w:t>Labour</w:t>
      </w:r>
      <w:proofErr w:type="spellEnd"/>
      <w:r w:rsidRPr="009D13A4">
        <w:rPr>
          <w:rFonts w:cstheme="minorHAnsi"/>
        </w:rPr>
        <w:t>, Health</w:t>
      </w:r>
      <w:r w:rsidRPr="004C3BCA">
        <w:rPr>
          <w:rFonts w:cstheme="minorHAnsi"/>
        </w:rPr>
        <w:t xml:space="preserve"> and Social Affai</w:t>
      </w:r>
      <w:r w:rsidRPr="00610BE1">
        <w:rPr>
          <w:rFonts w:cstheme="minorHAnsi"/>
        </w:rPr>
        <w:t>rs of G</w:t>
      </w:r>
      <w:r w:rsidRPr="00CF01FB">
        <w:rPr>
          <w:rFonts w:cstheme="minorHAnsi"/>
        </w:rPr>
        <w:t>eorgia</w:t>
      </w:r>
      <w:r w:rsidR="006C20D5">
        <w:rPr>
          <w:rFonts w:cstheme="minorHAnsi"/>
        </w:rPr>
        <w:t>;</w:t>
      </w:r>
    </w:p>
    <w:p w14:paraId="3EDE868C" w14:textId="699CEA19" w:rsidR="006C20D5" w:rsidRPr="006066AB" w:rsidRDefault="00840F80" w:rsidP="00454C26">
      <w:pPr>
        <w:pStyle w:val="ListParagraph"/>
        <w:numPr>
          <w:ilvl w:val="0"/>
          <w:numId w:val="17"/>
        </w:numPr>
        <w:jc w:val="both"/>
        <w:rPr>
          <w:i/>
          <w:iCs/>
          <w:color w:val="44546A" w:themeColor="text2"/>
          <w:sz w:val="18"/>
          <w:szCs w:val="18"/>
        </w:rPr>
      </w:pPr>
      <w:r w:rsidRPr="009D13A4">
        <w:rPr>
          <w:rFonts w:cstheme="minorHAnsi"/>
        </w:rPr>
        <w:t>municipalities</w:t>
      </w:r>
      <w:r w:rsidR="006C20D5">
        <w:rPr>
          <w:rFonts w:cstheme="minorHAnsi"/>
        </w:rPr>
        <w:t>;</w:t>
      </w:r>
    </w:p>
    <w:p w14:paraId="741DDFFB" w14:textId="0719EA0B" w:rsidR="006C20D5" w:rsidRPr="00454C26" w:rsidRDefault="006C20D5">
      <w:pPr>
        <w:pStyle w:val="ListParagraph"/>
        <w:numPr>
          <w:ilvl w:val="0"/>
          <w:numId w:val="17"/>
        </w:numPr>
        <w:jc w:val="both"/>
        <w:rPr>
          <w:i/>
          <w:iCs/>
          <w:color w:val="44546A" w:themeColor="text2"/>
          <w:sz w:val="18"/>
          <w:szCs w:val="18"/>
        </w:rPr>
      </w:pPr>
      <w:r>
        <w:rPr>
          <w:rFonts w:cstheme="minorHAnsi"/>
        </w:rPr>
        <w:t>other</w:t>
      </w:r>
      <w:r w:rsidR="00082663" w:rsidRPr="009D13A4">
        <w:rPr>
          <w:rFonts w:cstheme="minorHAnsi"/>
        </w:rPr>
        <w:t xml:space="preserve"> institutions who have interests in the </w:t>
      </w:r>
      <w:r>
        <w:rPr>
          <w:rFonts w:cstheme="minorHAnsi"/>
        </w:rPr>
        <w:t>unstable housing</w:t>
      </w:r>
      <w:r w:rsidRPr="009D13A4">
        <w:rPr>
          <w:rFonts w:cstheme="minorHAnsi"/>
        </w:rPr>
        <w:t xml:space="preserve"> </w:t>
      </w:r>
      <w:r w:rsidR="00082663" w:rsidRPr="004C3BCA">
        <w:rPr>
          <w:rFonts w:cstheme="minorHAnsi"/>
        </w:rPr>
        <w:t>field</w:t>
      </w:r>
      <w:r>
        <w:rPr>
          <w:rFonts w:cstheme="minorHAnsi"/>
        </w:rPr>
        <w:t>;</w:t>
      </w:r>
    </w:p>
    <w:p w14:paraId="5D32CB88" w14:textId="5F4EA9D4" w:rsidR="006C20D5" w:rsidRPr="006066AB" w:rsidRDefault="009A7338" w:rsidP="00454C26">
      <w:pPr>
        <w:pStyle w:val="ListParagraph"/>
        <w:numPr>
          <w:ilvl w:val="0"/>
          <w:numId w:val="17"/>
        </w:numPr>
        <w:jc w:val="both"/>
        <w:rPr>
          <w:i/>
          <w:iCs/>
          <w:color w:val="44546A" w:themeColor="text2"/>
          <w:sz w:val="18"/>
          <w:szCs w:val="18"/>
        </w:rPr>
      </w:pPr>
      <w:hyperlink r:id="rId8" w:history="1">
        <w:r w:rsidR="005C6868" w:rsidRPr="00454C26">
          <w:rPr>
            <w:rFonts w:cstheme="minorHAnsi"/>
          </w:rPr>
          <w:t>State Fund for Protection and Assistance of (Statutory) Victims of Human Trafficking</w:t>
        </w:r>
      </w:hyperlink>
      <w:r w:rsidR="005C6868" w:rsidRPr="00454C26">
        <w:rPr>
          <w:rFonts w:cstheme="minorHAnsi"/>
        </w:rPr>
        <w:t xml:space="preserve"> (</w:t>
      </w:r>
      <w:proofErr w:type="spellStart"/>
      <w:r w:rsidR="005C6868" w:rsidRPr="00454C26">
        <w:rPr>
          <w:rFonts w:cstheme="minorHAnsi"/>
        </w:rPr>
        <w:t>Atipfund</w:t>
      </w:r>
      <w:proofErr w:type="spellEnd"/>
      <w:r w:rsidR="005C6868" w:rsidRPr="00454C26">
        <w:rPr>
          <w:rFonts w:cstheme="minorHAnsi"/>
        </w:rPr>
        <w:t>)</w:t>
      </w:r>
    </w:p>
    <w:p w14:paraId="27702CF0" w14:textId="5706A76F" w:rsidR="006C20D5" w:rsidRPr="006066AB" w:rsidRDefault="00082663" w:rsidP="00454C26">
      <w:pPr>
        <w:pStyle w:val="ListParagraph"/>
        <w:numPr>
          <w:ilvl w:val="0"/>
          <w:numId w:val="17"/>
        </w:numPr>
        <w:jc w:val="both"/>
        <w:rPr>
          <w:i/>
          <w:iCs/>
          <w:color w:val="44546A" w:themeColor="text2"/>
          <w:sz w:val="18"/>
          <w:szCs w:val="18"/>
        </w:rPr>
      </w:pPr>
      <w:r w:rsidRPr="009D13A4">
        <w:rPr>
          <w:rFonts w:cstheme="minorHAnsi"/>
        </w:rPr>
        <w:t xml:space="preserve">Ministry of </w:t>
      </w:r>
      <w:r w:rsidR="006C20D5">
        <w:rPr>
          <w:rFonts w:cstheme="minorHAnsi"/>
        </w:rPr>
        <w:t xml:space="preserve">the </w:t>
      </w:r>
      <w:r w:rsidRPr="009D13A4">
        <w:rPr>
          <w:rFonts w:cstheme="minorHAnsi"/>
        </w:rPr>
        <w:t>Econom</w:t>
      </w:r>
      <w:r w:rsidR="006C20D5">
        <w:rPr>
          <w:rFonts w:cstheme="minorHAnsi"/>
        </w:rPr>
        <w:t>y</w:t>
      </w:r>
      <w:r w:rsidRPr="004C3BCA">
        <w:rPr>
          <w:rFonts w:cstheme="minorHAnsi"/>
        </w:rPr>
        <w:t xml:space="preserve"> and Sustainable Development </w:t>
      </w:r>
      <w:r w:rsidR="006C20D5">
        <w:rPr>
          <w:rFonts w:cstheme="minorHAnsi"/>
        </w:rPr>
        <w:t xml:space="preserve">and </w:t>
      </w:r>
      <w:r w:rsidRPr="004C3BCA">
        <w:rPr>
          <w:rFonts w:cstheme="minorHAnsi"/>
        </w:rPr>
        <w:t>its legal entity under public law Nati</w:t>
      </w:r>
      <w:r w:rsidRPr="00610BE1">
        <w:rPr>
          <w:rFonts w:cstheme="minorHAnsi"/>
        </w:rPr>
        <w:t>onal Agency of State Property</w:t>
      </w:r>
      <w:r w:rsidR="006C20D5">
        <w:rPr>
          <w:rFonts w:cstheme="minorHAnsi"/>
        </w:rPr>
        <w:t>;</w:t>
      </w:r>
    </w:p>
    <w:p w14:paraId="1AF86C83" w14:textId="35523720" w:rsidR="006C20D5" w:rsidRPr="006066AB" w:rsidRDefault="00082663" w:rsidP="00454C26">
      <w:pPr>
        <w:pStyle w:val="ListParagraph"/>
        <w:numPr>
          <w:ilvl w:val="0"/>
          <w:numId w:val="17"/>
        </w:numPr>
        <w:jc w:val="both"/>
        <w:rPr>
          <w:i/>
          <w:iCs/>
          <w:color w:val="44546A" w:themeColor="text2"/>
          <w:sz w:val="18"/>
          <w:szCs w:val="18"/>
        </w:rPr>
      </w:pPr>
      <w:r w:rsidRPr="009D13A4">
        <w:rPr>
          <w:rFonts w:cstheme="minorHAnsi"/>
        </w:rPr>
        <w:t>Minist</w:t>
      </w:r>
      <w:r w:rsidRPr="004C3BCA">
        <w:rPr>
          <w:rFonts w:cstheme="minorHAnsi"/>
        </w:rPr>
        <w:t>ry of Internal Affairs</w:t>
      </w:r>
      <w:r w:rsidR="006C20D5">
        <w:rPr>
          <w:rFonts w:cstheme="minorHAnsi"/>
        </w:rPr>
        <w:t>;</w:t>
      </w:r>
    </w:p>
    <w:p w14:paraId="15C01A43" w14:textId="77777777" w:rsidR="005A5881" w:rsidRPr="006066AB" w:rsidRDefault="005A5881" w:rsidP="00454C26">
      <w:pPr>
        <w:pStyle w:val="ListParagraph"/>
        <w:jc w:val="both"/>
        <w:rPr>
          <w:i/>
          <w:iCs/>
          <w:color w:val="44546A" w:themeColor="text2"/>
          <w:sz w:val="18"/>
          <w:szCs w:val="18"/>
        </w:rPr>
      </w:pPr>
    </w:p>
    <w:p w14:paraId="1941E189" w14:textId="20753648" w:rsidR="00115C67" w:rsidRDefault="00082663" w:rsidP="00976D0B">
      <w:pPr>
        <w:jc w:val="both"/>
        <w:rPr>
          <w:rFonts w:cstheme="minorHAnsi"/>
        </w:rPr>
      </w:pPr>
      <w:r>
        <w:rPr>
          <w:rFonts w:cstheme="minorHAnsi"/>
        </w:rPr>
        <w:t>Th</w:t>
      </w:r>
      <w:r w:rsidR="002D30AB">
        <w:rPr>
          <w:rFonts w:cstheme="minorHAnsi"/>
        </w:rPr>
        <w:t>is section</w:t>
      </w:r>
      <w:r w:rsidR="006E17F2">
        <w:rPr>
          <w:rFonts w:cstheme="minorHAnsi"/>
        </w:rPr>
        <w:t xml:space="preserve"> is divided into three</w:t>
      </w:r>
      <w:r w:rsidR="00112189">
        <w:rPr>
          <w:rFonts w:cstheme="minorHAnsi"/>
        </w:rPr>
        <w:t xml:space="preserve"> parts</w:t>
      </w:r>
      <w:r w:rsidR="00115C67">
        <w:rPr>
          <w:rFonts w:cstheme="minorHAnsi"/>
        </w:rPr>
        <w:t>:</w:t>
      </w:r>
      <w:r w:rsidR="00112189">
        <w:rPr>
          <w:rFonts w:cstheme="minorHAnsi"/>
        </w:rPr>
        <w:t xml:space="preserve"> </w:t>
      </w:r>
    </w:p>
    <w:p w14:paraId="55E7DA2F" w14:textId="2F4EE868" w:rsidR="00071E1D" w:rsidRDefault="00F00466" w:rsidP="00454C26">
      <w:pPr>
        <w:pStyle w:val="ListParagraph"/>
        <w:numPr>
          <w:ilvl w:val="0"/>
          <w:numId w:val="7"/>
        </w:numPr>
        <w:jc w:val="both"/>
        <w:rPr>
          <w:rFonts w:cstheme="minorHAnsi"/>
        </w:rPr>
      </w:pPr>
      <w:r>
        <w:rPr>
          <w:rFonts w:cstheme="minorHAnsi"/>
        </w:rPr>
        <w:t xml:space="preserve">an </w:t>
      </w:r>
      <w:r w:rsidRPr="008C49B7">
        <w:rPr>
          <w:rFonts w:cstheme="minorHAnsi"/>
        </w:rPr>
        <w:t>investigat</w:t>
      </w:r>
      <w:r>
        <w:rPr>
          <w:rFonts w:cstheme="minorHAnsi"/>
        </w:rPr>
        <w:t xml:space="preserve">ion of </w:t>
      </w:r>
      <w:r w:rsidR="00071E1D">
        <w:rPr>
          <w:rFonts w:cstheme="minorHAnsi"/>
        </w:rPr>
        <w:t>general housing market trends</w:t>
      </w:r>
      <w:r>
        <w:rPr>
          <w:rFonts w:cstheme="minorHAnsi"/>
        </w:rPr>
        <w:t xml:space="preserve"> in the Georgian context</w:t>
      </w:r>
      <w:r w:rsidR="001E0852">
        <w:rPr>
          <w:rFonts w:cstheme="minorHAnsi"/>
        </w:rPr>
        <w:t>;</w:t>
      </w:r>
    </w:p>
    <w:p w14:paraId="3C68130F" w14:textId="1676BACB" w:rsidR="00115C67" w:rsidRPr="00095BBA" w:rsidRDefault="00501E13" w:rsidP="00454C26">
      <w:pPr>
        <w:pStyle w:val="ListParagraph"/>
        <w:numPr>
          <w:ilvl w:val="0"/>
          <w:numId w:val="7"/>
        </w:numPr>
        <w:jc w:val="both"/>
        <w:rPr>
          <w:rFonts w:cstheme="minorHAnsi"/>
        </w:rPr>
      </w:pPr>
      <w:r>
        <w:rPr>
          <w:rFonts w:cstheme="minorHAnsi"/>
        </w:rPr>
        <w:t>a general</w:t>
      </w:r>
      <w:r w:rsidR="00B12947">
        <w:rPr>
          <w:rFonts w:cstheme="minorHAnsi"/>
        </w:rPr>
        <w:t xml:space="preserve"> overview of th</w:t>
      </w:r>
      <w:r w:rsidR="00C73DD2">
        <w:rPr>
          <w:rFonts w:cstheme="minorHAnsi"/>
        </w:rPr>
        <w:t>e phenomenon of</w:t>
      </w:r>
      <w:r w:rsidR="00115C67" w:rsidRPr="00095BBA">
        <w:rPr>
          <w:rFonts w:cstheme="minorHAnsi"/>
        </w:rPr>
        <w:t xml:space="preserve"> unstable housing</w:t>
      </w:r>
      <w:r w:rsidR="00C73DD2">
        <w:rPr>
          <w:rFonts w:cstheme="minorHAnsi"/>
        </w:rPr>
        <w:t xml:space="preserve"> in Georgia</w:t>
      </w:r>
      <w:r w:rsidR="00162CF4">
        <w:rPr>
          <w:rFonts w:cstheme="minorHAnsi"/>
        </w:rPr>
        <w:t>;</w:t>
      </w:r>
    </w:p>
    <w:p w14:paraId="4E2B2F71" w14:textId="60C52314" w:rsidR="00162CF4" w:rsidRDefault="00501E13" w:rsidP="00454C26">
      <w:pPr>
        <w:pStyle w:val="ListParagraph"/>
        <w:numPr>
          <w:ilvl w:val="0"/>
          <w:numId w:val="7"/>
        </w:numPr>
        <w:jc w:val="both"/>
        <w:rPr>
          <w:rFonts w:cstheme="minorHAnsi"/>
        </w:rPr>
      </w:pPr>
      <w:r>
        <w:rPr>
          <w:rFonts w:cstheme="minorHAnsi"/>
        </w:rPr>
        <w:t>a</w:t>
      </w:r>
      <w:r w:rsidR="00162CF4" w:rsidRPr="00095BBA">
        <w:rPr>
          <w:rFonts w:cstheme="minorHAnsi"/>
        </w:rPr>
        <w:t xml:space="preserve"> </w:t>
      </w:r>
      <w:r w:rsidR="007A5F02" w:rsidRPr="00095BBA">
        <w:rPr>
          <w:rFonts w:cstheme="minorHAnsi"/>
        </w:rPr>
        <w:t>d</w:t>
      </w:r>
      <w:r w:rsidR="007A5F02">
        <w:rPr>
          <w:rFonts w:cstheme="minorHAnsi"/>
        </w:rPr>
        <w:t>isaggregated</w:t>
      </w:r>
      <w:r w:rsidR="007A5F02" w:rsidRPr="00095BBA">
        <w:rPr>
          <w:rFonts w:cstheme="minorHAnsi"/>
        </w:rPr>
        <w:t xml:space="preserve"> </w:t>
      </w:r>
      <w:r w:rsidR="00162CF4" w:rsidRPr="00095BBA">
        <w:rPr>
          <w:rFonts w:cstheme="minorHAnsi"/>
        </w:rPr>
        <w:t xml:space="preserve">analysis </w:t>
      </w:r>
      <w:r w:rsidR="007A5F02">
        <w:rPr>
          <w:rFonts w:cstheme="minorHAnsi"/>
        </w:rPr>
        <w:t>of the phenomenon of</w:t>
      </w:r>
      <w:r w:rsidR="007A5F02" w:rsidRPr="00095BBA">
        <w:rPr>
          <w:rFonts w:cstheme="minorHAnsi"/>
        </w:rPr>
        <w:t xml:space="preserve"> unstable housing</w:t>
      </w:r>
      <w:r w:rsidR="007A5F02">
        <w:rPr>
          <w:rFonts w:cstheme="minorHAnsi"/>
        </w:rPr>
        <w:t xml:space="preserve"> in Georgia, with a focus on </w:t>
      </w:r>
      <w:r w:rsidR="00C73DD2">
        <w:rPr>
          <w:rFonts w:cstheme="minorHAnsi"/>
        </w:rPr>
        <w:t xml:space="preserve">outcomes </w:t>
      </w:r>
      <w:r w:rsidR="00CF798A">
        <w:rPr>
          <w:rFonts w:cstheme="minorHAnsi"/>
        </w:rPr>
        <w:t xml:space="preserve">and household characteristics </w:t>
      </w:r>
      <w:r>
        <w:rPr>
          <w:rFonts w:cstheme="minorHAnsi"/>
        </w:rPr>
        <w:t xml:space="preserve">potentially </w:t>
      </w:r>
      <w:r w:rsidR="00C73DD2">
        <w:rPr>
          <w:rFonts w:cstheme="minorHAnsi"/>
        </w:rPr>
        <w:t>related to</w:t>
      </w:r>
      <w:r w:rsidR="00115C67" w:rsidRPr="00095BBA">
        <w:rPr>
          <w:rFonts w:cstheme="minorHAnsi"/>
        </w:rPr>
        <w:t xml:space="preserve"> unstable housing</w:t>
      </w:r>
      <w:r w:rsidR="00162CF4">
        <w:rPr>
          <w:rFonts w:cstheme="minorHAnsi"/>
        </w:rPr>
        <w:t>;</w:t>
      </w:r>
    </w:p>
    <w:p w14:paraId="3C0933D2" w14:textId="77777777" w:rsidR="00F00466" w:rsidRDefault="00F00466" w:rsidP="00D74D8C">
      <w:pPr>
        <w:pStyle w:val="ListParagraph"/>
        <w:jc w:val="both"/>
        <w:rPr>
          <w:rFonts w:cstheme="minorHAnsi"/>
        </w:rPr>
      </w:pPr>
    </w:p>
    <w:p w14:paraId="1FC51A6C" w14:textId="78A9A90B" w:rsidR="007B3C4A" w:rsidRDefault="00F00466" w:rsidP="00976D0B">
      <w:pPr>
        <w:jc w:val="both"/>
        <w:rPr>
          <w:rFonts w:cstheme="minorHAnsi"/>
        </w:rPr>
      </w:pPr>
      <w:r w:rsidRPr="00095BBA">
        <w:rPr>
          <w:rFonts w:cstheme="minorHAnsi"/>
        </w:rPr>
        <w:t xml:space="preserve">The </w:t>
      </w:r>
      <w:r>
        <w:rPr>
          <w:rFonts w:cstheme="minorHAnsi"/>
        </w:rPr>
        <w:t>first</w:t>
      </w:r>
      <w:r w:rsidRPr="00095BBA">
        <w:rPr>
          <w:rFonts w:cstheme="minorHAnsi"/>
        </w:rPr>
        <w:t xml:space="preserve"> part of </w:t>
      </w:r>
      <w:r>
        <w:rPr>
          <w:rFonts w:cstheme="minorHAnsi"/>
        </w:rPr>
        <w:t xml:space="preserve">the </w:t>
      </w:r>
      <w:r w:rsidRPr="00095BBA">
        <w:rPr>
          <w:rFonts w:cstheme="minorHAnsi"/>
        </w:rPr>
        <w:t xml:space="preserve">analysis </w:t>
      </w:r>
      <w:r w:rsidRPr="00680F00">
        <w:rPr>
          <w:rFonts w:cstheme="minorHAnsi"/>
        </w:rPr>
        <w:t xml:space="preserve">investigates </w:t>
      </w:r>
      <w:r w:rsidR="001E0852" w:rsidRPr="00D74D8C">
        <w:rPr>
          <w:rFonts w:cstheme="minorHAnsi"/>
          <w:b/>
          <w:bCs/>
        </w:rPr>
        <w:t>general housing market trends</w:t>
      </w:r>
      <w:r w:rsidR="001E0852">
        <w:rPr>
          <w:rFonts w:cstheme="minorHAnsi"/>
        </w:rPr>
        <w:t xml:space="preserve"> in the Georgian context</w:t>
      </w:r>
      <w:r>
        <w:rPr>
          <w:rFonts w:cstheme="minorHAnsi"/>
        </w:rPr>
        <w:t xml:space="preserve">. </w:t>
      </w:r>
      <w:r w:rsidR="007B3C4A">
        <w:rPr>
          <w:rFonts w:cstheme="minorHAnsi"/>
        </w:rPr>
        <w:t>T</w:t>
      </w:r>
      <w:r w:rsidR="00112189" w:rsidRPr="00095BBA">
        <w:rPr>
          <w:rFonts w:cstheme="minorHAnsi"/>
        </w:rPr>
        <w:t xml:space="preserve">he </w:t>
      </w:r>
      <w:r>
        <w:rPr>
          <w:rFonts w:cstheme="minorHAnsi"/>
        </w:rPr>
        <w:t>second</w:t>
      </w:r>
      <w:r w:rsidR="006E17F2" w:rsidRPr="00095BBA">
        <w:rPr>
          <w:rFonts w:cstheme="minorHAnsi"/>
        </w:rPr>
        <w:t xml:space="preserve"> part </w:t>
      </w:r>
      <w:r w:rsidR="00082663" w:rsidRPr="00116E42">
        <w:rPr>
          <w:rFonts w:cstheme="minorHAnsi"/>
        </w:rPr>
        <w:t>starts</w:t>
      </w:r>
      <w:r w:rsidR="00112189" w:rsidRPr="00116E42">
        <w:rPr>
          <w:rFonts w:cstheme="minorHAnsi"/>
        </w:rPr>
        <w:t xml:space="preserve"> with</w:t>
      </w:r>
      <w:r w:rsidR="00082663" w:rsidRPr="00116E42">
        <w:rPr>
          <w:rFonts w:cstheme="minorHAnsi"/>
        </w:rPr>
        <w:t xml:space="preserve"> </w:t>
      </w:r>
      <w:r w:rsidR="00112189" w:rsidRPr="00116E42">
        <w:rPr>
          <w:rFonts w:cstheme="minorHAnsi"/>
        </w:rPr>
        <w:t xml:space="preserve">an </w:t>
      </w:r>
      <w:r w:rsidR="00082663" w:rsidRPr="00116E42">
        <w:rPr>
          <w:rFonts w:cstheme="minorHAnsi"/>
        </w:rPr>
        <w:t>analy</w:t>
      </w:r>
      <w:r w:rsidR="001B7A20" w:rsidRPr="00116E42">
        <w:rPr>
          <w:rFonts w:cstheme="minorHAnsi"/>
        </w:rPr>
        <w:t xml:space="preserve">sis </w:t>
      </w:r>
      <w:r w:rsidR="00112189" w:rsidRPr="00116E42">
        <w:rPr>
          <w:rFonts w:cstheme="minorHAnsi"/>
        </w:rPr>
        <w:t>of</w:t>
      </w:r>
      <w:r w:rsidR="001B7A20" w:rsidRPr="00116E42">
        <w:rPr>
          <w:rFonts w:cstheme="minorHAnsi"/>
        </w:rPr>
        <w:t xml:space="preserve"> </w:t>
      </w:r>
      <w:r w:rsidR="00082663" w:rsidRPr="00116E42">
        <w:rPr>
          <w:rFonts w:cstheme="minorHAnsi"/>
        </w:rPr>
        <w:t>the most severe form</w:t>
      </w:r>
      <w:r w:rsidR="00501E13">
        <w:rPr>
          <w:rFonts w:cstheme="minorHAnsi"/>
        </w:rPr>
        <w:t>s</w:t>
      </w:r>
      <w:r w:rsidR="00082663" w:rsidRPr="00116E42">
        <w:rPr>
          <w:rFonts w:cstheme="minorHAnsi"/>
        </w:rPr>
        <w:t xml:space="preserve"> of unstable housing, homelessness and roo</w:t>
      </w:r>
      <w:r w:rsidR="00770122" w:rsidRPr="00116E42">
        <w:rPr>
          <w:rFonts w:cstheme="minorHAnsi"/>
        </w:rPr>
        <w:t>f</w:t>
      </w:r>
      <w:r w:rsidR="00082663" w:rsidRPr="00116E42">
        <w:rPr>
          <w:rFonts w:cstheme="minorHAnsi"/>
        </w:rPr>
        <w:t xml:space="preserve">lessness, and then is followed by </w:t>
      </w:r>
      <w:r w:rsidR="00501E13">
        <w:rPr>
          <w:rFonts w:cstheme="minorHAnsi"/>
        </w:rPr>
        <w:t xml:space="preserve">the </w:t>
      </w:r>
      <w:r w:rsidR="00082663" w:rsidRPr="00116E42">
        <w:rPr>
          <w:rFonts w:cstheme="minorHAnsi"/>
        </w:rPr>
        <w:t>discussi</w:t>
      </w:r>
      <w:r w:rsidR="00501E13">
        <w:rPr>
          <w:rFonts w:cstheme="minorHAnsi"/>
        </w:rPr>
        <w:t>on of</w:t>
      </w:r>
      <w:r w:rsidR="00082663" w:rsidRPr="00116E42">
        <w:rPr>
          <w:rFonts w:cstheme="minorHAnsi"/>
        </w:rPr>
        <w:t xml:space="preserve"> the condition of households who suffer </w:t>
      </w:r>
      <w:r w:rsidR="00501E13">
        <w:rPr>
          <w:rFonts w:cstheme="minorHAnsi"/>
        </w:rPr>
        <w:t xml:space="preserve">from </w:t>
      </w:r>
      <w:r w:rsidR="00082663" w:rsidRPr="00116E42">
        <w:rPr>
          <w:rFonts w:cstheme="minorHAnsi"/>
        </w:rPr>
        <w:t xml:space="preserve">insecure and inadequate housing conditions. </w:t>
      </w:r>
      <w:r w:rsidR="00501E13">
        <w:rPr>
          <w:rFonts w:cstheme="minorHAnsi"/>
        </w:rPr>
        <w:t>The purpose of this part is to analyze</w:t>
      </w:r>
      <w:r w:rsidR="004925E6" w:rsidRPr="00095BBA">
        <w:rPr>
          <w:rFonts w:cstheme="minorHAnsi"/>
        </w:rPr>
        <w:t xml:space="preserve"> all available information about households living in unstable housing to </w:t>
      </w:r>
      <w:r w:rsidR="00501E13" w:rsidRPr="006066AB">
        <w:rPr>
          <w:rFonts w:cstheme="minorHAnsi"/>
          <w:b/>
          <w:bCs/>
        </w:rPr>
        <w:t xml:space="preserve">produce a general </w:t>
      </w:r>
      <w:r w:rsidR="004925E6" w:rsidRPr="006066AB">
        <w:rPr>
          <w:rFonts w:cstheme="minorHAnsi"/>
          <w:b/>
          <w:bCs/>
        </w:rPr>
        <w:t xml:space="preserve">picture </w:t>
      </w:r>
      <w:r w:rsidR="00501E13" w:rsidRPr="006066AB">
        <w:rPr>
          <w:rFonts w:cstheme="minorHAnsi"/>
          <w:b/>
          <w:bCs/>
        </w:rPr>
        <w:t>of the phenomenon of unstable housing in Georgia</w:t>
      </w:r>
      <w:r w:rsidR="004925E6" w:rsidRPr="00680F00">
        <w:rPr>
          <w:rFonts w:cstheme="minorHAnsi"/>
        </w:rPr>
        <w:t xml:space="preserve">. </w:t>
      </w:r>
    </w:p>
    <w:p w14:paraId="00D8E293" w14:textId="15CC975E" w:rsidR="007A5F02" w:rsidRDefault="00112189" w:rsidP="007A5F02">
      <w:pPr>
        <w:jc w:val="both"/>
        <w:rPr>
          <w:rFonts w:cstheme="minorHAnsi"/>
        </w:rPr>
      </w:pPr>
      <w:r w:rsidRPr="00095BBA">
        <w:rPr>
          <w:rFonts w:cstheme="minorHAnsi"/>
        </w:rPr>
        <w:t xml:space="preserve">The </w:t>
      </w:r>
      <w:r w:rsidR="001E6D5F">
        <w:rPr>
          <w:rFonts w:cstheme="minorHAnsi"/>
        </w:rPr>
        <w:t>third</w:t>
      </w:r>
      <w:r w:rsidRPr="00095BBA">
        <w:rPr>
          <w:rFonts w:cstheme="minorHAnsi"/>
        </w:rPr>
        <w:t xml:space="preserve"> part represents </w:t>
      </w:r>
      <w:r w:rsidR="004C6E65">
        <w:rPr>
          <w:rFonts w:cstheme="minorHAnsi"/>
        </w:rPr>
        <w:t>a</w:t>
      </w:r>
      <w:r w:rsidR="004925E6" w:rsidRPr="00095BBA">
        <w:rPr>
          <w:rFonts w:cstheme="minorHAnsi"/>
        </w:rPr>
        <w:t xml:space="preserve"> data </w:t>
      </w:r>
      <w:r w:rsidR="004925E6" w:rsidRPr="006066AB">
        <w:rPr>
          <w:rFonts w:cstheme="minorHAnsi"/>
          <w:b/>
          <w:bCs/>
        </w:rPr>
        <w:t xml:space="preserve">review </w:t>
      </w:r>
      <w:r w:rsidR="00501E13" w:rsidRPr="006066AB">
        <w:rPr>
          <w:rFonts w:cstheme="minorHAnsi"/>
          <w:b/>
          <w:bCs/>
        </w:rPr>
        <w:t xml:space="preserve">of the correlation between unstable housing and other </w:t>
      </w:r>
      <w:r w:rsidRPr="006066AB">
        <w:rPr>
          <w:rFonts w:cstheme="minorHAnsi"/>
          <w:b/>
          <w:bCs/>
        </w:rPr>
        <w:t>negative outcomes</w:t>
      </w:r>
      <w:r w:rsidR="00501E13">
        <w:rPr>
          <w:rFonts w:cstheme="minorHAnsi"/>
        </w:rPr>
        <w:t>, such</w:t>
      </w:r>
      <w:r w:rsidRPr="00095BBA">
        <w:rPr>
          <w:rFonts w:cstheme="minorHAnsi"/>
        </w:rPr>
        <w:t xml:space="preserve"> as </w:t>
      </w:r>
      <w:r w:rsidR="00501E13">
        <w:rPr>
          <w:rFonts w:cstheme="minorHAnsi"/>
        </w:rPr>
        <w:t>low household incomes</w:t>
      </w:r>
      <w:r w:rsidRPr="00680F00">
        <w:rPr>
          <w:rFonts w:cstheme="minorHAnsi"/>
        </w:rPr>
        <w:t xml:space="preserve"> and income </w:t>
      </w:r>
      <w:r w:rsidR="001B7A20" w:rsidRPr="00116E42">
        <w:rPr>
          <w:rFonts w:cstheme="minorHAnsi"/>
        </w:rPr>
        <w:t>inequality</w:t>
      </w:r>
      <w:r w:rsidR="007A5F02">
        <w:rPr>
          <w:rFonts w:cstheme="minorHAnsi"/>
        </w:rPr>
        <w:t xml:space="preserve">, </w:t>
      </w:r>
      <w:r w:rsidR="007A5F02" w:rsidRPr="006066AB">
        <w:rPr>
          <w:rFonts w:cstheme="minorHAnsi"/>
          <w:b/>
          <w:bCs/>
        </w:rPr>
        <w:t xml:space="preserve">as well as some household </w:t>
      </w:r>
      <w:r w:rsidR="007A5F02" w:rsidRPr="006066AB">
        <w:rPr>
          <w:rFonts w:cstheme="minorHAnsi"/>
          <w:b/>
          <w:bCs/>
        </w:rPr>
        <w:lastRenderedPageBreak/>
        <w:t>traits</w:t>
      </w:r>
      <w:r w:rsidR="007A5F02">
        <w:rPr>
          <w:rFonts w:cstheme="minorHAnsi"/>
        </w:rPr>
        <w:t xml:space="preserve"> identified by the literature and/or by experts and other stakeholders as </w:t>
      </w:r>
      <w:r w:rsidR="007A5F02" w:rsidRPr="006066AB">
        <w:rPr>
          <w:rFonts w:cstheme="minorHAnsi"/>
          <w:b/>
          <w:bCs/>
        </w:rPr>
        <w:t>strongly associated with increased vulnerability to unstable housing</w:t>
      </w:r>
      <w:r w:rsidR="007A5F02">
        <w:rPr>
          <w:rFonts w:cstheme="minorHAnsi"/>
        </w:rPr>
        <w:t xml:space="preserve"> (</w:t>
      </w:r>
      <w:r w:rsidR="007A5F02" w:rsidRPr="00116E42">
        <w:rPr>
          <w:rFonts w:cstheme="minorHAnsi"/>
        </w:rPr>
        <w:t>IDPs, disabled people</w:t>
      </w:r>
      <w:r w:rsidR="007A5F02">
        <w:rPr>
          <w:rFonts w:cstheme="minorHAnsi"/>
        </w:rPr>
        <w:t xml:space="preserve">, </w:t>
      </w:r>
      <w:r w:rsidR="007A5F02" w:rsidRPr="00116E42">
        <w:rPr>
          <w:rFonts w:cstheme="minorHAnsi"/>
        </w:rPr>
        <w:t>woman headed households</w:t>
      </w:r>
      <w:r w:rsidR="007A5F02">
        <w:rPr>
          <w:rFonts w:cstheme="minorHAnsi"/>
        </w:rPr>
        <w:t>, etc</w:t>
      </w:r>
      <w:r w:rsidR="007A5F02" w:rsidRPr="00116E42">
        <w:rPr>
          <w:rFonts w:cstheme="minorHAnsi"/>
        </w:rPr>
        <w:t>.</w:t>
      </w:r>
      <w:r w:rsidR="007A5F02">
        <w:rPr>
          <w:rFonts w:cstheme="minorHAnsi"/>
        </w:rPr>
        <w:t>).</w:t>
      </w:r>
    </w:p>
    <w:p w14:paraId="2F99FCF5" w14:textId="2F10CCBF" w:rsidR="00A134FE" w:rsidRDefault="008F2E66" w:rsidP="00D74D8C">
      <w:pPr>
        <w:pStyle w:val="Heading2"/>
        <w:jc w:val="both"/>
      </w:pPr>
      <w:r>
        <w:t>General market</w:t>
      </w:r>
      <w:r w:rsidR="00A134FE" w:rsidRPr="006066AB">
        <w:t xml:space="preserve"> trends</w:t>
      </w:r>
    </w:p>
    <w:p w14:paraId="31812FF4" w14:textId="77777777" w:rsidR="00C6347D" w:rsidRDefault="00C6347D" w:rsidP="00A134FE">
      <w:pPr>
        <w:jc w:val="both"/>
      </w:pPr>
    </w:p>
    <w:p w14:paraId="697EA7C7" w14:textId="59008A32" w:rsidR="00A134FE" w:rsidRDefault="00A134FE" w:rsidP="00A134FE">
      <w:pPr>
        <w:jc w:val="both"/>
      </w:pPr>
      <w:r>
        <w:t>As it was already mentioned there are economic and social factors affecting housing unaffordability or instability. In this section we are going to introduce relevant socio-economic trends that might affect the extent and depth of unstable housing.</w:t>
      </w:r>
    </w:p>
    <w:p w14:paraId="1AB80E31" w14:textId="77777777" w:rsidR="00A134FE" w:rsidRPr="00C510FB" w:rsidRDefault="00A134FE" w:rsidP="00A134FE">
      <w:pPr>
        <w:jc w:val="both"/>
        <w:rPr>
          <w:b/>
          <w:bCs/>
        </w:rPr>
      </w:pPr>
      <w:r w:rsidRPr="00C510FB">
        <w:rPr>
          <w:b/>
          <w:bCs/>
        </w:rPr>
        <w:t>Demand side</w:t>
      </w:r>
    </w:p>
    <w:p w14:paraId="2082370E" w14:textId="326FCBAF" w:rsidR="00153B90" w:rsidRDefault="00153B90" w:rsidP="00153B90">
      <w:pPr>
        <w:jc w:val="both"/>
      </w:pPr>
      <w:r>
        <w:t xml:space="preserve">Demand side factors, such as </w:t>
      </w:r>
      <w:r w:rsidR="007D02A2">
        <w:t>demographic trends</w:t>
      </w:r>
      <w:r>
        <w:t>, labor market trends, inequality and poverty trends, and changes in the cost of borrowing defines much the demand level on housing market.</w:t>
      </w:r>
    </w:p>
    <w:p w14:paraId="0E3F0758" w14:textId="19D98265" w:rsidR="00153B90" w:rsidRPr="00C510FB" w:rsidRDefault="007D02A2" w:rsidP="00153B90">
      <w:pPr>
        <w:jc w:val="both"/>
        <w:rPr>
          <w:b/>
          <w:bCs/>
          <w:i/>
          <w:iCs/>
        </w:rPr>
      </w:pPr>
      <w:r>
        <w:rPr>
          <w:b/>
          <w:bCs/>
          <w:i/>
          <w:iCs/>
        </w:rPr>
        <w:t>Demographic trends</w:t>
      </w:r>
    </w:p>
    <w:p w14:paraId="7191B560" w14:textId="1E5DCE2F" w:rsidR="002273F7" w:rsidRDefault="00153B90" w:rsidP="002273F7">
      <w:pPr>
        <w:jc w:val="both"/>
      </w:pPr>
      <w:r>
        <w:t xml:space="preserve">As it can be noticed </w:t>
      </w:r>
      <w:r w:rsidR="00B16C99">
        <w:t>Table 2</w:t>
      </w:r>
      <w:r>
        <w:t xml:space="preserve">, over the period 2007-2018 Georgian population decreased by 0.34%, mostly driven by declining population in </w:t>
      </w:r>
      <w:r w:rsidR="0021680A">
        <w:t>rural</w:t>
      </w:r>
      <w:r>
        <w:t xml:space="preserve"> areas (0.72%)</w:t>
      </w:r>
      <w:r>
        <w:rPr>
          <w:rStyle w:val="FootnoteReference"/>
        </w:rPr>
        <w:footnoteReference w:id="21"/>
      </w:r>
      <w:r w:rsidR="002273F7">
        <w:t xml:space="preserve">. </w:t>
      </w:r>
    </w:p>
    <w:p w14:paraId="53DABD39" w14:textId="0FBBA051" w:rsidR="002273F7" w:rsidRDefault="002273F7" w:rsidP="002273F7">
      <w:pPr>
        <w:jc w:val="both"/>
      </w:pPr>
      <w:r>
        <w:t xml:space="preserve">The population decline has been the result of reduced fertility rates and of a consistently negative net migration balance over the last decades. However, the net outflows declined sharply since 2011 (-35,000), stabilizing at a much lower level since 2013 (between -5,000 and – 10,000). </w:t>
      </w:r>
    </w:p>
    <w:p w14:paraId="3F5C4143" w14:textId="120165BF" w:rsidR="002273F7" w:rsidRDefault="002273F7">
      <w:pPr>
        <w:jc w:val="both"/>
      </w:pPr>
      <w:r>
        <w:t xml:space="preserve">Despite the mild decline in population, due to the reduction in the average household size (down from 3.7 to 3.5), the number of households increased on average by 0.4% over years, with a decrease in </w:t>
      </w:r>
      <w:r w:rsidR="0021680A">
        <w:t>rural</w:t>
      </w:r>
      <w:r>
        <w:t xml:space="preserve"> areas more than compensated by the increase in </w:t>
      </w:r>
      <w:r w:rsidR="0021680A">
        <w:t>urban</w:t>
      </w:r>
      <w:r>
        <w:t xml:space="preserve"> areas. This trend suggests the possibility of a mild increase in housing demand in </w:t>
      </w:r>
      <w:r w:rsidR="0021680A">
        <w:t>urban</w:t>
      </w:r>
      <w:r>
        <w:t xml:space="preserve"> areas despite declining population numbers, due to the decrease in average household size. </w:t>
      </w:r>
    </w:p>
    <w:p w14:paraId="0F96329C" w14:textId="164CA81A" w:rsidR="00C6347D" w:rsidRPr="00D74D8C" w:rsidRDefault="00C6347D" w:rsidP="00D74D8C">
      <w:pPr>
        <w:pStyle w:val="Caption"/>
        <w:rPr>
          <w:b/>
        </w:rPr>
      </w:pPr>
      <w:r>
        <w:t xml:space="preserve">Table </w:t>
      </w:r>
      <w:r w:rsidR="00D656F6">
        <w:rPr>
          <w:noProof/>
        </w:rPr>
        <w:fldChar w:fldCharType="begin"/>
      </w:r>
      <w:r w:rsidR="00D656F6">
        <w:rPr>
          <w:noProof/>
        </w:rPr>
        <w:instrText xml:space="preserve"> SEQ Table \* ARABIC </w:instrText>
      </w:r>
      <w:r w:rsidR="00D656F6">
        <w:rPr>
          <w:noProof/>
        </w:rPr>
        <w:fldChar w:fldCharType="separate"/>
      </w:r>
      <w:r w:rsidR="008F3E6B">
        <w:rPr>
          <w:noProof/>
        </w:rPr>
        <w:t>2</w:t>
      </w:r>
      <w:r w:rsidR="00D656F6">
        <w:rPr>
          <w:noProof/>
        </w:rPr>
        <w:fldChar w:fldCharType="end"/>
      </w:r>
      <w:r>
        <w:t xml:space="preserve">: </w:t>
      </w:r>
      <w:r w:rsidR="005A68FE">
        <w:t>Evolution</w:t>
      </w:r>
      <w:r>
        <w:t xml:space="preserve"> of </w:t>
      </w:r>
      <w:r w:rsidR="00A02C89">
        <w:t>p</w:t>
      </w:r>
      <w:r>
        <w:t>opulation in Georgia</w:t>
      </w:r>
    </w:p>
    <w:tbl>
      <w:tblPr>
        <w:tblStyle w:val="GridTable1Light-Accent1"/>
        <w:tblW w:w="9120" w:type="dxa"/>
        <w:tblLook w:val="04A0" w:firstRow="1" w:lastRow="0" w:firstColumn="1" w:lastColumn="0" w:noHBand="0" w:noVBand="1"/>
      </w:tblPr>
      <w:tblGrid>
        <w:gridCol w:w="2280"/>
        <w:gridCol w:w="2280"/>
        <w:gridCol w:w="2280"/>
        <w:gridCol w:w="2280"/>
      </w:tblGrid>
      <w:tr w:rsidR="00C6347D" w:rsidRPr="00C6347D" w14:paraId="1D0CD9D7" w14:textId="77777777" w:rsidTr="00454C2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80" w:type="dxa"/>
            <w:noWrap/>
          </w:tcPr>
          <w:p w14:paraId="3CFF7F0C" w14:textId="52C323B6" w:rsidR="00C6347D" w:rsidRPr="00C6347D" w:rsidRDefault="00C6347D" w:rsidP="00454C26">
            <w:pPr>
              <w:jc w:val="center"/>
              <w:rPr>
                <w:rFonts w:ascii="Calibri" w:eastAsia="Times New Roman" w:hAnsi="Calibri" w:cs="Calibri"/>
                <w:sz w:val="20"/>
                <w:szCs w:val="20"/>
              </w:rPr>
            </w:pPr>
            <w:r w:rsidRPr="00C6347D">
              <w:rPr>
                <w:rFonts w:ascii="Calibri" w:eastAsia="Times New Roman" w:hAnsi="Calibri" w:cs="Calibri"/>
                <w:sz w:val="20"/>
                <w:szCs w:val="20"/>
              </w:rPr>
              <w:t>Ye</w:t>
            </w:r>
            <w:r w:rsidR="00A02C89">
              <w:rPr>
                <w:rFonts w:ascii="Calibri" w:eastAsia="Times New Roman" w:hAnsi="Calibri" w:cs="Calibri"/>
                <w:sz w:val="20"/>
                <w:szCs w:val="20"/>
              </w:rPr>
              <w:t>a</w:t>
            </w:r>
            <w:r w:rsidRPr="00C6347D">
              <w:rPr>
                <w:rFonts w:ascii="Calibri" w:eastAsia="Times New Roman" w:hAnsi="Calibri" w:cs="Calibri"/>
                <w:sz w:val="20"/>
                <w:szCs w:val="20"/>
              </w:rPr>
              <w:t>r</w:t>
            </w:r>
          </w:p>
        </w:tc>
        <w:tc>
          <w:tcPr>
            <w:tcW w:w="2280" w:type="dxa"/>
            <w:noWrap/>
          </w:tcPr>
          <w:p w14:paraId="30B9B498" w14:textId="5E36E993" w:rsidR="00C6347D" w:rsidRPr="00D74D8C" w:rsidRDefault="00C6347D" w:rsidP="00454C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sz w:val="20"/>
                <w:szCs w:val="20"/>
              </w:rPr>
            </w:pPr>
            <w:r w:rsidRPr="00C6347D">
              <w:rPr>
                <w:rFonts w:ascii="Calibri" w:eastAsia="Times New Roman" w:hAnsi="Calibri" w:cs="Calibri"/>
                <w:sz w:val="20"/>
                <w:szCs w:val="20"/>
              </w:rPr>
              <w:t>Total</w:t>
            </w:r>
          </w:p>
        </w:tc>
        <w:tc>
          <w:tcPr>
            <w:tcW w:w="2280" w:type="dxa"/>
            <w:noWrap/>
          </w:tcPr>
          <w:p w14:paraId="5F51FEC3" w14:textId="5AA90FDA" w:rsidR="00C6347D" w:rsidRPr="00D74D8C" w:rsidRDefault="0021680A" w:rsidP="00454C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sz w:val="20"/>
                <w:szCs w:val="20"/>
              </w:rPr>
            </w:pPr>
            <w:r>
              <w:rPr>
                <w:rFonts w:ascii="Calibri" w:eastAsia="Times New Roman" w:hAnsi="Calibri" w:cs="Calibri"/>
                <w:sz w:val="20"/>
                <w:szCs w:val="20"/>
              </w:rPr>
              <w:t>Urban</w:t>
            </w:r>
          </w:p>
        </w:tc>
        <w:tc>
          <w:tcPr>
            <w:tcW w:w="2280" w:type="dxa"/>
            <w:noWrap/>
          </w:tcPr>
          <w:p w14:paraId="67A76CFB" w14:textId="22D1F244" w:rsidR="00C6347D" w:rsidRPr="00D74D8C" w:rsidRDefault="0021680A" w:rsidP="00454C2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sz w:val="20"/>
                <w:szCs w:val="20"/>
              </w:rPr>
            </w:pPr>
            <w:r>
              <w:rPr>
                <w:rFonts w:ascii="Calibri" w:eastAsia="Times New Roman" w:hAnsi="Calibri" w:cs="Calibri"/>
                <w:sz w:val="20"/>
                <w:szCs w:val="20"/>
              </w:rPr>
              <w:t>Rural</w:t>
            </w:r>
          </w:p>
        </w:tc>
      </w:tr>
      <w:tr w:rsidR="00C0115F" w:rsidRPr="00C0115F" w14:paraId="3F0DE001"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7BE4AD01"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2007</w:t>
            </w:r>
          </w:p>
        </w:tc>
        <w:tc>
          <w:tcPr>
            <w:tcW w:w="2280" w:type="dxa"/>
            <w:noWrap/>
            <w:hideMark/>
          </w:tcPr>
          <w:p w14:paraId="0ECE0736" w14:textId="50B1B5BD"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3,872,000</w:t>
            </w:r>
          </w:p>
        </w:tc>
        <w:tc>
          <w:tcPr>
            <w:tcW w:w="2280" w:type="dxa"/>
            <w:noWrap/>
            <w:hideMark/>
          </w:tcPr>
          <w:p w14:paraId="10F7623C" w14:textId="11BC0919"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2,189500</w:t>
            </w:r>
          </w:p>
        </w:tc>
        <w:tc>
          <w:tcPr>
            <w:tcW w:w="2280" w:type="dxa"/>
            <w:noWrap/>
            <w:hideMark/>
          </w:tcPr>
          <w:p w14:paraId="7D805370" w14:textId="17D08101"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1,683200</w:t>
            </w:r>
          </w:p>
        </w:tc>
      </w:tr>
      <w:tr w:rsidR="00C0115F" w:rsidRPr="00C0115F" w14:paraId="7C57EA48"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12576AFF"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2008</w:t>
            </w:r>
          </w:p>
        </w:tc>
        <w:tc>
          <w:tcPr>
            <w:tcW w:w="2280" w:type="dxa"/>
            <w:noWrap/>
            <w:hideMark/>
          </w:tcPr>
          <w:p w14:paraId="3EB069F1" w14:textId="3D7F1E14"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3,847,600</w:t>
            </w:r>
          </w:p>
        </w:tc>
        <w:tc>
          <w:tcPr>
            <w:tcW w:w="2280" w:type="dxa"/>
            <w:noWrap/>
            <w:hideMark/>
          </w:tcPr>
          <w:p w14:paraId="10DD09F6" w14:textId="75B5B588"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2,175300</w:t>
            </w:r>
          </w:p>
        </w:tc>
        <w:tc>
          <w:tcPr>
            <w:tcW w:w="2280" w:type="dxa"/>
            <w:noWrap/>
            <w:hideMark/>
          </w:tcPr>
          <w:p w14:paraId="0AD3D9D1" w14:textId="34F1D1BD"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1,672300</w:t>
            </w:r>
          </w:p>
        </w:tc>
      </w:tr>
      <w:tr w:rsidR="00C0115F" w:rsidRPr="00C0115F" w14:paraId="135ED302"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53C3D7AC"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2009</w:t>
            </w:r>
          </w:p>
        </w:tc>
        <w:tc>
          <w:tcPr>
            <w:tcW w:w="2280" w:type="dxa"/>
            <w:noWrap/>
            <w:hideMark/>
          </w:tcPr>
          <w:p w14:paraId="1B35C3B8" w14:textId="4C95F0A5"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3,829,000</w:t>
            </w:r>
          </w:p>
        </w:tc>
        <w:tc>
          <w:tcPr>
            <w:tcW w:w="2280" w:type="dxa"/>
            <w:noWrap/>
            <w:hideMark/>
          </w:tcPr>
          <w:p w14:paraId="78A22256" w14:textId="57021E1D"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2,163600</w:t>
            </w:r>
          </w:p>
        </w:tc>
        <w:tc>
          <w:tcPr>
            <w:tcW w:w="2280" w:type="dxa"/>
            <w:noWrap/>
            <w:hideMark/>
          </w:tcPr>
          <w:p w14:paraId="7F0C3BCB" w14:textId="3C08195A"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1,665400</w:t>
            </w:r>
          </w:p>
        </w:tc>
      </w:tr>
      <w:tr w:rsidR="00C0115F" w:rsidRPr="00C0115F" w14:paraId="056A3F42"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37D1BBBC"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2010</w:t>
            </w:r>
          </w:p>
        </w:tc>
        <w:tc>
          <w:tcPr>
            <w:tcW w:w="2280" w:type="dxa"/>
            <w:noWrap/>
            <w:hideMark/>
          </w:tcPr>
          <w:p w14:paraId="041BE422" w14:textId="71F0E5C7"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3,799,800</w:t>
            </w:r>
          </w:p>
        </w:tc>
        <w:tc>
          <w:tcPr>
            <w:tcW w:w="2280" w:type="dxa"/>
            <w:noWrap/>
            <w:hideMark/>
          </w:tcPr>
          <w:p w14:paraId="3D0B8EBF" w14:textId="074A142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2,145300</w:t>
            </w:r>
          </w:p>
        </w:tc>
        <w:tc>
          <w:tcPr>
            <w:tcW w:w="2280" w:type="dxa"/>
            <w:noWrap/>
            <w:hideMark/>
          </w:tcPr>
          <w:p w14:paraId="7F6FF72C" w14:textId="1DC1556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1,654500</w:t>
            </w:r>
          </w:p>
        </w:tc>
      </w:tr>
      <w:tr w:rsidR="00C0115F" w:rsidRPr="00C0115F" w14:paraId="7CE19629"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58098C95"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2011</w:t>
            </w:r>
          </w:p>
        </w:tc>
        <w:tc>
          <w:tcPr>
            <w:tcW w:w="2280" w:type="dxa"/>
            <w:noWrap/>
            <w:hideMark/>
          </w:tcPr>
          <w:p w14:paraId="01632685" w14:textId="41AC079E"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3,773600</w:t>
            </w:r>
          </w:p>
        </w:tc>
        <w:tc>
          <w:tcPr>
            <w:tcW w:w="2280" w:type="dxa"/>
            <w:noWrap/>
            <w:hideMark/>
          </w:tcPr>
          <w:p w14:paraId="53C96F7E" w14:textId="3FF4F3CA"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2,130200</w:t>
            </w:r>
          </w:p>
        </w:tc>
        <w:tc>
          <w:tcPr>
            <w:tcW w:w="2280" w:type="dxa"/>
            <w:noWrap/>
            <w:hideMark/>
          </w:tcPr>
          <w:p w14:paraId="71C710EF" w14:textId="1CF73E98"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1,643400</w:t>
            </w:r>
          </w:p>
        </w:tc>
      </w:tr>
      <w:tr w:rsidR="00C0115F" w:rsidRPr="00C0115F" w14:paraId="6329AFE1"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754A8E1D"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2012</w:t>
            </w:r>
          </w:p>
        </w:tc>
        <w:tc>
          <w:tcPr>
            <w:tcW w:w="2280" w:type="dxa"/>
            <w:noWrap/>
            <w:hideMark/>
          </w:tcPr>
          <w:p w14:paraId="483AEC0A" w14:textId="7FAD09D8"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3,739300</w:t>
            </w:r>
          </w:p>
        </w:tc>
        <w:tc>
          <w:tcPr>
            <w:tcW w:w="2280" w:type="dxa"/>
            <w:noWrap/>
            <w:hideMark/>
          </w:tcPr>
          <w:p w14:paraId="177E1F11" w14:textId="3339665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2,129300</w:t>
            </w:r>
          </w:p>
        </w:tc>
        <w:tc>
          <w:tcPr>
            <w:tcW w:w="2280" w:type="dxa"/>
            <w:noWrap/>
            <w:hideMark/>
          </w:tcPr>
          <w:p w14:paraId="5C7A8413" w14:textId="54291AB2"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1,610000</w:t>
            </w:r>
          </w:p>
        </w:tc>
      </w:tr>
      <w:tr w:rsidR="00C0115F" w:rsidRPr="00C0115F" w14:paraId="553EBD7D"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514D48EB"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2013</w:t>
            </w:r>
          </w:p>
        </w:tc>
        <w:tc>
          <w:tcPr>
            <w:tcW w:w="2280" w:type="dxa"/>
            <w:noWrap/>
            <w:hideMark/>
          </w:tcPr>
          <w:p w14:paraId="1CF334B8" w14:textId="2C5F8E51"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3,718400</w:t>
            </w:r>
          </w:p>
        </w:tc>
        <w:tc>
          <w:tcPr>
            <w:tcW w:w="2280" w:type="dxa"/>
            <w:noWrap/>
            <w:hideMark/>
          </w:tcPr>
          <w:p w14:paraId="393A260D" w14:textId="3C192A1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2,118700</w:t>
            </w:r>
          </w:p>
        </w:tc>
        <w:tc>
          <w:tcPr>
            <w:tcW w:w="2280" w:type="dxa"/>
            <w:noWrap/>
            <w:hideMark/>
          </w:tcPr>
          <w:p w14:paraId="06D284D6" w14:textId="47F1F176"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1,599700</w:t>
            </w:r>
          </w:p>
        </w:tc>
      </w:tr>
      <w:tr w:rsidR="00C0115F" w:rsidRPr="00C0115F" w14:paraId="13477385"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62F843A4"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2014</w:t>
            </w:r>
          </w:p>
        </w:tc>
        <w:tc>
          <w:tcPr>
            <w:tcW w:w="2280" w:type="dxa"/>
            <w:noWrap/>
            <w:hideMark/>
          </w:tcPr>
          <w:p w14:paraId="6947E59C" w14:textId="68E39429"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3,716900</w:t>
            </w:r>
          </w:p>
        </w:tc>
        <w:tc>
          <w:tcPr>
            <w:tcW w:w="2280" w:type="dxa"/>
            <w:noWrap/>
            <w:hideMark/>
          </w:tcPr>
          <w:p w14:paraId="06407541" w14:textId="2C71B869"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2,121200</w:t>
            </w:r>
          </w:p>
        </w:tc>
        <w:tc>
          <w:tcPr>
            <w:tcW w:w="2280" w:type="dxa"/>
            <w:noWrap/>
            <w:hideMark/>
          </w:tcPr>
          <w:p w14:paraId="71DF0172" w14:textId="27C90AB2"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1,595700</w:t>
            </w:r>
          </w:p>
        </w:tc>
      </w:tr>
      <w:tr w:rsidR="00C0115F" w:rsidRPr="00C0115F" w14:paraId="1F7FF379"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37276798"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2015</w:t>
            </w:r>
          </w:p>
        </w:tc>
        <w:tc>
          <w:tcPr>
            <w:tcW w:w="2280" w:type="dxa"/>
            <w:noWrap/>
            <w:hideMark/>
          </w:tcPr>
          <w:p w14:paraId="7DBE077C" w14:textId="7DB7E7D2"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3,721900</w:t>
            </w:r>
          </w:p>
        </w:tc>
        <w:tc>
          <w:tcPr>
            <w:tcW w:w="2280" w:type="dxa"/>
            <w:noWrap/>
            <w:hideMark/>
          </w:tcPr>
          <w:p w14:paraId="7E321502" w14:textId="21BC631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2,135600</w:t>
            </w:r>
          </w:p>
        </w:tc>
        <w:tc>
          <w:tcPr>
            <w:tcW w:w="2280" w:type="dxa"/>
            <w:noWrap/>
            <w:hideMark/>
          </w:tcPr>
          <w:p w14:paraId="625CDC65" w14:textId="66AC056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1,586300</w:t>
            </w:r>
          </w:p>
        </w:tc>
      </w:tr>
      <w:tr w:rsidR="00C0115F" w:rsidRPr="00C0115F" w14:paraId="544C4340"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0AAC2833"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2016</w:t>
            </w:r>
          </w:p>
        </w:tc>
        <w:tc>
          <w:tcPr>
            <w:tcW w:w="2280" w:type="dxa"/>
            <w:noWrap/>
            <w:hideMark/>
          </w:tcPr>
          <w:p w14:paraId="098EEBB2" w14:textId="134557F5"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3,728600</w:t>
            </w:r>
          </w:p>
        </w:tc>
        <w:tc>
          <w:tcPr>
            <w:tcW w:w="2280" w:type="dxa"/>
            <w:noWrap/>
            <w:hideMark/>
          </w:tcPr>
          <w:p w14:paraId="4AF4C3DC" w14:textId="533360F8"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2,151500</w:t>
            </w:r>
          </w:p>
        </w:tc>
        <w:tc>
          <w:tcPr>
            <w:tcW w:w="2280" w:type="dxa"/>
            <w:noWrap/>
            <w:hideMark/>
          </w:tcPr>
          <w:p w14:paraId="2B0AB19B" w14:textId="70596B0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1,577100</w:t>
            </w:r>
          </w:p>
        </w:tc>
      </w:tr>
      <w:tr w:rsidR="00C0115F" w:rsidRPr="00C0115F" w14:paraId="55DB8583"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0CBCD415"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2017</w:t>
            </w:r>
          </w:p>
        </w:tc>
        <w:tc>
          <w:tcPr>
            <w:tcW w:w="2280" w:type="dxa"/>
            <w:noWrap/>
            <w:hideMark/>
          </w:tcPr>
          <w:p w14:paraId="4320D756" w14:textId="664BFE6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3,726400</w:t>
            </w:r>
          </w:p>
        </w:tc>
        <w:tc>
          <w:tcPr>
            <w:tcW w:w="2280" w:type="dxa"/>
            <w:noWrap/>
            <w:hideMark/>
          </w:tcPr>
          <w:p w14:paraId="5DF1D070" w14:textId="751BF996"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2,161900</w:t>
            </w:r>
          </w:p>
        </w:tc>
        <w:tc>
          <w:tcPr>
            <w:tcW w:w="2280" w:type="dxa"/>
            <w:noWrap/>
            <w:hideMark/>
          </w:tcPr>
          <w:p w14:paraId="20D63C7F" w14:textId="316D0254"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1,564500</w:t>
            </w:r>
          </w:p>
        </w:tc>
      </w:tr>
      <w:tr w:rsidR="00C0115F" w:rsidRPr="00C0115F" w14:paraId="2FB692FA" w14:textId="77777777" w:rsidTr="00454C26">
        <w:trPr>
          <w:trHeight w:val="276"/>
        </w:trPr>
        <w:tc>
          <w:tcPr>
            <w:cnfStyle w:val="001000000000" w:firstRow="0" w:lastRow="0" w:firstColumn="1" w:lastColumn="0" w:oddVBand="0" w:evenVBand="0" w:oddHBand="0" w:evenHBand="0" w:firstRowFirstColumn="0" w:firstRowLastColumn="0" w:lastRowFirstColumn="0" w:lastRowLastColumn="0"/>
            <w:tcW w:w="2280" w:type="dxa"/>
            <w:noWrap/>
            <w:hideMark/>
          </w:tcPr>
          <w:p w14:paraId="619DE754" w14:textId="77777777" w:rsidR="00C0115F" w:rsidRPr="00D74D8C" w:rsidRDefault="00C0115F" w:rsidP="00454C26">
            <w:pPr>
              <w:jc w:val="center"/>
              <w:rPr>
                <w:rFonts w:ascii="Calibri" w:eastAsia="Times New Roman" w:hAnsi="Calibri" w:cs="Calibri"/>
                <w:bCs w:val="0"/>
                <w:sz w:val="20"/>
                <w:szCs w:val="20"/>
              </w:rPr>
            </w:pPr>
            <w:r w:rsidRPr="00C6347D">
              <w:rPr>
                <w:rFonts w:ascii="Calibri" w:eastAsia="Times New Roman" w:hAnsi="Calibri" w:cs="Calibri"/>
                <w:sz w:val="20"/>
                <w:szCs w:val="20"/>
              </w:rPr>
              <w:t>2018</w:t>
            </w:r>
          </w:p>
        </w:tc>
        <w:tc>
          <w:tcPr>
            <w:tcW w:w="2280" w:type="dxa"/>
            <w:noWrap/>
            <w:hideMark/>
          </w:tcPr>
          <w:p w14:paraId="01C05B35" w14:textId="0C6CDD84"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3,729600</w:t>
            </w:r>
          </w:p>
        </w:tc>
        <w:tc>
          <w:tcPr>
            <w:tcW w:w="2280" w:type="dxa"/>
            <w:noWrap/>
            <w:hideMark/>
          </w:tcPr>
          <w:p w14:paraId="4B77C3FD" w14:textId="4D42D41F"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2,174800</w:t>
            </w:r>
          </w:p>
        </w:tc>
        <w:tc>
          <w:tcPr>
            <w:tcW w:w="2280" w:type="dxa"/>
            <w:noWrap/>
            <w:hideMark/>
          </w:tcPr>
          <w:p w14:paraId="4CA6A28B" w14:textId="3DFF2F4D" w:rsidR="00C0115F" w:rsidRPr="00D74D8C" w:rsidRDefault="00C0115F" w:rsidP="00454C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sz w:val="20"/>
                <w:szCs w:val="20"/>
              </w:rPr>
            </w:pPr>
            <w:r w:rsidRPr="00D74D8C">
              <w:rPr>
                <w:rFonts w:ascii="Calibri" w:eastAsia="Times New Roman" w:hAnsi="Calibri" w:cs="Calibri"/>
                <w:bCs/>
                <w:sz w:val="20"/>
                <w:szCs w:val="20"/>
              </w:rPr>
              <w:t>1,554800</w:t>
            </w:r>
          </w:p>
        </w:tc>
      </w:tr>
    </w:tbl>
    <w:p w14:paraId="4F0D0A7E" w14:textId="4158175C" w:rsidR="005A68FE" w:rsidRDefault="005A68FE">
      <w:pPr>
        <w:rPr>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w:t>
      </w:r>
    </w:p>
    <w:p w14:paraId="558B0B44" w14:textId="74932A42" w:rsidR="00153B90" w:rsidRPr="00C510FB" w:rsidRDefault="00153B90" w:rsidP="00153B90">
      <w:pPr>
        <w:jc w:val="both"/>
        <w:rPr>
          <w:b/>
          <w:bCs/>
          <w:i/>
          <w:iCs/>
        </w:rPr>
      </w:pPr>
      <w:r w:rsidRPr="00C510FB">
        <w:rPr>
          <w:b/>
          <w:bCs/>
          <w:i/>
          <w:iCs/>
        </w:rPr>
        <w:lastRenderedPageBreak/>
        <w:t>Income, wages and labor market dynamics</w:t>
      </w:r>
    </w:p>
    <w:p w14:paraId="523C044C" w14:textId="28423935" w:rsidR="00153B90" w:rsidRDefault="00153B90" w:rsidP="00153B90">
      <w:pPr>
        <w:jc w:val="both"/>
      </w:pPr>
      <w:r>
        <w:t>Other factors which can also determine the demand on the housing market are the income level of households, the level of monthly wages and, more generally, labor market dynamics</w:t>
      </w:r>
      <w:r w:rsidR="00B16C99">
        <w:t>.</w:t>
      </w:r>
      <w:r w:rsidR="009A0BFB">
        <w:t xml:space="preserve"> Positive evolutions in the labor market related trends (increases in incomes, earnings, labor market participation, and declining unemployment) make – ceteris paribus – housing more affordable</w:t>
      </w:r>
      <w:r w:rsidR="00CE78E2">
        <w:t>.</w:t>
      </w:r>
      <w:r w:rsidR="009A0BFB">
        <w:t xml:space="preserve"> The opposite is true when labor market conditions deteriorate</w:t>
      </w:r>
      <w:r w:rsidR="00CE78E2">
        <w:t>.</w:t>
      </w:r>
    </w:p>
    <w:p w14:paraId="637DB438" w14:textId="701DDF1D" w:rsidR="00153B90" w:rsidRDefault="00153B90" w:rsidP="00153B90">
      <w:pPr>
        <w:jc w:val="both"/>
      </w:pPr>
      <w:r>
        <w:t xml:space="preserve">Over the period 2007-2018 the average monthly incomes per household in </w:t>
      </w:r>
      <w:r w:rsidR="006B1DDE">
        <w:t>u</w:t>
      </w:r>
      <w:r w:rsidR="0021680A">
        <w:t>rban</w:t>
      </w:r>
      <w:r>
        <w:t xml:space="preserve"> and </w:t>
      </w:r>
      <w:r w:rsidR="006B1DDE">
        <w:t>r</w:t>
      </w:r>
      <w:r w:rsidR="0021680A">
        <w:t>ural</w:t>
      </w:r>
      <w:r>
        <w:t xml:space="preserve"> areas grew annually, in nominal terms, by 10% and 9%, respectively (Figure </w:t>
      </w:r>
      <w:r w:rsidR="00CE78E2">
        <w:t>1</w:t>
      </w:r>
      <w:r>
        <w:t>)</w:t>
      </w:r>
      <w:r w:rsidR="00B16C99">
        <w:t>.</w:t>
      </w:r>
      <w:r>
        <w:t xml:space="preserve"> </w:t>
      </w:r>
    </w:p>
    <w:p w14:paraId="6877B5A9" w14:textId="6B10D579" w:rsidR="00153B90" w:rsidRPr="003A4DD2" w:rsidRDefault="00153B90" w:rsidP="00153B90">
      <w:pPr>
        <w:pStyle w:val="Caption"/>
        <w:jc w:val="both"/>
        <w:rPr>
          <w:rFonts w:ascii="Sylfaen" w:hAnsi="Sylfaen"/>
          <w:lang w:val="ka-GE"/>
        </w:rPr>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1</w:t>
      </w:r>
      <w:r w:rsidR="00D656F6">
        <w:rPr>
          <w:noProof/>
        </w:rPr>
        <w:fldChar w:fldCharType="end"/>
      </w:r>
      <w:r>
        <w:t xml:space="preserve">: Average </w:t>
      </w:r>
      <w:r w:rsidR="00A02C89">
        <w:t>m</w:t>
      </w:r>
      <w:r>
        <w:t xml:space="preserve">onthly </w:t>
      </w:r>
      <w:r w:rsidR="00A02C89">
        <w:t>i</w:t>
      </w:r>
      <w:r>
        <w:t xml:space="preserve">ncomes per household in </w:t>
      </w:r>
      <w:r w:rsidR="00A02C89">
        <w:t>u</w:t>
      </w:r>
      <w:r w:rsidR="0021680A">
        <w:t>rban</w:t>
      </w:r>
      <w:r>
        <w:t xml:space="preserve"> and </w:t>
      </w:r>
      <w:r w:rsidR="00A02C89">
        <w:t>r</w:t>
      </w:r>
      <w:r w:rsidR="0021680A">
        <w:t>ural</w:t>
      </w:r>
      <w:r>
        <w:t xml:space="preserve"> </w:t>
      </w:r>
      <w:r w:rsidR="00A02C89">
        <w:t>a</w:t>
      </w:r>
      <w:r>
        <w:t xml:space="preserve">reas </w:t>
      </w:r>
    </w:p>
    <w:p w14:paraId="5381151F" w14:textId="77777777" w:rsidR="00153B90" w:rsidRDefault="00153B90" w:rsidP="00153B90">
      <w:pPr>
        <w:jc w:val="both"/>
      </w:pPr>
      <w:r>
        <w:rPr>
          <w:noProof/>
        </w:rPr>
        <w:drawing>
          <wp:inline distT="0" distB="0" distL="0" distR="0" wp14:anchorId="6DE0EE55" wp14:editId="7282081D">
            <wp:extent cx="5705475" cy="2076450"/>
            <wp:effectExtent l="0" t="0" r="9525" b="0"/>
            <wp:docPr id="74"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A14225A" w14:textId="77777777" w:rsidR="00153B90" w:rsidRDefault="00153B90" w:rsidP="00153B90">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w:t>
      </w:r>
    </w:p>
    <w:p w14:paraId="1176933E" w14:textId="3F0A1DD9" w:rsidR="00153B90" w:rsidRDefault="00153B90" w:rsidP="00153B90">
      <w:pPr>
        <w:jc w:val="both"/>
      </w:pPr>
      <w:r>
        <w:t>A</w:t>
      </w:r>
      <w:r w:rsidR="009A0BFB">
        <w:t xml:space="preserve"> very similar trend can be observed for </w:t>
      </w:r>
      <w:r>
        <w:t>nominal earning</w:t>
      </w:r>
      <w:r w:rsidR="009A0BFB">
        <w:t>s</w:t>
      </w:r>
      <w:r w:rsidR="00301B47">
        <w:t xml:space="preserve"> for individuals</w:t>
      </w:r>
      <w:r>
        <w:t>, increas</w:t>
      </w:r>
      <w:r w:rsidR="009A0BFB">
        <w:t>ing</w:t>
      </w:r>
      <w:r>
        <w:t xml:space="preserve"> on average by 11% over </w:t>
      </w:r>
      <w:r w:rsidR="00B16C99">
        <w:t>11-year</w:t>
      </w:r>
      <w:r>
        <w:t xml:space="preserve"> period</w:t>
      </w:r>
      <w:r w:rsidR="00CE78E2">
        <w:t xml:space="preserve"> (Figure 2).</w:t>
      </w:r>
    </w:p>
    <w:p w14:paraId="0CFB5C03" w14:textId="338E6893" w:rsidR="00153B90" w:rsidRDefault="00153B90" w:rsidP="00153B90">
      <w:pPr>
        <w:pStyle w:val="Caption"/>
        <w:jc w:val="both"/>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2</w:t>
      </w:r>
      <w:r w:rsidR="00D656F6">
        <w:rPr>
          <w:noProof/>
        </w:rPr>
        <w:fldChar w:fldCharType="end"/>
      </w:r>
      <w:r>
        <w:t xml:space="preserve">: Average </w:t>
      </w:r>
      <w:r w:rsidR="00A02C89">
        <w:t>m</w:t>
      </w:r>
      <w:r>
        <w:t xml:space="preserve">onthly </w:t>
      </w:r>
      <w:r w:rsidR="00A02C89">
        <w:t>n</w:t>
      </w:r>
      <w:r>
        <w:t xml:space="preserve">ominal </w:t>
      </w:r>
      <w:r w:rsidR="00A02C89">
        <w:t>e</w:t>
      </w:r>
      <w:r>
        <w:t>arnings</w:t>
      </w:r>
      <w:r w:rsidR="00301B47">
        <w:t xml:space="preserve"> for </w:t>
      </w:r>
      <w:r w:rsidR="00A02C89">
        <w:t>i</w:t>
      </w:r>
      <w:r w:rsidR="00301B47">
        <w:t>ndividuals</w:t>
      </w:r>
    </w:p>
    <w:p w14:paraId="22059231" w14:textId="77777777" w:rsidR="00153B90" w:rsidRDefault="00153B90" w:rsidP="00153B90">
      <w:pPr>
        <w:jc w:val="both"/>
      </w:pPr>
      <w:r>
        <w:rPr>
          <w:noProof/>
        </w:rPr>
        <w:drawing>
          <wp:inline distT="0" distB="0" distL="0" distR="0" wp14:anchorId="2D1EBA7F" wp14:editId="3F762701">
            <wp:extent cx="5705475" cy="2143125"/>
            <wp:effectExtent l="0" t="0" r="9525" b="9525"/>
            <wp:docPr id="75"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AC636FE" w14:textId="77777777" w:rsidR="00153B90" w:rsidRDefault="00153B90" w:rsidP="00153B90">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w:t>
      </w:r>
    </w:p>
    <w:p w14:paraId="31389C45" w14:textId="32C31BB1" w:rsidR="00153B90" w:rsidRDefault="00153B90" w:rsidP="00153B90">
      <w:pPr>
        <w:jc w:val="both"/>
      </w:pPr>
      <w:r>
        <w:t xml:space="preserve">Over the 2007-2018 period, the unemployment has been decreasing by </w:t>
      </w:r>
      <w:r w:rsidR="008E0281">
        <w:t>5</w:t>
      </w:r>
      <w:r>
        <w:t xml:space="preserve">7%, while labor market participation has been increasing by </w:t>
      </w:r>
      <w:r w:rsidR="008E0281">
        <w:t>36</w:t>
      </w:r>
      <w:r>
        <w:t xml:space="preserve">% (Figure </w:t>
      </w:r>
      <w:r w:rsidR="005A68FE">
        <w:t>3</w:t>
      </w:r>
      <w:r>
        <w:t>)</w:t>
      </w:r>
      <w:r w:rsidR="00B16C99">
        <w:t>.</w:t>
      </w:r>
    </w:p>
    <w:p w14:paraId="79B5D2B5" w14:textId="41105C9E" w:rsidR="00153B90" w:rsidRDefault="00153B90" w:rsidP="00153B90">
      <w:pPr>
        <w:pStyle w:val="Caption"/>
        <w:jc w:val="both"/>
      </w:pPr>
      <w:r>
        <w:lastRenderedPageBreak/>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3</w:t>
      </w:r>
      <w:r w:rsidR="00D656F6">
        <w:rPr>
          <w:noProof/>
        </w:rPr>
        <w:fldChar w:fldCharType="end"/>
      </w:r>
      <w:r>
        <w:t xml:space="preserve">: Unemployment </w:t>
      </w:r>
      <w:r w:rsidR="00A02C89">
        <w:t>r</w:t>
      </w:r>
      <w:r>
        <w:t xml:space="preserve">ate and </w:t>
      </w:r>
      <w:r w:rsidR="00A02C89">
        <w:t>l</w:t>
      </w:r>
      <w:r>
        <w:t xml:space="preserve">abor </w:t>
      </w:r>
      <w:r w:rsidR="00A02C89">
        <w:t>f</w:t>
      </w:r>
      <w:r>
        <w:t xml:space="preserve">orce </w:t>
      </w:r>
      <w:r w:rsidR="00A02C89">
        <w:t>p</w:t>
      </w:r>
      <w:r>
        <w:t>articipation (%)</w:t>
      </w:r>
    </w:p>
    <w:p w14:paraId="694B4E51" w14:textId="2373BCDA" w:rsidR="00CE78E2" w:rsidRPr="00D74D8C" w:rsidRDefault="002949A0" w:rsidP="00D74D8C">
      <w:r w:rsidRPr="00694FEE">
        <w:rPr>
          <w:noProof/>
        </w:rPr>
        <w:drawing>
          <wp:inline distT="0" distB="0" distL="0" distR="0" wp14:anchorId="2A20B16B" wp14:editId="030A5850">
            <wp:extent cx="5800725" cy="2886075"/>
            <wp:effectExtent l="0" t="0" r="9525" b="9525"/>
            <wp:docPr id="33" name="Chart 33">
              <a:extLst xmlns:a="http://schemas.openxmlformats.org/drawingml/2006/main">
                <a:ext uri="{FF2B5EF4-FFF2-40B4-BE49-F238E27FC236}">
                  <a16:creationId xmlns:a16="http://schemas.microsoft.com/office/drawing/2014/main" id="{00000000-0008-0000-09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F6167A2" w14:textId="77777777" w:rsidR="00153B90" w:rsidRDefault="00153B90" w:rsidP="00153B90">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w:t>
      </w:r>
    </w:p>
    <w:p w14:paraId="66D191AF" w14:textId="77777777" w:rsidR="00153B90" w:rsidRPr="00C510FB" w:rsidRDefault="00153B90" w:rsidP="00153B90">
      <w:pPr>
        <w:jc w:val="both"/>
        <w:rPr>
          <w:b/>
          <w:bCs/>
        </w:rPr>
      </w:pPr>
      <w:r w:rsidRPr="00C510FB">
        <w:rPr>
          <w:b/>
          <w:bCs/>
          <w:i/>
          <w:iCs/>
        </w:rPr>
        <w:t>Poverty and Inequality</w:t>
      </w:r>
    </w:p>
    <w:p w14:paraId="15787C99" w14:textId="4E31F734" w:rsidR="009A0BFB" w:rsidRDefault="009A0BFB" w:rsidP="00153B90">
      <w:pPr>
        <w:spacing w:after="0" w:line="240" w:lineRule="auto"/>
        <w:jc w:val="both"/>
      </w:pPr>
      <w:r>
        <w:t>Poverty and inequality also affect the development of unstable housing trends</w:t>
      </w:r>
      <w:r w:rsidR="002949A0">
        <w:t>.</w:t>
      </w:r>
      <w:r>
        <w:t xml:space="preserve"> Higher levels of poverty unambiguously lead to an increase in the share of the population exposed to the risk of unstable housing</w:t>
      </w:r>
      <w:r w:rsidR="00B16C99">
        <w:t>.</w:t>
      </w:r>
      <w:r>
        <w:t xml:space="preserve"> The role of inequality is, instead, more ambiguous</w:t>
      </w:r>
      <w:r w:rsidR="002949A0">
        <w:t>.</w:t>
      </w:r>
      <w:r>
        <w:t xml:space="preserve"> An increase in inequality might be neutral in terms of unstable housing outcomes, if </w:t>
      </w:r>
      <w:r w:rsidR="00CF42C4">
        <w:t>absolute poverty is not increasing and poorer and richer households buy and rent houses in separated markets</w:t>
      </w:r>
      <w:r w:rsidR="002949A0">
        <w:t>.</w:t>
      </w:r>
      <w:r w:rsidR="00CF42C4">
        <w:t xml:space="preserve"> On the other hand, even when absolute poverty is not increasing, especially in a tight housing market, the </w:t>
      </w:r>
      <w:r w:rsidR="00B16C99">
        <w:t>richer</w:t>
      </w:r>
      <w:r w:rsidR="00CF42C4">
        <w:t xml:space="preserve"> and poorer households compete for the same housing stock, the </w:t>
      </w:r>
      <w:r w:rsidR="00B16C99">
        <w:t>poorer</w:t>
      </w:r>
      <w:r w:rsidR="00CF42C4">
        <w:t xml:space="preserve"> households are likely to be facing the issue of unaffordable housing (as richer household bid prices up)</w:t>
      </w:r>
      <w:r w:rsidR="002949A0">
        <w:t>.</w:t>
      </w:r>
      <w:r>
        <w:t xml:space="preserve"> </w:t>
      </w:r>
    </w:p>
    <w:p w14:paraId="3D58E505" w14:textId="77777777" w:rsidR="00CF42C4" w:rsidRDefault="00CF42C4" w:rsidP="00153B90">
      <w:pPr>
        <w:spacing w:after="0" w:line="240" w:lineRule="auto"/>
        <w:jc w:val="both"/>
      </w:pPr>
    </w:p>
    <w:p w14:paraId="10CECCA1" w14:textId="03353303" w:rsidR="00153B90" w:rsidRDefault="00153B90" w:rsidP="00153B90">
      <w:pPr>
        <w:spacing w:after="0" w:line="240" w:lineRule="auto"/>
        <w:jc w:val="both"/>
      </w:pPr>
      <w:r w:rsidRPr="00C510FB">
        <w:t>According to the official data from the National Statistics Office of Georgia (</w:t>
      </w:r>
      <w:proofErr w:type="spellStart"/>
      <w:r w:rsidRPr="00C510FB">
        <w:t>Geostat</w:t>
      </w:r>
      <w:proofErr w:type="spellEnd"/>
      <w:r w:rsidRPr="00C510FB">
        <w:t xml:space="preserve">) </w:t>
      </w:r>
      <w:r>
        <w:t xml:space="preserve">the </w:t>
      </w:r>
      <w:r w:rsidRPr="00C510FB">
        <w:t>percentage of population below the absolute poverty line amounted to 20% in 2018</w:t>
      </w:r>
      <w:r w:rsidR="00B16C99">
        <w:t>.</w:t>
      </w:r>
      <w:r w:rsidRPr="00C510FB">
        <w:t xml:space="preserve"> </w:t>
      </w:r>
      <w:r>
        <w:t>The a</w:t>
      </w:r>
      <w:r w:rsidRPr="00C510FB">
        <w:t>bsolute poverty indic</w:t>
      </w:r>
      <w:r>
        <w:t xml:space="preserve">ator </w:t>
      </w:r>
      <w:r w:rsidR="008E0281">
        <w:t>has been</w:t>
      </w:r>
      <w:r w:rsidRPr="00C510FB">
        <w:t xml:space="preserve"> characterized </w:t>
      </w:r>
      <w:r>
        <w:t xml:space="preserve">by a declining trend over </w:t>
      </w:r>
      <w:r w:rsidR="008E0281">
        <w:t xml:space="preserve">the period </w:t>
      </w:r>
      <w:r>
        <w:t>2006</w:t>
      </w:r>
      <w:r w:rsidRPr="00C510FB">
        <w:t xml:space="preserve">-2018, </w:t>
      </w:r>
      <w:r>
        <w:t>with a reduction of</w:t>
      </w:r>
      <w:r w:rsidRPr="00C510FB">
        <w:t xml:space="preserve"> 17 percentage points</w:t>
      </w:r>
      <w:r w:rsidR="00B16C99">
        <w:t>.</w:t>
      </w:r>
      <w:r w:rsidRPr="00C510FB">
        <w:t xml:space="preserve"> </w:t>
      </w:r>
      <w:r>
        <w:t>The</w:t>
      </w:r>
      <w:r w:rsidRPr="00C510FB">
        <w:t xml:space="preserve"> </w:t>
      </w:r>
      <w:r>
        <w:t xml:space="preserve">measure of relative poverty, </w:t>
      </w:r>
      <w:r w:rsidRPr="00C510FB">
        <w:t>share of population below 60% of median consumption</w:t>
      </w:r>
      <w:r>
        <w:t>, remained much more stable over the same period varying between 20 and 23% (21% in 2018)</w:t>
      </w:r>
      <w:r w:rsidR="00B16C99">
        <w:t>.</w:t>
      </w:r>
      <w:r>
        <w:t xml:space="preserve"> The s</w:t>
      </w:r>
      <w:r w:rsidRPr="00C510FB">
        <w:t>hare of population bel</w:t>
      </w:r>
      <w:r>
        <w:t>ow the absolute poverty line remained</w:t>
      </w:r>
      <w:r w:rsidRPr="00C510FB">
        <w:t xml:space="preserve"> higher than the share of population below 60% of median consumption until 2017</w:t>
      </w:r>
      <w:r w:rsidR="00B16C99">
        <w:t>.</w:t>
      </w:r>
      <w:r w:rsidRPr="00C510FB">
        <w:t xml:space="preserve"> </w:t>
      </w:r>
    </w:p>
    <w:p w14:paraId="688CFF19" w14:textId="77777777" w:rsidR="00153B90" w:rsidRDefault="00153B90" w:rsidP="00153B90">
      <w:pPr>
        <w:spacing w:after="0" w:line="240" w:lineRule="auto"/>
        <w:jc w:val="both"/>
      </w:pPr>
    </w:p>
    <w:p w14:paraId="04234E48" w14:textId="6DE551DE" w:rsidR="00153B90" w:rsidRDefault="00153B90" w:rsidP="00153B90">
      <w:pPr>
        <w:jc w:val="both"/>
      </w:pPr>
      <w:r>
        <w:t>A</w:t>
      </w:r>
      <w:r w:rsidR="008E0281">
        <w:t xml:space="preserve">t the same time, the </w:t>
      </w:r>
      <w:r w:rsidR="008E0281" w:rsidRPr="00C510FB">
        <w:t>Gini coefficient by total income</w:t>
      </w:r>
      <w:r>
        <w:t xml:space="preserve">, </w:t>
      </w:r>
      <w:r w:rsidRPr="00C510FB">
        <w:t xml:space="preserve">the most </w:t>
      </w:r>
      <w:r w:rsidR="008E0281">
        <w:t>known</w:t>
      </w:r>
      <w:r w:rsidRPr="00C510FB">
        <w:t xml:space="preserve"> indicator for </w:t>
      </w:r>
      <w:r w:rsidR="008E0281">
        <w:t>the measurement of inequality measurement,</w:t>
      </w:r>
      <w:r w:rsidRPr="00C510FB">
        <w:t xml:space="preserve"> va</w:t>
      </w:r>
      <w:r>
        <w:t>rie</w:t>
      </w:r>
      <w:r w:rsidR="009A0BFB">
        <w:t>d</w:t>
      </w:r>
      <w:r>
        <w:t xml:space="preserve"> between 0</w:t>
      </w:r>
      <w:r w:rsidR="00B16C99">
        <w:t>.</w:t>
      </w:r>
      <w:r>
        <w:t>39</w:t>
      </w:r>
      <w:r w:rsidR="009A0BFB">
        <w:t xml:space="preserve"> and </w:t>
      </w:r>
      <w:r>
        <w:t>0</w:t>
      </w:r>
      <w:r w:rsidR="00B16C99">
        <w:t>.</w:t>
      </w:r>
      <w:r>
        <w:t>44</w:t>
      </w:r>
      <w:r w:rsidR="009A0BFB">
        <w:t xml:space="preserve">, with the </w:t>
      </w:r>
      <w:r w:rsidRPr="00C510FB">
        <w:t>lowest</w:t>
      </w:r>
      <w:r>
        <w:t xml:space="preserve"> value </w:t>
      </w:r>
      <w:r w:rsidRPr="00C510FB">
        <w:t>recorded in 2018</w:t>
      </w:r>
      <w:r w:rsidR="009A0BFB">
        <w:t xml:space="preserve">, </w:t>
      </w:r>
      <w:r w:rsidRPr="00C510FB">
        <w:t>indicat</w:t>
      </w:r>
      <w:r w:rsidR="009A0BFB">
        <w:t>ing</w:t>
      </w:r>
      <w:r w:rsidRPr="00C510FB">
        <w:t xml:space="preserve"> that income </w:t>
      </w:r>
      <w:r w:rsidR="009A0BFB">
        <w:t>became</w:t>
      </w:r>
      <w:r w:rsidRPr="00C510FB">
        <w:t xml:space="preserve"> slightly more evenly distributed</w:t>
      </w:r>
      <w:r w:rsidR="00A86D82">
        <w:t>.</w:t>
      </w:r>
    </w:p>
    <w:p w14:paraId="3A66BF8D" w14:textId="77777777" w:rsidR="00AC14FE" w:rsidRDefault="00CF42C4" w:rsidP="00153B90">
      <w:pPr>
        <w:jc w:val="both"/>
      </w:pPr>
      <w:r>
        <w:t>Both poverty and inequality indicators, therefore, are in line with a potential improvement of unstable housing issues</w:t>
      </w:r>
      <w:r w:rsidR="002949A0">
        <w:t xml:space="preserve"> (Figure</w:t>
      </w:r>
      <w:r w:rsidR="00AC14FE">
        <w:t xml:space="preserve"> </w:t>
      </w:r>
      <w:r w:rsidR="002949A0">
        <w:t>4)</w:t>
      </w:r>
      <w:r w:rsidR="00AC14FE">
        <w:t>.</w:t>
      </w:r>
    </w:p>
    <w:p w14:paraId="7F754580" w14:textId="77777777" w:rsidR="005A68FE" w:rsidRDefault="005A68FE">
      <w:pPr>
        <w:rPr>
          <w:i/>
          <w:iCs/>
          <w:color w:val="44546A" w:themeColor="text2"/>
          <w:sz w:val="18"/>
          <w:szCs w:val="18"/>
        </w:rPr>
      </w:pPr>
      <w:r>
        <w:br w:type="page"/>
      </w:r>
    </w:p>
    <w:p w14:paraId="3603E458" w14:textId="1DE927FE" w:rsidR="00AC14FE" w:rsidRPr="00AC14FE" w:rsidRDefault="00AC14FE">
      <w:pPr>
        <w:pStyle w:val="Caption"/>
        <w:jc w:val="both"/>
      </w:pPr>
      <w:r>
        <w:lastRenderedPageBreak/>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4</w:t>
      </w:r>
      <w:r w:rsidR="00D656F6">
        <w:rPr>
          <w:noProof/>
        </w:rPr>
        <w:fldChar w:fldCharType="end"/>
      </w:r>
      <w:r>
        <w:t>: Absolute</w:t>
      </w:r>
      <w:r w:rsidR="009E6455">
        <w:rPr>
          <w:lang w:val="ka-GE"/>
        </w:rPr>
        <w:t xml:space="preserve"> </w:t>
      </w:r>
      <w:r w:rsidR="009E6455">
        <w:rPr>
          <w:lang w:val="en-GB"/>
        </w:rPr>
        <w:t>and</w:t>
      </w:r>
      <w:r w:rsidR="00A02C89">
        <w:rPr>
          <w:lang w:val="en-GB"/>
        </w:rPr>
        <w:t xml:space="preserve"> </w:t>
      </w:r>
      <w:r w:rsidR="00A02C89">
        <w:t>re</w:t>
      </w:r>
      <w:r>
        <w:t xml:space="preserve">lative </w:t>
      </w:r>
      <w:r w:rsidR="00A02C89">
        <w:t>p</w:t>
      </w:r>
      <w:r>
        <w:t xml:space="preserve">overty </w:t>
      </w:r>
      <w:r w:rsidR="00A02C89">
        <w:t>i</w:t>
      </w:r>
      <w:r>
        <w:t>ndicators</w:t>
      </w:r>
      <w:r w:rsidR="009E6455">
        <w:t xml:space="preserve">; </w:t>
      </w:r>
      <w:r>
        <w:t xml:space="preserve">Gini </w:t>
      </w:r>
      <w:r w:rsidR="00A02C89">
        <w:t>C</w:t>
      </w:r>
      <w:r>
        <w:t>oefficient</w:t>
      </w:r>
    </w:p>
    <w:p w14:paraId="455956B9" w14:textId="7DC36446" w:rsidR="00CF42C4" w:rsidRDefault="00AC14FE" w:rsidP="00153B90">
      <w:pPr>
        <w:jc w:val="both"/>
      </w:pPr>
      <w:r>
        <w:rPr>
          <w:noProof/>
        </w:rPr>
        <w:drawing>
          <wp:anchor distT="0" distB="0" distL="114300" distR="114300" simplePos="0" relativeHeight="251707392" behindDoc="1" locked="0" layoutInCell="1" allowOverlap="1" wp14:anchorId="59455A02" wp14:editId="16095A72">
            <wp:simplePos x="0" y="0"/>
            <wp:positionH relativeFrom="margin">
              <wp:align>left</wp:align>
            </wp:positionH>
            <wp:positionV relativeFrom="paragraph">
              <wp:posOffset>6350</wp:posOffset>
            </wp:positionV>
            <wp:extent cx="5800725" cy="2590800"/>
            <wp:effectExtent l="0" t="0" r="9525" b="0"/>
            <wp:wrapNone/>
            <wp:docPr id="77"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0C38E80A" w14:textId="77777777" w:rsidR="00AC14FE" w:rsidRDefault="00AC14FE" w:rsidP="00AC14FE">
      <w:pPr>
        <w:spacing w:after="0" w:line="240" w:lineRule="auto"/>
        <w:jc w:val="both"/>
        <w:rPr>
          <w:i/>
          <w:iCs/>
          <w:color w:val="44546A" w:themeColor="text2"/>
          <w:sz w:val="18"/>
          <w:szCs w:val="18"/>
        </w:rPr>
      </w:pPr>
    </w:p>
    <w:p w14:paraId="4AB0DE08" w14:textId="77777777" w:rsidR="00377AF5" w:rsidRDefault="00377AF5" w:rsidP="00AC14FE">
      <w:pPr>
        <w:rPr>
          <w:i/>
          <w:iCs/>
          <w:color w:val="44546A" w:themeColor="text2"/>
          <w:sz w:val="18"/>
          <w:szCs w:val="18"/>
        </w:rPr>
      </w:pPr>
      <w:r>
        <w:rPr>
          <w:i/>
          <w:iCs/>
          <w:color w:val="44546A" w:themeColor="text2"/>
          <w:sz w:val="18"/>
          <w:szCs w:val="18"/>
        </w:rPr>
        <w:t xml:space="preserve">                 </w:t>
      </w:r>
    </w:p>
    <w:p w14:paraId="62AA3A35" w14:textId="77777777" w:rsidR="00377AF5" w:rsidRDefault="00377AF5" w:rsidP="00AC14FE">
      <w:pPr>
        <w:rPr>
          <w:i/>
          <w:iCs/>
          <w:color w:val="44546A" w:themeColor="text2"/>
          <w:sz w:val="18"/>
          <w:szCs w:val="18"/>
        </w:rPr>
      </w:pPr>
    </w:p>
    <w:p w14:paraId="3787F811" w14:textId="77777777" w:rsidR="00377AF5" w:rsidRDefault="00377AF5" w:rsidP="00AC14FE">
      <w:pPr>
        <w:rPr>
          <w:i/>
          <w:iCs/>
          <w:color w:val="44546A" w:themeColor="text2"/>
          <w:sz w:val="18"/>
          <w:szCs w:val="18"/>
        </w:rPr>
      </w:pPr>
    </w:p>
    <w:p w14:paraId="764484D5" w14:textId="77777777" w:rsidR="00377AF5" w:rsidRDefault="00377AF5" w:rsidP="00AC14FE">
      <w:pPr>
        <w:rPr>
          <w:i/>
          <w:iCs/>
          <w:color w:val="44546A" w:themeColor="text2"/>
          <w:sz w:val="18"/>
          <w:szCs w:val="18"/>
        </w:rPr>
      </w:pPr>
    </w:p>
    <w:p w14:paraId="3DA8C55B" w14:textId="77777777" w:rsidR="00377AF5" w:rsidRDefault="00377AF5" w:rsidP="00AC14FE">
      <w:pPr>
        <w:rPr>
          <w:i/>
          <w:iCs/>
          <w:color w:val="44546A" w:themeColor="text2"/>
          <w:sz w:val="18"/>
          <w:szCs w:val="18"/>
        </w:rPr>
      </w:pPr>
    </w:p>
    <w:p w14:paraId="0EA81625" w14:textId="77777777" w:rsidR="00377AF5" w:rsidRDefault="00377AF5" w:rsidP="00AC14FE">
      <w:pPr>
        <w:rPr>
          <w:i/>
          <w:iCs/>
          <w:color w:val="44546A" w:themeColor="text2"/>
          <w:sz w:val="18"/>
          <w:szCs w:val="18"/>
        </w:rPr>
      </w:pPr>
    </w:p>
    <w:p w14:paraId="61663400" w14:textId="77777777" w:rsidR="00377AF5" w:rsidRDefault="00377AF5" w:rsidP="00AC14FE">
      <w:pPr>
        <w:rPr>
          <w:i/>
          <w:iCs/>
          <w:color w:val="44546A" w:themeColor="text2"/>
          <w:sz w:val="18"/>
          <w:szCs w:val="18"/>
        </w:rPr>
      </w:pPr>
    </w:p>
    <w:p w14:paraId="28E5C46F" w14:textId="77777777" w:rsidR="00377AF5" w:rsidRDefault="00377AF5" w:rsidP="00AC14FE">
      <w:pPr>
        <w:rPr>
          <w:i/>
          <w:iCs/>
          <w:color w:val="44546A" w:themeColor="text2"/>
          <w:sz w:val="18"/>
          <w:szCs w:val="18"/>
        </w:rPr>
      </w:pPr>
    </w:p>
    <w:p w14:paraId="11ADA766" w14:textId="77777777" w:rsidR="00377AF5" w:rsidRDefault="00377AF5" w:rsidP="00AC14FE">
      <w:pPr>
        <w:rPr>
          <w:i/>
          <w:iCs/>
          <w:color w:val="44546A" w:themeColor="text2"/>
          <w:sz w:val="18"/>
          <w:szCs w:val="18"/>
        </w:rPr>
      </w:pPr>
    </w:p>
    <w:p w14:paraId="526760B3" w14:textId="77777777" w:rsidR="006407BD" w:rsidRDefault="00AC14FE" w:rsidP="00153B90">
      <w:pPr>
        <w:spacing w:after="0" w:line="240" w:lineRule="auto"/>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w:t>
      </w:r>
    </w:p>
    <w:p w14:paraId="558F2CC6" w14:textId="77777777" w:rsidR="00153B90" w:rsidRDefault="00153B90" w:rsidP="00153B90">
      <w:pPr>
        <w:spacing w:after="0" w:line="240" w:lineRule="auto"/>
        <w:jc w:val="both"/>
      </w:pPr>
    </w:p>
    <w:p w14:paraId="70B587C3" w14:textId="77777777" w:rsidR="00153B90" w:rsidRDefault="00153B90" w:rsidP="00153B90">
      <w:pPr>
        <w:jc w:val="both"/>
      </w:pPr>
      <w:r w:rsidRPr="00C510FB">
        <w:rPr>
          <w:b/>
          <w:bCs/>
          <w:i/>
          <w:iCs/>
        </w:rPr>
        <w:t>Cost of borrowing</w:t>
      </w:r>
    </w:p>
    <w:p w14:paraId="4B972331" w14:textId="3B4C5092" w:rsidR="00452448" w:rsidRDefault="00452448" w:rsidP="00153B90">
      <w:pPr>
        <w:spacing w:after="0" w:line="240" w:lineRule="auto"/>
        <w:jc w:val="both"/>
      </w:pPr>
      <w:r>
        <w:t>Cost of borrowing also affects access to stable housing</w:t>
      </w:r>
      <w:r w:rsidR="00755C3D">
        <w:t>.</w:t>
      </w:r>
      <w:r>
        <w:t xml:space="preserve"> High interest rates make the service of the debt harder, reducing the number of households that can afford buying their own house and increasing the risk of default and of losing the immobile property acquired, for those households that managed to buy one</w:t>
      </w:r>
      <w:r w:rsidR="00755C3D">
        <w:t>.</w:t>
      </w:r>
    </w:p>
    <w:p w14:paraId="1A37FA86" w14:textId="77777777" w:rsidR="00452448" w:rsidRDefault="00452448" w:rsidP="00153B90">
      <w:pPr>
        <w:spacing w:after="0" w:line="240" w:lineRule="auto"/>
        <w:jc w:val="both"/>
      </w:pPr>
    </w:p>
    <w:p w14:paraId="7F2629E3" w14:textId="1138BCDE" w:rsidR="00153B90" w:rsidRDefault="00153B90" w:rsidP="00153B90">
      <w:pPr>
        <w:spacing w:after="0" w:line="240" w:lineRule="auto"/>
        <w:jc w:val="both"/>
      </w:pPr>
      <w:r>
        <w:t xml:space="preserve">According the data from National Bank of Georgia the cost of mortgages </w:t>
      </w:r>
      <w:r w:rsidR="00177003">
        <w:t>has been</w:t>
      </w:r>
      <w:r>
        <w:t xml:space="preserve"> declining over time, </w:t>
      </w:r>
      <w:r w:rsidR="00177003">
        <w:t xml:space="preserve">albeit with quite wide fluctuations, </w:t>
      </w:r>
      <w:r>
        <w:t xml:space="preserve">both in national and foreign currencies </w:t>
      </w:r>
      <w:r w:rsidR="00177003">
        <w:t xml:space="preserve">- </w:t>
      </w:r>
      <w:r>
        <w:t xml:space="preserve">for both individual and household loans </w:t>
      </w:r>
      <w:r w:rsidR="00177003">
        <w:t>– over the period 2010-2018</w:t>
      </w:r>
      <w:r w:rsidR="00755C3D">
        <w:t>.</w:t>
      </w:r>
      <w:r>
        <w:t xml:space="preserve"> </w:t>
      </w:r>
      <w:r w:rsidR="00177003">
        <w:t>Most of the volatility seems concentrated over</w:t>
      </w:r>
      <w:r>
        <w:t xml:space="preserve"> the 2010-2015 period</w:t>
      </w:r>
      <w:r w:rsidR="00177003">
        <w:t>, for which we observe the rate on individual level loans</w:t>
      </w:r>
      <w:r w:rsidR="00755C3D">
        <w:t>.</w:t>
      </w:r>
      <w:r>
        <w:t xml:space="preserve"> As for the rates on household’s loans, the rates on the loans in the national currency varies in 2015-2016 period and more or less stabilizes over 2017-2018 period</w:t>
      </w:r>
      <w:r w:rsidR="00755C3D">
        <w:t>.</w:t>
      </w:r>
      <w:r>
        <w:t xml:space="preserve"> </w:t>
      </w:r>
    </w:p>
    <w:p w14:paraId="7621F8F3" w14:textId="77777777" w:rsidR="00153B90" w:rsidRDefault="00153B90" w:rsidP="00153B90">
      <w:pPr>
        <w:spacing w:after="0" w:line="240" w:lineRule="auto"/>
        <w:jc w:val="both"/>
      </w:pPr>
    </w:p>
    <w:p w14:paraId="10587C7D" w14:textId="1182A989" w:rsidR="00153B90" w:rsidRDefault="00153B90" w:rsidP="00153B90">
      <w:pPr>
        <w:spacing w:after="0" w:line="240" w:lineRule="auto"/>
        <w:jc w:val="both"/>
      </w:pPr>
      <w:r>
        <w:t xml:space="preserve">The range of </w:t>
      </w:r>
      <w:r>
        <w:rPr>
          <w:noProof/>
        </w:rPr>
        <w:t>a</w:t>
      </w:r>
      <w:r w:rsidRPr="003F4EF6">
        <w:rPr>
          <w:noProof/>
        </w:rPr>
        <w:t>nn</w:t>
      </w:r>
      <w:r>
        <w:rPr>
          <w:noProof/>
        </w:rPr>
        <w:t xml:space="preserve">ual weighted average interest rates </w:t>
      </w:r>
      <w:r>
        <w:t>in national currency</w:t>
      </w:r>
      <w:r>
        <w:rPr>
          <w:noProof/>
        </w:rPr>
        <w:t xml:space="preserve"> on individuals' loans </w:t>
      </w:r>
      <w:r>
        <w:t>for 2010-2015 years varies from historically highest 17% and to historically lowest 8</w:t>
      </w:r>
      <w:r w:rsidR="00755C3D">
        <w:t>.</w:t>
      </w:r>
      <w:r>
        <w:t>1%</w:t>
      </w:r>
      <w:r w:rsidR="00755C3D">
        <w:t>.</w:t>
      </w:r>
      <w:r>
        <w:t xml:space="preserve"> While in 2015-2018 years, the annual weighted average interest rates on ho</w:t>
      </w:r>
      <w:r w:rsidRPr="000F2E1F">
        <w:t>useholds</w:t>
      </w:r>
      <w:r>
        <w:t>' l</w:t>
      </w:r>
      <w:r w:rsidRPr="000F2E1F">
        <w:t>oans</w:t>
      </w:r>
      <w:r>
        <w:t xml:space="preserve"> in national currency ranges between highest 17% to the lowest 9</w:t>
      </w:r>
      <w:r w:rsidR="00755C3D">
        <w:t>.</w:t>
      </w:r>
      <w:r>
        <w:t xml:space="preserve">78% for </w:t>
      </w:r>
      <w:proofErr w:type="gramStart"/>
      <w:r>
        <w:t>5-10 year</w:t>
      </w:r>
      <w:proofErr w:type="gramEnd"/>
      <w:r>
        <w:t xml:space="preserve"> loans and between 16 % and 9</w:t>
      </w:r>
      <w:r w:rsidR="00755C3D">
        <w:t>.</w:t>
      </w:r>
      <w:r>
        <w:t>53% for more than 10 year loans (Figure 5)</w:t>
      </w:r>
      <w:r w:rsidR="00755C3D">
        <w:t>.</w:t>
      </w:r>
    </w:p>
    <w:p w14:paraId="2DAC84C7" w14:textId="32DCCD23" w:rsidR="00177003" w:rsidRDefault="00177003">
      <w:r>
        <w:br w:type="page"/>
      </w:r>
    </w:p>
    <w:p w14:paraId="4E6E9711" w14:textId="039ECDC7" w:rsidR="00153B90" w:rsidRDefault="00755C3D" w:rsidP="00153B90">
      <w:pPr>
        <w:pStyle w:val="Caption"/>
        <w:jc w:val="both"/>
        <w:rPr>
          <w:noProof/>
        </w:rPr>
      </w:pPr>
      <w:r w:rsidRPr="00FD09FD">
        <w:rPr>
          <w:i w:val="0"/>
          <w:iCs w:val="0"/>
          <w:noProof/>
        </w:rPr>
        <w:lastRenderedPageBreak/>
        <w:drawing>
          <wp:anchor distT="0" distB="0" distL="114300" distR="114300" simplePos="0" relativeHeight="251704320" behindDoc="1" locked="0" layoutInCell="1" allowOverlap="1" wp14:anchorId="5416DCFA" wp14:editId="5956CDFD">
            <wp:simplePos x="0" y="0"/>
            <wp:positionH relativeFrom="column">
              <wp:posOffset>2933700</wp:posOffset>
            </wp:positionH>
            <wp:positionV relativeFrom="paragraph">
              <wp:posOffset>323850</wp:posOffset>
            </wp:positionV>
            <wp:extent cx="2914650" cy="3019425"/>
            <wp:effectExtent l="0" t="0" r="0" b="9525"/>
            <wp:wrapNone/>
            <wp:docPr id="78"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Pr>
          <w:i w:val="0"/>
          <w:iCs w:val="0"/>
          <w:noProof/>
        </w:rPr>
        <w:drawing>
          <wp:anchor distT="0" distB="0" distL="114300" distR="114300" simplePos="0" relativeHeight="251706368" behindDoc="1" locked="0" layoutInCell="1" allowOverlap="1" wp14:anchorId="7DE599FD" wp14:editId="4443E30A">
            <wp:simplePos x="0" y="0"/>
            <wp:positionH relativeFrom="margin">
              <wp:align>left</wp:align>
            </wp:positionH>
            <wp:positionV relativeFrom="paragraph">
              <wp:posOffset>323850</wp:posOffset>
            </wp:positionV>
            <wp:extent cx="2933700" cy="3028950"/>
            <wp:effectExtent l="0" t="0" r="0" b="0"/>
            <wp:wrapNone/>
            <wp:docPr id="79" name="Chart 64">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153B90">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5</w:t>
      </w:r>
      <w:r w:rsidR="00D656F6">
        <w:rPr>
          <w:noProof/>
        </w:rPr>
        <w:fldChar w:fldCharType="end"/>
      </w:r>
      <w:r w:rsidR="006407BD">
        <w:rPr>
          <w:noProof/>
        </w:rPr>
        <w:t xml:space="preserve"> : </w:t>
      </w:r>
      <w:r w:rsidR="00153B90" w:rsidRPr="003F4EF6">
        <w:rPr>
          <w:noProof/>
        </w:rPr>
        <w:t xml:space="preserve">Annual </w:t>
      </w:r>
      <w:r w:rsidR="00A02C89">
        <w:rPr>
          <w:noProof/>
        </w:rPr>
        <w:t>w</w:t>
      </w:r>
      <w:r w:rsidR="00153B90" w:rsidRPr="003F4EF6">
        <w:rPr>
          <w:noProof/>
        </w:rPr>
        <w:t xml:space="preserve">eighted </w:t>
      </w:r>
      <w:r w:rsidR="00A02C89">
        <w:rPr>
          <w:noProof/>
        </w:rPr>
        <w:t>a</w:t>
      </w:r>
      <w:r w:rsidR="00153B90" w:rsidRPr="003F4EF6">
        <w:rPr>
          <w:noProof/>
        </w:rPr>
        <w:t xml:space="preserve">verage </w:t>
      </w:r>
      <w:r w:rsidR="00A02C89">
        <w:rPr>
          <w:noProof/>
        </w:rPr>
        <w:t>i</w:t>
      </w:r>
      <w:r w:rsidR="00153B90" w:rsidRPr="003F4EF6">
        <w:rPr>
          <w:noProof/>
        </w:rPr>
        <w:t xml:space="preserve">nterest </w:t>
      </w:r>
      <w:r w:rsidR="00A02C89">
        <w:rPr>
          <w:noProof/>
        </w:rPr>
        <w:t>r</w:t>
      </w:r>
      <w:r w:rsidR="00153B90" w:rsidRPr="003F4EF6">
        <w:rPr>
          <w:noProof/>
        </w:rPr>
        <w:t xml:space="preserve">ates  on  </w:t>
      </w:r>
      <w:r w:rsidR="00A02C89">
        <w:rPr>
          <w:noProof/>
        </w:rPr>
        <w:t>i</w:t>
      </w:r>
      <w:r w:rsidR="00153B90" w:rsidRPr="003F4EF6">
        <w:rPr>
          <w:noProof/>
        </w:rPr>
        <w:t>ndividuals'</w:t>
      </w:r>
      <w:r w:rsidR="00A02C89">
        <w:rPr>
          <w:noProof/>
        </w:rPr>
        <w:t xml:space="preserve"> </w:t>
      </w:r>
      <w:r w:rsidR="00153B90">
        <w:rPr>
          <w:noProof/>
        </w:rPr>
        <w:t>(left handside)</w:t>
      </w:r>
      <w:r w:rsidR="00153B90" w:rsidRPr="003F4EF6">
        <w:rPr>
          <w:noProof/>
        </w:rPr>
        <w:t xml:space="preserve"> </w:t>
      </w:r>
      <w:r w:rsidR="00153B90">
        <w:rPr>
          <w:noProof/>
        </w:rPr>
        <w:t>and households’ (right handside)</w:t>
      </w:r>
      <w:r w:rsidR="00A02C89">
        <w:rPr>
          <w:noProof/>
        </w:rPr>
        <w:t xml:space="preserve"> l</w:t>
      </w:r>
      <w:r w:rsidR="00153B90" w:rsidRPr="003F4EF6">
        <w:rPr>
          <w:noProof/>
        </w:rPr>
        <w:t>oans  in</w:t>
      </w:r>
      <w:r w:rsidR="00153B90">
        <w:rPr>
          <w:noProof/>
        </w:rPr>
        <w:t xml:space="preserve"> </w:t>
      </w:r>
      <w:r w:rsidR="00A02C89">
        <w:rPr>
          <w:noProof/>
        </w:rPr>
        <w:t>n</w:t>
      </w:r>
      <w:r w:rsidR="00153B90">
        <w:rPr>
          <w:noProof/>
        </w:rPr>
        <w:t xml:space="preserve">ational </w:t>
      </w:r>
      <w:r w:rsidR="00A02C89">
        <w:rPr>
          <w:noProof/>
        </w:rPr>
        <w:t>c</w:t>
      </w:r>
      <w:r w:rsidR="00153B90">
        <w:rPr>
          <w:noProof/>
        </w:rPr>
        <w:t xml:space="preserve">urrency  </w:t>
      </w:r>
      <w:r w:rsidR="00A02C89">
        <w:rPr>
          <w:noProof/>
        </w:rPr>
        <w:t>i</w:t>
      </w:r>
      <w:r w:rsidR="00153B90" w:rsidRPr="003F4EF6">
        <w:rPr>
          <w:noProof/>
        </w:rPr>
        <w:t xml:space="preserve">ssued </w:t>
      </w:r>
      <w:r w:rsidR="00A02C89">
        <w:rPr>
          <w:noProof/>
        </w:rPr>
        <w:t>d</w:t>
      </w:r>
      <w:r w:rsidR="00153B90" w:rsidRPr="003F4EF6">
        <w:rPr>
          <w:noProof/>
        </w:rPr>
        <w:t xml:space="preserve">uring the </w:t>
      </w:r>
      <w:r w:rsidR="00A02C89">
        <w:rPr>
          <w:noProof/>
        </w:rPr>
        <w:t>r</w:t>
      </w:r>
      <w:r w:rsidR="00153B90" w:rsidRPr="003F4EF6">
        <w:rPr>
          <w:noProof/>
        </w:rPr>
        <w:t xml:space="preserve">eporting </w:t>
      </w:r>
      <w:r w:rsidR="00A02C89">
        <w:rPr>
          <w:noProof/>
        </w:rPr>
        <w:t>p</w:t>
      </w:r>
      <w:r w:rsidR="00153B90" w:rsidRPr="003F4EF6">
        <w:rPr>
          <w:noProof/>
        </w:rPr>
        <w:t>eriod (mortgages more than 5 years)</w:t>
      </w:r>
    </w:p>
    <w:p w14:paraId="03A639AD" w14:textId="77777777" w:rsidR="00153B90" w:rsidRDefault="00153B90" w:rsidP="00153B90">
      <w:pPr>
        <w:pStyle w:val="Caption"/>
        <w:jc w:val="both"/>
      </w:pPr>
      <w:r w:rsidRPr="00EE6CAB">
        <w:rPr>
          <w:noProof/>
        </w:rPr>
        <w:t xml:space="preserve"> </w:t>
      </w:r>
      <w:r>
        <w:t xml:space="preserve">                                                                                                       </w:t>
      </w:r>
    </w:p>
    <w:p w14:paraId="1AFF54CD" w14:textId="77777777" w:rsidR="00153B90" w:rsidRPr="00EA0E3C" w:rsidRDefault="00153B90" w:rsidP="00153B90">
      <w:pPr>
        <w:pStyle w:val="Caption"/>
        <w:jc w:val="both"/>
      </w:pPr>
      <w:r>
        <w:t xml:space="preserve">                                                                                                                     </w:t>
      </w:r>
    </w:p>
    <w:p w14:paraId="506503BB" w14:textId="77777777" w:rsidR="00153B90" w:rsidRPr="00317C16" w:rsidRDefault="00153B90" w:rsidP="00153B90">
      <w:pPr>
        <w:pStyle w:val="Caption"/>
        <w:jc w:val="both"/>
      </w:pPr>
    </w:p>
    <w:p w14:paraId="4E4CECCE" w14:textId="77777777" w:rsidR="00153B90" w:rsidRDefault="00153B90" w:rsidP="00153B90">
      <w:pPr>
        <w:spacing w:after="0" w:line="240" w:lineRule="auto"/>
        <w:jc w:val="both"/>
      </w:pPr>
    </w:p>
    <w:p w14:paraId="78258CCC" w14:textId="77777777" w:rsidR="00153B90" w:rsidRDefault="00153B90" w:rsidP="00153B90">
      <w:pPr>
        <w:spacing w:after="0" w:line="240" w:lineRule="auto"/>
        <w:jc w:val="both"/>
      </w:pPr>
    </w:p>
    <w:p w14:paraId="539778E0" w14:textId="77777777" w:rsidR="00153B90" w:rsidRDefault="00153B90" w:rsidP="00153B90">
      <w:pPr>
        <w:spacing w:after="0" w:line="240" w:lineRule="auto"/>
        <w:jc w:val="both"/>
      </w:pPr>
    </w:p>
    <w:p w14:paraId="7505127F" w14:textId="77777777" w:rsidR="00153B90" w:rsidRDefault="00153B90" w:rsidP="00153B90">
      <w:pPr>
        <w:spacing w:after="0" w:line="240" w:lineRule="auto"/>
        <w:jc w:val="both"/>
      </w:pPr>
    </w:p>
    <w:p w14:paraId="5EA38C45" w14:textId="77777777" w:rsidR="00153B90" w:rsidRDefault="00153B90" w:rsidP="00153B90">
      <w:pPr>
        <w:spacing w:after="0" w:line="240" w:lineRule="auto"/>
        <w:jc w:val="both"/>
      </w:pPr>
    </w:p>
    <w:p w14:paraId="43490FE7" w14:textId="77777777" w:rsidR="00153B90" w:rsidRDefault="00153B90" w:rsidP="00153B90">
      <w:pPr>
        <w:spacing w:after="0" w:line="240" w:lineRule="auto"/>
        <w:jc w:val="both"/>
      </w:pPr>
    </w:p>
    <w:p w14:paraId="64F3ECC7" w14:textId="77777777" w:rsidR="00153B90" w:rsidRDefault="00153B90" w:rsidP="00153B90">
      <w:pPr>
        <w:spacing w:after="0" w:line="240" w:lineRule="auto"/>
        <w:jc w:val="both"/>
      </w:pPr>
    </w:p>
    <w:p w14:paraId="7CCF82A7" w14:textId="77777777" w:rsidR="00153B90" w:rsidRDefault="00153B90" w:rsidP="00153B90">
      <w:pPr>
        <w:tabs>
          <w:tab w:val="left" w:pos="3255"/>
        </w:tabs>
        <w:spacing w:after="0" w:line="240" w:lineRule="auto"/>
        <w:jc w:val="both"/>
      </w:pPr>
      <w:r>
        <w:tab/>
      </w:r>
    </w:p>
    <w:p w14:paraId="3FD4443E" w14:textId="77777777" w:rsidR="00153B90" w:rsidRDefault="00153B90" w:rsidP="00153B90">
      <w:pPr>
        <w:spacing w:after="0" w:line="240" w:lineRule="auto"/>
        <w:jc w:val="both"/>
      </w:pPr>
    </w:p>
    <w:p w14:paraId="4D4AD6DD" w14:textId="77777777" w:rsidR="00153B90" w:rsidRDefault="00153B90" w:rsidP="00153B90">
      <w:pPr>
        <w:spacing w:after="0" w:line="240" w:lineRule="auto"/>
        <w:jc w:val="both"/>
      </w:pPr>
    </w:p>
    <w:p w14:paraId="4B21BC0B" w14:textId="77777777" w:rsidR="00153B90" w:rsidRDefault="00153B90" w:rsidP="00153B90">
      <w:pPr>
        <w:spacing w:after="0" w:line="240" w:lineRule="auto"/>
        <w:jc w:val="both"/>
      </w:pPr>
    </w:p>
    <w:p w14:paraId="6837D114" w14:textId="77777777" w:rsidR="00153B90" w:rsidRDefault="00153B90" w:rsidP="00153B90">
      <w:pPr>
        <w:spacing w:after="0" w:line="240" w:lineRule="auto"/>
        <w:jc w:val="both"/>
      </w:pPr>
    </w:p>
    <w:p w14:paraId="0892BED8" w14:textId="77777777" w:rsidR="005E5DA0" w:rsidRDefault="005E5DA0" w:rsidP="00153B90">
      <w:pPr>
        <w:spacing w:after="0" w:line="240" w:lineRule="auto"/>
        <w:jc w:val="both"/>
      </w:pPr>
    </w:p>
    <w:p w14:paraId="5AA0B4FC" w14:textId="502E8A63" w:rsidR="005E5DA0" w:rsidRDefault="005E5DA0" w:rsidP="005E5DA0">
      <w:pPr>
        <w:spacing w:after="0" w:line="240" w:lineRule="auto"/>
        <w:jc w:val="both"/>
      </w:pPr>
      <w:r>
        <w:rPr>
          <w:i/>
          <w:iCs/>
          <w:color w:val="44546A" w:themeColor="text2"/>
          <w:sz w:val="18"/>
          <w:szCs w:val="18"/>
        </w:rPr>
        <w:t>Source: National Bank of Georgia</w:t>
      </w:r>
      <w:r w:rsidR="009E6455">
        <w:rPr>
          <w:i/>
          <w:iCs/>
          <w:color w:val="44546A" w:themeColor="text2"/>
          <w:sz w:val="18"/>
          <w:szCs w:val="18"/>
        </w:rPr>
        <w:t xml:space="preserve"> (NBG)</w:t>
      </w:r>
    </w:p>
    <w:p w14:paraId="00B00E5C" w14:textId="77777777" w:rsidR="005E5DA0" w:rsidRDefault="005E5DA0" w:rsidP="00153B90">
      <w:pPr>
        <w:spacing w:after="0" w:line="240" w:lineRule="auto"/>
        <w:jc w:val="both"/>
      </w:pPr>
    </w:p>
    <w:p w14:paraId="66C354F9" w14:textId="77777777" w:rsidR="00153B90" w:rsidRDefault="00153B90" w:rsidP="00153B90">
      <w:pPr>
        <w:spacing w:after="0" w:line="240" w:lineRule="auto"/>
        <w:jc w:val="both"/>
      </w:pPr>
    </w:p>
    <w:p w14:paraId="6E9FB63C" w14:textId="5A18F359" w:rsidR="00153B90" w:rsidRDefault="00805C02" w:rsidP="00153B90">
      <w:pPr>
        <w:spacing w:after="0" w:line="240" w:lineRule="auto"/>
        <w:jc w:val="both"/>
      </w:pPr>
      <w:r>
        <w:t>Rates on individual and household’s loans in foreign currency performs more stable trend</w:t>
      </w:r>
      <w:r w:rsidR="00755C3D">
        <w:t>.</w:t>
      </w:r>
      <w:r>
        <w:rPr>
          <w:rStyle w:val="FootnoteReference"/>
        </w:rPr>
        <w:footnoteReference w:id="22"/>
      </w:r>
      <w:r>
        <w:t xml:space="preserve"> T</w:t>
      </w:r>
      <w:r w:rsidR="00153B90">
        <w:t xml:space="preserve">he annual weighted average interest rates on individual </w:t>
      </w:r>
      <w:r>
        <w:t xml:space="preserve">loans </w:t>
      </w:r>
      <w:r w:rsidR="00153B90">
        <w:t>for</w:t>
      </w:r>
      <w:r>
        <w:t xml:space="preserve"> the</w:t>
      </w:r>
      <w:r w:rsidR="00153B90">
        <w:t xml:space="preserve"> 2010-2015 </w:t>
      </w:r>
      <w:r>
        <w:t>period</w:t>
      </w:r>
      <w:r w:rsidR="00153B90">
        <w:t xml:space="preserve"> the individuals’ loans rate varie</w:t>
      </w:r>
      <w:r w:rsidR="00493139">
        <w:t>d</w:t>
      </w:r>
      <w:r w:rsidR="00153B90">
        <w:t xml:space="preserve"> from the highest value </w:t>
      </w:r>
      <w:r w:rsidR="00AE4F97">
        <w:t xml:space="preserve">of </w:t>
      </w:r>
      <w:r w:rsidR="00153B90">
        <w:rPr>
          <w:lang w:val="ka-GE"/>
        </w:rPr>
        <w:t>16</w:t>
      </w:r>
      <w:r w:rsidR="00301B47">
        <w:t>.</w:t>
      </w:r>
      <w:r w:rsidR="00153B90">
        <w:rPr>
          <w:lang w:val="ka-GE"/>
        </w:rPr>
        <w:t>7%</w:t>
      </w:r>
      <w:r w:rsidR="00153B90">
        <w:t xml:space="preserve"> to </w:t>
      </w:r>
      <w:r w:rsidR="00AE4F97">
        <w:t xml:space="preserve">the </w:t>
      </w:r>
      <w:r w:rsidR="00153B90">
        <w:t>lowest 9</w:t>
      </w:r>
      <w:r w:rsidR="00301B47">
        <w:t>.</w:t>
      </w:r>
      <w:r w:rsidR="00153B90">
        <w:t>4%</w:t>
      </w:r>
      <w:r w:rsidR="00AE4F97">
        <w:t>, declining almost monotonically</w:t>
      </w:r>
      <w:r w:rsidR="00755C3D">
        <w:t>.</w:t>
      </w:r>
      <w:r w:rsidR="00153B90">
        <w:t xml:space="preserve"> </w:t>
      </w:r>
      <w:r w:rsidR="00AE4F97">
        <w:t>I</w:t>
      </w:r>
      <w:r w:rsidR="00153B90">
        <w:t>n</w:t>
      </w:r>
      <w:r w:rsidR="00AE4F97">
        <w:t xml:space="preserve"> the</w:t>
      </w:r>
      <w:r w:rsidR="00153B90">
        <w:t xml:space="preserve"> 2015-2018 </w:t>
      </w:r>
      <w:r w:rsidR="00AE4F97">
        <w:t>period, instead,</w:t>
      </w:r>
      <w:r w:rsidR="00153B90">
        <w:t xml:space="preserve"> the annual weighted average interest rates on ho</w:t>
      </w:r>
      <w:r w:rsidR="00153B90" w:rsidRPr="000F2E1F">
        <w:t>useholds</w:t>
      </w:r>
      <w:r w:rsidR="00153B90">
        <w:t>' l</w:t>
      </w:r>
      <w:r w:rsidR="00153B90" w:rsidRPr="000F2E1F">
        <w:t>oans</w:t>
      </w:r>
      <w:r w:rsidR="00153B90">
        <w:t xml:space="preserve"> in foreign currency range</w:t>
      </w:r>
      <w:r w:rsidR="00BF2723">
        <w:t>d</w:t>
      </w:r>
      <w:r w:rsidR="00153B90">
        <w:t xml:space="preserve"> between 9</w:t>
      </w:r>
      <w:r w:rsidR="00301B47">
        <w:t>.</w:t>
      </w:r>
      <w:r w:rsidR="00153B90">
        <w:t>7%</w:t>
      </w:r>
      <w:r w:rsidR="00BF2723">
        <w:t xml:space="preserve"> </w:t>
      </w:r>
      <w:r w:rsidR="00153B90">
        <w:t>to the lowest 5</w:t>
      </w:r>
      <w:r w:rsidR="00301B47">
        <w:t>.</w:t>
      </w:r>
      <w:r w:rsidR="00153B90">
        <w:t xml:space="preserve">09% for </w:t>
      </w:r>
      <w:proofErr w:type="gramStart"/>
      <w:r w:rsidR="00153B90">
        <w:t>5-10</w:t>
      </w:r>
      <w:r w:rsidR="00755C3D">
        <w:t xml:space="preserve"> </w:t>
      </w:r>
      <w:r w:rsidR="00153B90">
        <w:t>year</w:t>
      </w:r>
      <w:proofErr w:type="gramEnd"/>
      <w:r w:rsidR="00153B90">
        <w:t xml:space="preserve"> loans and between 9</w:t>
      </w:r>
      <w:r w:rsidR="00301B47">
        <w:t>.</w:t>
      </w:r>
      <w:r w:rsidR="00153B90">
        <w:t>38 %</w:t>
      </w:r>
      <w:r w:rsidR="0030279C">
        <w:t xml:space="preserve"> </w:t>
      </w:r>
      <w:r w:rsidR="00153B90">
        <w:t>and 5</w:t>
      </w:r>
      <w:r w:rsidR="00301B47">
        <w:t>.</w:t>
      </w:r>
      <w:r w:rsidR="00153B90">
        <w:t>09% for more than 10 year loans</w:t>
      </w:r>
      <w:r w:rsidR="0030279C">
        <w:t>, respectively</w:t>
      </w:r>
      <w:r w:rsidR="00153B90">
        <w:t xml:space="preserve"> </w:t>
      </w:r>
      <w:r w:rsidR="00153B90" w:rsidRPr="00D74D8C">
        <w:t>(Figure</w:t>
      </w:r>
      <w:r w:rsidR="006407BD" w:rsidRPr="00D74D8C">
        <w:t xml:space="preserve"> 6</w:t>
      </w:r>
      <w:r w:rsidR="00153B90" w:rsidRPr="00D74D8C">
        <w:t>)</w:t>
      </w:r>
      <w:r w:rsidR="006407BD">
        <w:t>.</w:t>
      </w:r>
    </w:p>
    <w:p w14:paraId="001F1D94" w14:textId="77777777" w:rsidR="00153B90" w:rsidRDefault="00153B90" w:rsidP="00153B90">
      <w:pPr>
        <w:spacing w:after="0" w:line="240" w:lineRule="auto"/>
        <w:jc w:val="both"/>
      </w:pPr>
    </w:p>
    <w:p w14:paraId="40A54158" w14:textId="77777777" w:rsidR="00D7176C" w:rsidRDefault="00D7176C">
      <w:pPr>
        <w:rPr>
          <w:i/>
          <w:iCs/>
          <w:color w:val="44546A" w:themeColor="text2"/>
          <w:sz w:val="18"/>
          <w:szCs w:val="18"/>
        </w:rPr>
      </w:pPr>
      <w:r>
        <w:br w:type="page"/>
      </w:r>
    </w:p>
    <w:p w14:paraId="44BE5AF5" w14:textId="0E9F4866" w:rsidR="00153B90" w:rsidRDefault="00153B90" w:rsidP="00153B90">
      <w:pPr>
        <w:pStyle w:val="Caption"/>
        <w:jc w:val="both"/>
        <w:rPr>
          <w:noProof/>
        </w:rPr>
      </w:pPr>
      <w:r>
        <w:lastRenderedPageBreak/>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6</w:t>
      </w:r>
      <w:r w:rsidR="00D656F6">
        <w:rPr>
          <w:noProof/>
        </w:rPr>
        <w:fldChar w:fldCharType="end"/>
      </w:r>
      <w:r>
        <w:t xml:space="preserve">: </w:t>
      </w:r>
      <w:r w:rsidRPr="003F4EF6">
        <w:rPr>
          <w:noProof/>
        </w:rPr>
        <w:t xml:space="preserve">Annual </w:t>
      </w:r>
      <w:r w:rsidR="00F11557">
        <w:rPr>
          <w:noProof/>
        </w:rPr>
        <w:t>w</w:t>
      </w:r>
      <w:r w:rsidRPr="003F4EF6">
        <w:rPr>
          <w:noProof/>
        </w:rPr>
        <w:t xml:space="preserve">eighted </w:t>
      </w:r>
      <w:r w:rsidR="00F11557">
        <w:rPr>
          <w:noProof/>
        </w:rPr>
        <w:t>a</w:t>
      </w:r>
      <w:r w:rsidRPr="003F4EF6">
        <w:rPr>
          <w:noProof/>
        </w:rPr>
        <w:t xml:space="preserve">verage </w:t>
      </w:r>
      <w:r w:rsidR="00F11557">
        <w:rPr>
          <w:noProof/>
        </w:rPr>
        <w:t>i</w:t>
      </w:r>
      <w:r w:rsidRPr="003F4EF6">
        <w:rPr>
          <w:noProof/>
        </w:rPr>
        <w:t xml:space="preserve">nterest </w:t>
      </w:r>
      <w:r w:rsidR="00F11557">
        <w:rPr>
          <w:noProof/>
        </w:rPr>
        <w:t>r</w:t>
      </w:r>
      <w:r w:rsidRPr="003F4EF6">
        <w:rPr>
          <w:noProof/>
        </w:rPr>
        <w:t xml:space="preserve">ates  on  </w:t>
      </w:r>
      <w:r w:rsidR="00F11557">
        <w:rPr>
          <w:noProof/>
        </w:rPr>
        <w:t>i</w:t>
      </w:r>
      <w:r w:rsidRPr="003F4EF6">
        <w:rPr>
          <w:noProof/>
        </w:rPr>
        <w:t>ndividuals</w:t>
      </w:r>
      <w:r w:rsidR="00F11557">
        <w:rPr>
          <w:noProof/>
        </w:rPr>
        <w:t xml:space="preserve"> </w:t>
      </w:r>
      <w:r w:rsidRPr="003F4EF6">
        <w:rPr>
          <w:noProof/>
        </w:rPr>
        <w:t>'</w:t>
      </w:r>
      <w:r>
        <w:rPr>
          <w:noProof/>
        </w:rPr>
        <w:t>(left handside)</w:t>
      </w:r>
      <w:r w:rsidRPr="003F4EF6">
        <w:rPr>
          <w:noProof/>
        </w:rPr>
        <w:t xml:space="preserve"> </w:t>
      </w:r>
      <w:r>
        <w:rPr>
          <w:noProof/>
        </w:rPr>
        <w:t>and households’ (right handside)</w:t>
      </w:r>
      <w:r w:rsidRPr="003F4EF6">
        <w:rPr>
          <w:noProof/>
        </w:rPr>
        <w:t>Loans  in</w:t>
      </w:r>
      <w:r>
        <w:rPr>
          <w:noProof/>
        </w:rPr>
        <w:t xml:space="preserve"> </w:t>
      </w:r>
      <w:r w:rsidR="00F11557">
        <w:rPr>
          <w:noProof/>
        </w:rPr>
        <w:t>f</w:t>
      </w:r>
      <w:r>
        <w:rPr>
          <w:noProof/>
        </w:rPr>
        <w:t xml:space="preserve">oreign </w:t>
      </w:r>
      <w:r w:rsidR="00F11557">
        <w:rPr>
          <w:noProof/>
        </w:rPr>
        <w:t>c</w:t>
      </w:r>
      <w:r>
        <w:rPr>
          <w:noProof/>
        </w:rPr>
        <w:t xml:space="preserve">urrency  </w:t>
      </w:r>
      <w:r w:rsidRPr="003F4EF6">
        <w:rPr>
          <w:noProof/>
        </w:rPr>
        <w:t xml:space="preserve">Issued </w:t>
      </w:r>
      <w:r w:rsidR="00F11557">
        <w:rPr>
          <w:noProof/>
        </w:rPr>
        <w:t>d</w:t>
      </w:r>
      <w:r w:rsidRPr="003F4EF6">
        <w:rPr>
          <w:noProof/>
        </w:rPr>
        <w:t xml:space="preserve">uring the </w:t>
      </w:r>
      <w:r w:rsidR="00F11557">
        <w:rPr>
          <w:noProof/>
        </w:rPr>
        <w:t>r</w:t>
      </w:r>
      <w:r w:rsidRPr="003F4EF6">
        <w:rPr>
          <w:noProof/>
        </w:rPr>
        <w:t xml:space="preserve">eporting </w:t>
      </w:r>
      <w:r w:rsidR="00F11557">
        <w:rPr>
          <w:noProof/>
        </w:rPr>
        <w:t>p</w:t>
      </w:r>
      <w:r w:rsidRPr="003F4EF6">
        <w:rPr>
          <w:noProof/>
        </w:rPr>
        <w:t>eriod (mortgages more than 5 years)</w:t>
      </w:r>
    </w:p>
    <w:p w14:paraId="55B43894" w14:textId="3CF6029C" w:rsidR="00153B90" w:rsidRDefault="006407BD" w:rsidP="00153B90">
      <w:pPr>
        <w:pStyle w:val="Caption"/>
        <w:jc w:val="both"/>
      </w:pPr>
      <w:r>
        <w:rPr>
          <w:noProof/>
        </w:rPr>
        <w:drawing>
          <wp:anchor distT="0" distB="0" distL="114300" distR="114300" simplePos="0" relativeHeight="251705344" behindDoc="1" locked="0" layoutInCell="1" allowOverlap="1" wp14:anchorId="0A13D4EA" wp14:editId="51346EB4">
            <wp:simplePos x="0" y="0"/>
            <wp:positionH relativeFrom="margin">
              <wp:align>right</wp:align>
            </wp:positionH>
            <wp:positionV relativeFrom="paragraph">
              <wp:posOffset>70485</wp:posOffset>
            </wp:positionV>
            <wp:extent cx="2905125" cy="3657600"/>
            <wp:effectExtent l="0" t="0" r="9525" b="0"/>
            <wp:wrapNone/>
            <wp:docPr id="80"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1" locked="0" layoutInCell="1" allowOverlap="1" wp14:anchorId="4B7910CA" wp14:editId="44CEFAE1">
            <wp:simplePos x="0" y="0"/>
            <wp:positionH relativeFrom="margin">
              <wp:align>left</wp:align>
            </wp:positionH>
            <wp:positionV relativeFrom="paragraph">
              <wp:posOffset>80009</wp:posOffset>
            </wp:positionV>
            <wp:extent cx="2914650" cy="3248025"/>
            <wp:effectExtent l="0" t="0" r="0" b="9525"/>
            <wp:wrapNone/>
            <wp:docPr id="81" name="Chart 65">
              <a:extLst xmlns:a="http://schemas.openxmlformats.org/drawingml/2006/main">
                <a:ext uri="{FF2B5EF4-FFF2-40B4-BE49-F238E27FC236}">
                  <a16:creationId xmlns:a16="http://schemas.microsoft.com/office/drawing/2014/main" id="{AC2BDE21-1290-4F5B-9F1F-43584370B2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7DEB6A3E" w14:textId="77777777" w:rsidR="00153B90" w:rsidRDefault="00153B90" w:rsidP="00153B90">
      <w:pPr>
        <w:spacing w:after="0" w:line="240" w:lineRule="auto"/>
        <w:jc w:val="both"/>
      </w:pPr>
    </w:p>
    <w:p w14:paraId="4B57BC9E" w14:textId="77777777" w:rsidR="00153B90" w:rsidRDefault="00153B90" w:rsidP="00153B90">
      <w:pPr>
        <w:jc w:val="both"/>
      </w:pPr>
    </w:p>
    <w:p w14:paraId="7FEBC90B" w14:textId="77777777" w:rsidR="00153B90" w:rsidRDefault="00153B90" w:rsidP="00153B90">
      <w:pPr>
        <w:jc w:val="both"/>
      </w:pPr>
    </w:p>
    <w:p w14:paraId="138CAE6C" w14:textId="77777777" w:rsidR="00153B90" w:rsidRDefault="00153B90" w:rsidP="00153B90">
      <w:pPr>
        <w:jc w:val="both"/>
      </w:pPr>
    </w:p>
    <w:p w14:paraId="170C2FCA" w14:textId="77777777" w:rsidR="00153B90" w:rsidRDefault="00153B90" w:rsidP="00153B90">
      <w:pPr>
        <w:jc w:val="both"/>
      </w:pPr>
    </w:p>
    <w:p w14:paraId="499227F5" w14:textId="77777777" w:rsidR="00153B90" w:rsidRDefault="00153B90" w:rsidP="00153B90">
      <w:pPr>
        <w:jc w:val="both"/>
      </w:pPr>
    </w:p>
    <w:p w14:paraId="0713B81A" w14:textId="77777777" w:rsidR="00153B90" w:rsidRDefault="00153B90" w:rsidP="00153B90">
      <w:pPr>
        <w:jc w:val="both"/>
      </w:pPr>
    </w:p>
    <w:p w14:paraId="1A8A659C" w14:textId="77777777" w:rsidR="00153B90" w:rsidRDefault="00153B90" w:rsidP="00153B90">
      <w:pPr>
        <w:jc w:val="both"/>
      </w:pPr>
    </w:p>
    <w:p w14:paraId="4A68D2EF" w14:textId="77777777" w:rsidR="00153B90" w:rsidRDefault="00153B90" w:rsidP="00153B90">
      <w:pPr>
        <w:jc w:val="both"/>
      </w:pPr>
    </w:p>
    <w:p w14:paraId="3270FCAF" w14:textId="77777777" w:rsidR="00153B90" w:rsidRDefault="00153B90" w:rsidP="00153B90">
      <w:pPr>
        <w:jc w:val="both"/>
      </w:pPr>
    </w:p>
    <w:p w14:paraId="339A8198" w14:textId="77777777" w:rsidR="00153B90" w:rsidRDefault="00153B90" w:rsidP="00153B90">
      <w:pPr>
        <w:jc w:val="both"/>
      </w:pPr>
    </w:p>
    <w:p w14:paraId="5963BDB1" w14:textId="77777777" w:rsidR="009E6455" w:rsidRDefault="009E6455" w:rsidP="009E6455">
      <w:pPr>
        <w:spacing w:after="0" w:line="240" w:lineRule="auto"/>
        <w:jc w:val="both"/>
        <w:rPr>
          <w:i/>
          <w:iCs/>
          <w:color w:val="44546A" w:themeColor="text2"/>
          <w:sz w:val="18"/>
          <w:szCs w:val="18"/>
        </w:rPr>
      </w:pPr>
    </w:p>
    <w:p w14:paraId="075666E7" w14:textId="77777777" w:rsidR="009E6455" w:rsidRDefault="009E6455" w:rsidP="009E6455">
      <w:pPr>
        <w:spacing w:after="0" w:line="240" w:lineRule="auto"/>
        <w:jc w:val="both"/>
        <w:rPr>
          <w:i/>
          <w:iCs/>
          <w:color w:val="44546A" w:themeColor="text2"/>
          <w:sz w:val="18"/>
          <w:szCs w:val="18"/>
        </w:rPr>
      </w:pPr>
    </w:p>
    <w:p w14:paraId="2A7E9472" w14:textId="77777777" w:rsidR="009E6455" w:rsidRDefault="009E6455" w:rsidP="009E6455">
      <w:pPr>
        <w:spacing w:after="0" w:line="240" w:lineRule="auto"/>
        <w:jc w:val="both"/>
        <w:rPr>
          <w:i/>
          <w:iCs/>
          <w:color w:val="44546A" w:themeColor="text2"/>
          <w:sz w:val="18"/>
          <w:szCs w:val="18"/>
        </w:rPr>
      </w:pPr>
    </w:p>
    <w:p w14:paraId="697D6D29" w14:textId="18B673A1" w:rsidR="005E5DA0" w:rsidRDefault="005E5DA0" w:rsidP="009E6455">
      <w:pPr>
        <w:spacing w:after="0" w:line="240" w:lineRule="auto"/>
        <w:jc w:val="both"/>
      </w:pPr>
      <w:r>
        <w:rPr>
          <w:i/>
          <w:iCs/>
          <w:color w:val="44546A" w:themeColor="text2"/>
          <w:sz w:val="18"/>
          <w:szCs w:val="18"/>
        </w:rPr>
        <w:t>Source: National Bank of Georgia (</w:t>
      </w:r>
      <w:r w:rsidR="009E6455">
        <w:rPr>
          <w:i/>
          <w:iCs/>
          <w:color w:val="44546A" w:themeColor="text2"/>
          <w:sz w:val="18"/>
          <w:szCs w:val="18"/>
        </w:rPr>
        <w:t>NBG)</w:t>
      </w:r>
    </w:p>
    <w:p w14:paraId="5A1EC521" w14:textId="77777777" w:rsidR="005E5DA0" w:rsidRDefault="005E5DA0" w:rsidP="00153B90">
      <w:pPr>
        <w:jc w:val="both"/>
        <w:rPr>
          <w:b/>
          <w:bCs/>
        </w:rPr>
      </w:pPr>
    </w:p>
    <w:p w14:paraId="5D6092B1" w14:textId="77777777" w:rsidR="00A134FE" w:rsidRPr="00C510FB" w:rsidRDefault="00A134FE" w:rsidP="00A134FE">
      <w:pPr>
        <w:jc w:val="both"/>
        <w:rPr>
          <w:b/>
          <w:bCs/>
        </w:rPr>
      </w:pPr>
      <w:r w:rsidRPr="00C510FB">
        <w:rPr>
          <w:b/>
          <w:bCs/>
        </w:rPr>
        <w:t>Supply side</w:t>
      </w:r>
    </w:p>
    <w:p w14:paraId="5CE876E0" w14:textId="49A71AF2" w:rsidR="00A134FE" w:rsidRDefault="00A134FE" w:rsidP="00A134FE">
      <w:pPr>
        <w:jc w:val="both"/>
      </w:pPr>
      <w:r>
        <w:t>In addition to demand side factors, supply side factors also affect the affordability of housing</w:t>
      </w:r>
      <w:r w:rsidR="00755C3D">
        <w:t>.</w:t>
      </w:r>
      <w:r>
        <w:t xml:space="preserve"> Among supply side factors, we list the </w:t>
      </w:r>
      <w:r w:rsidR="003D3ACE">
        <w:t>supply of housing units</w:t>
      </w:r>
      <w:r>
        <w:t xml:space="preserve"> and other production related factors which might determine the prices on housing markets, such as the prices of inputs, including the values of purchased goods and services and cost of labo</w:t>
      </w:r>
      <w:r w:rsidR="00FA6F54">
        <w:t>r,</w:t>
      </w:r>
      <w:r w:rsidR="000A110C">
        <w:t xml:space="preserve"> and </w:t>
      </w:r>
      <w:r w:rsidR="005D0FCA" w:rsidRPr="003623D5">
        <w:t>the degree of competition in the sector</w:t>
      </w:r>
      <w:r w:rsidR="00755C3D">
        <w:t>.</w:t>
      </w:r>
      <w:r w:rsidR="005D0FCA">
        <w:t xml:space="preserve"> </w:t>
      </w:r>
      <w:r w:rsidR="00F52A31">
        <w:t>All of these factors play a role in determining final housing prices, which – in turn – are a key determinant of affordability</w:t>
      </w:r>
      <w:r w:rsidR="006407BD">
        <w:t>.</w:t>
      </w:r>
      <w:r w:rsidR="008C0488">
        <w:t xml:space="preserve"> </w:t>
      </w:r>
    </w:p>
    <w:p w14:paraId="257DBC04" w14:textId="77777777" w:rsidR="00246102" w:rsidRPr="00C510FB" w:rsidRDefault="00246102" w:rsidP="00246102">
      <w:pPr>
        <w:jc w:val="both"/>
        <w:rPr>
          <w:b/>
          <w:bCs/>
          <w:i/>
          <w:iCs/>
        </w:rPr>
      </w:pPr>
      <w:r w:rsidRPr="00C510FB">
        <w:rPr>
          <w:b/>
          <w:bCs/>
          <w:i/>
          <w:iCs/>
        </w:rPr>
        <w:t>Total supply of housing stock</w:t>
      </w:r>
    </w:p>
    <w:p w14:paraId="7E4AC88C" w14:textId="0B5C5EFC" w:rsidR="00A134FE" w:rsidRDefault="00A134FE" w:rsidP="00A134FE">
      <w:pPr>
        <w:jc w:val="both"/>
      </w:pPr>
      <w:r>
        <w:t xml:space="preserve">As, it can be seen from </w:t>
      </w:r>
      <w:r w:rsidR="00F27788" w:rsidRPr="00D74D8C">
        <w:t xml:space="preserve">Figure </w:t>
      </w:r>
      <w:r w:rsidR="006407BD" w:rsidRPr="006407BD">
        <w:t>7</w:t>
      </w:r>
      <w:r>
        <w:rPr>
          <w:rStyle w:val="FootnoteReference"/>
        </w:rPr>
        <w:footnoteReference w:id="23"/>
      </w:r>
      <w:r>
        <w:t>, the stock of housing</w:t>
      </w:r>
      <w:r w:rsidR="0071772B">
        <w:rPr>
          <w:rStyle w:val="FootnoteReference"/>
        </w:rPr>
        <w:footnoteReference w:id="24"/>
      </w:r>
      <w:r>
        <w:t xml:space="preserve"> is way bigger than the number of households in each year from 2014 to 2018</w:t>
      </w:r>
      <w:r w:rsidR="00755C3D">
        <w:t>.</w:t>
      </w:r>
      <w:r>
        <w:rPr>
          <w:rStyle w:val="FootnoteReference"/>
        </w:rPr>
        <w:footnoteReference w:id="25"/>
      </w:r>
      <w:r>
        <w:t xml:space="preserve"> Unfortunately, </w:t>
      </w:r>
      <w:r w:rsidR="00755C3D">
        <w:t xml:space="preserve">the </w:t>
      </w:r>
      <w:r>
        <w:t>data cannot be split by location (</w:t>
      </w:r>
      <w:r w:rsidR="0021680A">
        <w:t>urban</w:t>
      </w:r>
      <w:r>
        <w:t xml:space="preserve"> vs </w:t>
      </w:r>
      <w:r w:rsidR="0021680A">
        <w:t>rural</w:t>
      </w:r>
      <w:r>
        <w:t xml:space="preserve">), with the exception of 2014 year, </w:t>
      </w:r>
      <w:r w:rsidR="00B5006D">
        <w:t>for which we can use</w:t>
      </w:r>
      <w:r>
        <w:t xml:space="preserve"> the data about housing stock from </w:t>
      </w:r>
      <w:r w:rsidR="00B5006D">
        <w:t xml:space="preserve">the </w:t>
      </w:r>
      <w:r>
        <w:t>Census database</w:t>
      </w:r>
      <w:r w:rsidR="00755C3D">
        <w:t>.</w:t>
      </w:r>
    </w:p>
    <w:p w14:paraId="15FCB0C7" w14:textId="32C984C9" w:rsidR="00A134FE" w:rsidRDefault="00A134FE" w:rsidP="00A134FE">
      <w:pPr>
        <w:jc w:val="both"/>
      </w:pPr>
      <w:r>
        <w:lastRenderedPageBreak/>
        <w:t xml:space="preserve">According to the estimates for 2014, the housing stock was 617,624 in </w:t>
      </w:r>
      <w:r w:rsidR="0021680A">
        <w:t>urban</w:t>
      </w:r>
      <w:r>
        <w:t xml:space="preserve"> areas while in </w:t>
      </w:r>
      <w:r w:rsidR="0021680A">
        <w:t>rural</w:t>
      </w:r>
      <w:r>
        <w:t xml:space="preserve"> areas it was 439 548</w:t>
      </w:r>
      <w:r w:rsidR="00755C3D">
        <w:t>.</w:t>
      </w:r>
      <w:r>
        <w:t xml:space="preserve"> Comparing the data of the number of households from 2014, it can be seen there were way more houses available in </w:t>
      </w:r>
      <w:r w:rsidR="0021680A">
        <w:t>urban</w:t>
      </w:r>
      <w:r>
        <w:t xml:space="preserve"> areas then there were households, however the number of houses lagged behind the number of households in </w:t>
      </w:r>
      <w:r w:rsidR="0021680A">
        <w:t>rural</w:t>
      </w:r>
      <w:r>
        <w:t xml:space="preserve"> </w:t>
      </w:r>
      <w:r w:rsidR="005B6276">
        <w:t>a</w:t>
      </w:r>
      <w:r>
        <w:t xml:space="preserve">reas, meaning that in 2014 several households might have lived together in one house, so might have been exposed to the risk of homelessness or </w:t>
      </w:r>
      <w:r w:rsidR="00E16B70">
        <w:t>being pressed</w:t>
      </w:r>
      <w:r>
        <w:t xml:space="preserve"> to migrate to </w:t>
      </w:r>
      <w:r w:rsidR="0021680A">
        <w:t>urban</w:t>
      </w:r>
      <w:r>
        <w:t xml:space="preserve"> areas due to unavailability of houses in </w:t>
      </w:r>
      <w:r w:rsidR="0021680A">
        <w:t>rural</w:t>
      </w:r>
      <w:r>
        <w:t xml:space="preserve"> areas</w:t>
      </w:r>
      <w:r w:rsidR="00755C3D">
        <w:t>.</w:t>
      </w:r>
      <w:r>
        <w:t xml:space="preserve"> As there </w:t>
      </w:r>
      <w:r w:rsidR="0021680A">
        <w:t>urban</w:t>
      </w:r>
      <w:r>
        <w:t>/</w:t>
      </w:r>
      <w:r w:rsidR="0021680A">
        <w:t>rural</w:t>
      </w:r>
      <w:r>
        <w:t xml:space="preserve"> level data after 2014</w:t>
      </w:r>
      <w:r w:rsidR="00E16B70">
        <w:t xml:space="preserve"> are not available,</w:t>
      </w:r>
      <w:r>
        <w:t xml:space="preserve"> it is hard to analyze what the picture is right now</w:t>
      </w:r>
      <w:r w:rsidR="0071772B">
        <w:t xml:space="preserve">. </w:t>
      </w:r>
    </w:p>
    <w:p w14:paraId="1A1676F8" w14:textId="109FAFB1" w:rsidR="00A134FE" w:rsidRDefault="00A134FE" w:rsidP="00A134FE">
      <w:pPr>
        <w:pStyle w:val="Caption"/>
        <w:jc w:val="both"/>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7</w:t>
      </w:r>
      <w:r w:rsidR="00D656F6">
        <w:rPr>
          <w:noProof/>
        </w:rPr>
        <w:fldChar w:fldCharType="end"/>
      </w:r>
      <w:r>
        <w:t xml:space="preserve">: Housing </w:t>
      </w:r>
      <w:r w:rsidR="00F11557">
        <w:t>s</w:t>
      </w:r>
      <w:r>
        <w:t>tock</w:t>
      </w:r>
      <w:r w:rsidR="0071772B">
        <w:t xml:space="preserve"> (Supply from 2015, added built houses in Kutaisi, Batumi and Tbilisi) and </w:t>
      </w:r>
      <w:r w:rsidR="00F11557">
        <w:t>n</w:t>
      </w:r>
      <w:r w:rsidR="0071772B">
        <w:t xml:space="preserve">umber of </w:t>
      </w:r>
      <w:r w:rsidR="00F11557">
        <w:t>h</w:t>
      </w:r>
      <w:r w:rsidR="0071772B">
        <w:t>ouseholds</w:t>
      </w:r>
    </w:p>
    <w:p w14:paraId="6ADED62B" w14:textId="4A47BA61" w:rsidR="00A134FE" w:rsidRDefault="0071772B" w:rsidP="00A134FE">
      <w:pPr>
        <w:jc w:val="both"/>
      </w:pPr>
      <w:r>
        <w:rPr>
          <w:noProof/>
        </w:rPr>
        <w:drawing>
          <wp:inline distT="0" distB="0" distL="0" distR="0" wp14:anchorId="5A55F0BD" wp14:editId="74A11327">
            <wp:extent cx="5734050" cy="2743200"/>
            <wp:effectExtent l="0" t="0" r="0" b="0"/>
            <wp:docPr id="35" name="Chart 35">
              <a:extLst xmlns:a="http://schemas.openxmlformats.org/drawingml/2006/main">
                <a:ext uri="{FF2B5EF4-FFF2-40B4-BE49-F238E27FC236}">
                  <a16:creationId xmlns:a16="http://schemas.microsoft.com/office/drawing/2014/main" id="{00000000-0008-0000-1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1CB13CE" w14:textId="58248099" w:rsidR="00A134FE" w:rsidRDefault="00A134FE" w:rsidP="00A134FE">
      <w:pPr>
        <w:spacing w:after="0" w:line="240" w:lineRule="auto"/>
        <w:jc w:val="both"/>
      </w:pPr>
      <w:r>
        <w:rPr>
          <w:i/>
          <w:iCs/>
          <w:color w:val="44546A" w:themeColor="text2"/>
          <w:sz w:val="18"/>
          <w:szCs w:val="18"/>
        </w:rPr>
        <w:t xml:space="preserve">Source: Colliers International and </w:t>
      </w:r>
      <w:r w:rsidR="009E6455">
        <w:rPr>
          <w:i/>
          <w:iCs/>
          <w:color w:val="44546A" w:themeColor="text2"/>
          <w:sz w:val="18"/>
          <w:szCs w:val="18"/>
          <w:lang w:val="en-GB"/>
        </w:rPr>
        <w:t xml:space="preserve">National </w:t>
      </w:r>
      <w:r>
        <w:rPr>
          <w:i/>
          <w:iCs/>
          <w:color w:val="44546A" w:themeColor="text2"/>
          <w:sz w:val="18"/>
          <w:szCs w:val="18"/>
        </w:rPr>
        <w:t>Census</w:t>
      </w:r>
      <w:r w:rsidR="009E6455">
        <w:rPr>
          <w:i/>
          <w:iCs/>
          <w:color w:val="44546A" w:themeColor="text2"/>
          <w:sz w:val="18"/>
          <w:szCs w:val="18"/>
        </w:rPr>
        <w:t xml:space="preserve"> 2014</w:t>
      </w:r>
    </w:p>
    <w:p w14:paraId="66C373C4" w14:textId="77777777" w:rsidR="00A134FE" w:rsidRDefault="00A134FE" w:rsidP="00A134FE">
      <w:pPr>
        <w:jc w:val="both"/>
      </w:pPr>
    </w:p>
    <w:p w14:paraId="733D0D4E" w14:textId="77777777" w:rsidR="00A134FE" w:rsidRDefault="00A134FE" w:rsidP="00A134FE">
      <w:pPr>
        <w:jc w:val="both"/>
        <w:rPr>
          <w:b/>
          <w:bCs/>
          <w:i/>
          <w:iCs/>
        </w:rPr>
      </w:pPr>
      <w:r w:rsidRPr="00C510FB">
        <w:rPr>
          <w:b/>
          <w:bCs/>
          <w:i/>
          <w:iCs/>
        </w:rPr>
        <w:t>Input prices</w:t>
      </w:r>
    </w:p>
    <w:p w14:paraId="083457C9" w14:textId="77F7EE5B" w:rsidR="00A134FE" w:rsidRDefault="00A134FE" w:rsidP="00A134FE">
      <w:pPr>
        <w:jc w:val="both"/>
      </w:pPr>
      <w:r>
        <w:t xml:space="preserve">As it can be noticed from Figure </w:t>
      </w:r>
      <w:r w:rsidR="00E16B70">
        <w:t xml:space="preserve">8 </w:t>
      </w:r>
      <w:r>
        <w:t>below</w:t>
      </w:r>
      <w:r w:rsidR="00660277">
        <w:t>,</w:t>
      </w:r>
      <w:r>
        <w:t xml:space="preserve"> the </w:t>
      </w:r>
      <w:r w:rsidR="005C5DEA">
        <w:t>consumer price index</w:t>
      </w:r>
      <w:r w:rsidR="0049708B">
        <w:t xml:space="preserve">, measuring the general trend of prices in the country grew by approximately </w:t>
      </w:r>
      <w:r w:rsidR="00A02CAE">
        <w:t>26% between 2010 and 2018</w:t>
      </w:r>
      <w:r w:rsidR="00755C3D">
        <w:t>.</w:t>
      </w:r>
    </w:p>
    <w:p w14:paraId="513A115F" w14:textId="5B3327BD" w:rsidR="0071772B" w:rsidRDefault="00A134FE" w:rsidP="00A134FE">
      <w:pPr>
        <w:pStyle w:val="Caption"/>
        <w:jc w:val="both"/>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8</w:t>
      </w:r>
      <w:r w:rsidR="00D656F6">
        <w:rPr>
          <w:noProof/>
        </w:rPr>
        <w:fldChar w:fldCharType="end"/>
      </w:r>
      <w:r>
        <w:t>: CPI index over years (the base year 2010=100)</w:t>
      </w:r>
    </w:p>
    <w:p w14:paraId="5B18639A" w14:textId="3BB95B54" w:rsidR="00A134FE" w:rsidRDefault="00A134FE" w:rsidP="00A134FE">
      <w:pPr>
        <w:pStyle w:val="Caption"/>
        <w:jc w:val="both"/>
      </w:pPr>
      <w:r w:rsidRPr="00FD09FD">
        <w:rPr>
          <w:noProof/>
        </w:rPr>
        <w:drawing>
          <wp:inline distT="0" distB="0" distL="0" distR="0" wp14:anchorId="5B20A6BB" wp14:editId="308E96C4">
            <wp:extent cx="5772150" cy="1971675"/>
            <wp:effectExtent l="0" t="0" r="0" b="9525"/>
            <wp:docPr id="84"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9C38EE0" w14:textId="77777777" w:rsidR="005E5DA0" w:rsidRDefault="005E5DA0" w:rsidP="005E5DA0">
      <w:pPr>
        <w:spacing w:after="0" w:line="240" w:lineRule="auto"/>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w:t>
      </w:r>
    </w:p>
    <w:p w14:paraId="51B203E1" w14:textId="04D059A1" w:rsidR="00A134FE" w:rsidRDefault="00A134FE" w:rsidP="00A134FE">
      <w:pPr>
        <w:jc w:val="both"/>
      </w:pPr>
      <w:r>
        <w:lastRenderedPageBreak/>
        <w:t xml:space="preserve">Looking at imported products in construction sector (Figure </w:t>
      </w:r>
      <w:r w:rsidR="00E16B70">
        <w:t>9</w:t>
      </w:r>
      <w:r>
        <w:t xml:space="preserve">), even though, the value of imports in dollars are more or less stable, it increases in </w:t>
      </w:r>
      <w:proofErr w:type="spellStart"/>
      <w:r>
        <w:t>Lari</w:t>
      </w:r>
      <w:proofErr w:type="spellEnd"/>
      <w:r>
        <w:t xml:space="preserve"> equivalent (on average by 3%) due to exchange rate depreciation</w:t>
      </w:r>
    </w:p>
    <w:p w14:paraId="354BAF06" w14:textId="5E3CEB20" w:rsidR="00A134FE" w:rsidRDefault="00A134FE" w:rsidP="00A134FE">
      <w:pPr>
        <w:pStyle w:val="Caption"/>
        <w:jc w:val="both"/>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9</w:t>
      </w:r>
      <w:r w:rsidR="00D656F6">
        <w:rPr>
          <w:noProof/>
        </w:rPr>
        <w:fldChar w:fldCharType="end"/>
      </w:r>
      <w:r>
        <w:t xml:space="preserve">:The </w:t>
      </w:r>
      <w:r w:rsidR="00F11557">
        <w:t>v</w:t>
      </w:r>
      <w:r>
        <w:t xml:space="preserve">alue of </w:t>
      </w:r>
      <w:r w:rsidR="00F11557">
        <w:t>i</w:t>
      </w:r>
      <w:r>
        <w:t>mports in</w:t>
      </w:r>
      <w:r w:rsidR="006C7E8D">
        <w:t xml:space="preserve"> </w:t>
      </w:r>
      <w:proofErr w:type="spellStart"/>
      <w:r w:rsidR="006C7E8D">
        <w:t>mln</w:t>
      </w:r>
      <w:proofErr w:type="spellEnd"/>
      <w:r w:rsidR="006C7E8D">
        <w:t xml:space="preserve">. </w:t>
      </w:r>
      <w:r>
        <w:t>Dollar</w:t>
      </w:r>
      <w:r w:rsidR="00F11557">
        <w:t xml:space="preserve"> and </w:t>
      </w:r>
      <w:proofErr w:type="spellStart"/>
      <w:r w:rsidR="00F11557">
        <w:t>mln</w:t>
      </w:r>
      <w:proofErr w:type="spellEnd"/>
      <w:r w:rsidR="00F11557">
        <w:t>. GEL</w:t>
      </w:r>
    </w:p>
    <w:p w14:paraId="33863C51" w14:textId="77777777" w:rsidR="00A134FE" w:rsidRDefault="00A134FE" w:rsidP="00A134FE">
      <w:pPr>
        <w:jc w:val="both"/>
      </w:pPr>
      <w:r>
        <w:rPr>
          <w:noProof/>
        </w:rPr>
        <w:drawing>
          <wp:inline distT="0" distB="0" distL="0" distR="0" wp14:anchorId="0B4AF6BC" wp14:editId="69262B98">
            <wp:extent cx="5800725" cy="2647950"/>
            <wp:effectExtent l="0" t="0" r="9525" b="0"/>
            <wp:docPr id="85"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8BAA7E7" w14:textId="77777777" w:rsidR="005E5DA0" w:rsidRDefault="005E5DA0" w:rsidP="005E5DA0">
      <w:pPr>
        <w:spacing w:after="0" w:line="240" w:lineRule="auto"/>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w:t>
      </w:r>
    </w:p>
    <w:p w14:paraId="4E4CFA9F" w14:textId="77777777" w:rsidR="005E5DA0" w:rsidRDefault="005E5DA0" w:rsidP="00A134FE">
      <w:pPr>
        <w:jc w:val="both"/>
      </w:pPr>
    </w:p>
    <w:p w14:paraId="3FC4BFAD" w14:textId="49AC151C" w:rsidR="00A134FE" w:rsidRDefault="00A134FE" w:rsidP="00A134FE">
      <w:pPr>
        <w:jc w:val="both"/>
      </w:pPr>
      <w:r>
        <w:t>Despite the fact that monthly exchange rates are fluctuating over the average trend, the trend is clearly increasing (Figure</w:t>
      </w:r>
      <w:r w:rsidR="00D55177">
        <w:t xml:space="preserve"> 10</w:t>
      </w:r>
      <w:r>
        <w:t xml:space="preserve">), which indicates directly that the prices of imported construction inputs </w:t>
      </w:r>
      <w:r w:rsidR="00A76A0D">
        <w:t>are</w:t>
      </w:r>
      <w:r>
        <w:t xml:space="preserve"> increasing</w:t>
      </w:r>
      <w:r w:rsidR="00755C3D">
        <w:t>.</w:t>
      </w:r>
    </w:p>
    <w:p w14:paraId="79FA17ED" w14:textId="2F4AE1A9" w:rsidR="00A134FE" w:rsidRDefault="00A134FE" w:rsidP="00A134FE">
      <w:pPr>
        <w:pStyle w:val="Caption"/>
        <w:jc w:val="both"/>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10</w:t>
      </w:r>
      <w:r w:rsidR="00D656F6">
        <w:rPr>
          <w:noProof/>
        </w:rPr>
        <w:fldChar w:fldCharType="end"/>
      </w:r>
      <w:r>
        <w:t xml:space="preserve">: The </w:t>
      </w:r>
      <w:r w:rsidR="00F11557">
        <w:t>e</w:t>
      </w:r>
      <w:r>
        <w:t xml:space="preserve">xchange </w:t>
      </w:r>
      <w:r w:rsidR="00F11557">
        <w:t>r</w:t>
      </w:r>
      <w:r>
        <w:t xml:space="preserve">ate </w:t>
      </w:r>
      <w:r w:rsidR="00F11557">
        <w:t>d</w:t>
      </w:r>
      <w:r>
        <w:t>evelopment</w:t>
      </w:r>
      <w:r w:rsidR="00F11557">
        <w:t xml:space="preserve"> (GEL/USD)</w:t>
      </w:r>
    </w:p>
    <w:p w14:paraId="0A74D543" w14:textId="77777777" w:rsidR="00A134FE" w:rsidRDefault="00A134FE" w:rsidP="00A134FE">
      <w:pPr>
        <w:jc w:val="both"/>
      </w:pPr>
      <w:r>
        <w:rPr>
          <w:noProof/>
        </w:rPr>
        <w:drawing>
          <wp:inline distT="0" distB="0" distL="0" distR="0" wp14:anchorId="4A238044" wp14:editId="0BB1AF9A">
            <wp:extent cx="5753100" cy="2533650"/>
            <wp:effectExtent l="0" t="0" r="0" b="0"/>
            <wp:docPr id="86"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AAA4D76" w14:textId="4B1D29EC" w:rsidR="00B71553" w:rsidRPr="000429ED" w:rsidRDefault="00B71553" w:rsidP="00D74D8C">
      <w:pPr>
        <w:spacing w:after="0" w:line="240" w:lineRule="auto"/>
        <w:jc w:val="both"/>
      </w:pPr>
      <w:r>
        <w:rPr>
          <w:i/>
          <w:iCs/>
          <w:color w:val="44546A" w:themeColor="text2"/>
          <w:sz w:val="18"/>
          <w:szCs w:val="18"/>
        </w:rPr>
        <w:t xml:space="preserve">Source: National Bank of Georgia </w:t>
      </w:r>
      <w:r w:rsidR="009E6455">
        <w:rPr>
          <w:i/>
          <w:iCs/>
          <w:color w:val="44546A" w:themeColor="text2"/>
          <w:sz w:val="18"/>
          <w:szCs w:val="18"/>
        </w:rPr>
        <w:t>(NBG)</w:t>
      </w:r>
    </w:p>
    <w:p w14:paraId="0DC51F5D" w14:textId="77777777" w:rsidR="00E16B70" w:rsidRDefault="00E16B70">
      <w:r>
        <w:br w:type="page"/>
      </w:r>
    </w:p>
    <w:p w14:paraId="3F26300D" w14:textId="334686C7" w:rsidR="00A134FE" w:rsidRDefault="001467CC" w:rsidP="00A134FE">
      <w:pPr>
        <w:jc w:val="both"/>
      </w:pPr>
      <w:r>
        <w:lastRenderedPageBreak/>
        <w:t>Moreover, average monthly remuneration of employees in construction</w:t>
      </w:r>
      <w:r w:rsidR="00A134FE">
        <w:t xml:space="preserve"> </w:t>
      </w:r>
      <w:r w:rsidR="000105AD">
        <w:t>ha</w:t>
      </w:r>
      <w:r w:rsidR="00B0423B">
        <w:t>s</w:t>
      </w:r>
      <w:r w:rsidR="000105AD">
        <w:t xml:space="preserve"> been</w:t>
      </w:r>
      <w:r w:rsidR="00A134FE">
        <w:t xml:space="preserve"> </w:t>
      </w:r>
      <w:r w:rsidR="000105AD">
        <w:t xml:space="preserve">also </w:t>
      </w:r>
      <w:r w:rsidR="00A134FE">
        <w:t xml:space="preserve">increasing over years </w:t>
      </w:r>
      <w:r w:rsidR="00B0423B">
        <w:t xml:space="preserve">in nominal values </w:t>
      </w:r>
      <w:r w:rsidR="00A134FE">
        <w:t xml:space="preserve">(Figure </w:t>
      </w:r>
      <w:r w:rsidR="00D55177">
        <w:t>11</w:t>
      </w:r>
      <w:r w:rsidR="00A134FE">
        <w:t>)</w:t>
      </w:r>
      <w:r w:rsidR="00B0423B">
        <w:t>.</w:t>
      </w:r>
      <w:r w:rsidR="00A134FE">
        <w:t xml:space="preserve"> Particularly, the </w:t>
      </w:r>
      <w:r w:rsidR="00B0423B">
        <w:t xml:space="preserve">average monthly remuneration rate </w:t>
      </w:r>
      <w:r w:rsidR="00A134FE">
        <w:t>increase</w:t>
      </w:r>
      <w:r w:rsidR="00B0423B">
        <w:t>s</w:t>
      </w:r>
      <w:r w:rsidR="00A134FE">
        <w:t xml:space="preserve"> on average by </w:t>
      </w:r>
      <w:r w:rsidR="00B0423B">
        <w:t>11</w:t>
      </w:r>
      <w:r w:rsidR="00A134FE">
        <w:t>% over 2007-2018 period</w:t>
      </w:r>
      <w:r w:rsidR="00B0423B">
        <w:t>.</w:t>
      </w:r>
    </w:p>
    <w:p w14:paraId="370E2BDB" w14:textId="113534DE" w:rsidR="00A134FE" w:rsidRDefault="001E3C41" w:rsidP="00D74D8C">
      <w:pPr>
        <w:pStyle w:val="Caption"/>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11</w:t>
      </w:r>
      <w:r w:rsidR="00D656F6">
        <w:rPr>
          <w:noProof/>
        </w:rPr>
        <w:fldChar w:fldCharType="end"/>
      </w:r>
      <w:r>
        <w:t xml:space="preserve"> </w:t>
      </w:r>
      <w:r w:rsidR="00A134FE" w:rsidRPr="001E3C41">
        <w:t xml:space="preserve">: </w:t>
      </w:r>
      <w:r w:rsidR="00AA46F9">
        <w:t xml:space="preserve">Average </w:t>
      </w:r>
      <w:r w:rsidR="00F11557">
        <w:t>m</w:t>
      </w:r>
      <w:r w:rsidR="00AA46F9">
        <w:t xml:space="preserve">onthly </w:t>
      </w:r>
      <w:r w:rsidR="00F11557">
        <w:t>r</w:t>
      </w:r>
      <w:r w:rsidR="00AA46F9">
        <w:t xml:space="preserve">emuneration of </w:t>
      </w:r>
      <w:r w:rsidR="00F11557">
        <w:t>e</w:t>
      </w:r>
      <w:r w:rsidR="00AA46F9">
        <w:t xml:space="preserve">mployees in </w:t>
      </w:r>
      <w:r w:rsidR="00F11557">
        <w:t>c</w:t>
      </w:r>
      <w:r w:rsidR="00AA46F9">
        <w:t>onstruction (Gel)</w:t>
      </w:r>
    </w:p>
    <w:p w14:paraId="35B52ED3" w14:textId="669F89B5" w:rsidR="00A134FE" w:rsidRDefault="00AA46F9" w:rsidP="00AA46F9">
      <w:r>
        <w:rPr>
          <w:noProof/>
        </w:rPr>
        <w:drawing>
          <wp:inline distT="0" distB="0" distL="0" distR="0" wp14:anchorId="7F699E38" wp14:editId="3E479712">
            <wp:extent cx="5648325" cy="2686050"/>
            <wp:effectExtent l="0" t="0" r="9525" b="0"/>
            <wp:docPr id="41" name="Chart 41">
              <a:extLst xmlns:a="http://schemas.openxmlformats.org/drawingml/2006/main">
                <a:ext uri="{FF2B5EF4-FFF2-40B4-BE49-F238E27FC236}">
                  <a16:creationId xmlns:a16="http://schemas.microsoft.com/office/drawing/2014/main" id="{9717FFAC-C64E-46D1-A384-14792A5F61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4EBCEDB" w14:textId="3907D7F4" w:rsidR="005E5DA0" w:rsidRDefault="005E5DA0" w:rsidP="00610046">
      <w:pPr>
        <w:spacing w:after="0" w:line="240" w:lineRule="auto"/>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w:t>
      </w:r>
    </w:p>
    <w:p w14:paraId="7CF46C4D" w14:textId="77777777" w:rsidR="00610046" w:rsidRPr="00610046" w:rsidRDefault="00610046" w:rsidP="00610046">
      <w:pPr>
        <w:spacing w:after="0" w:line="240" w:lineRule="auto"/>
        <w:jc w:val="both"/>
        <w:rPr>
          <w:i/>
          <w:iCs/>
          <w:color w:val="44546A" w:themeColor="text2"/>
          <w:sz w:val="18"/>
          <w:szCs w:val="18"/>
        </w:rPr>
      </w:pPr>
    </w:p>
    <w:p w14:paraId="72CF952E" w14:textId="5FF4EBC2" w:rsidR="00A134FE" w:rsidRDefault="00F17745" w:rsidP="00A134FE">
      <w:pPr>
        <w:jc w:val="both"/>
      </w:pPr>
      <w:r>
        <w:t>Also</w:t>
      </w:r>
      <w:r w:rsidR="00A134FE">
        <w:t xml:space="preserve"> land prices </w:t>
      </w:r>
      <w:r>
        <w:t>can clearly affect</w:t>
      </w:r>
      <w:r w:rsidR="00A134FE">
        <w:t xml:space="preserve"> construction prices</w:t>
      </w:r>
      <w:r w:rsidR="00755C3D">
        <w:t xml:space="preserve">. </w:t>
      </w:r>
      <w:r w:rsidR="00A134FE">
        <w:t xml:space="preserve">Looking at land prices in two big cities Tbilisi and </w:t>
      </w:r>
      <w:r w:rsidR="00470F92">
        <w:t>Kutaisi</w:t>
      </w:r>
      <w:r w:rsidR="00755C3D">
        <w:t xml:space="preserve"> (Figure 12)</w:t>
      </w:r>
      <w:r>
        <w:t>, we can see that prices slightly</w:t>
      </w:r>
      <w:r w:rsidR="00A134FE">
        <w:t xml:space="preserve"> increase</w:t>
      </w:r>
      <w:r>
        <w:t>d</w:t>
      </w:r>
      <w:r w:rsidR="00A134FE">
        <w:t xml:space="preserve"> </w:t>
      </w:r>
      <w:r w:rsidR="00470F92">
        <w:t>in both cities over the last years, with Kutaisi land prices showing the largest volatility</w:t>
      </w:r>
      <w:r w:rsidR="00755C3D">
        <w:t>.</w:t>
      </w:r>
    </w:p>
    <w:p w14:paraId="4AC33C31" w14:textId="2A6ACBB6" w:rsidR="00A134FE" w:rsidRDefault="00D73169" w:rsidP="00A134FE">
      <w:pPr>
        <w:pStyle w:val="Caption"/>
        <w:jc w:val="both"/>
      </w:pPr>
      <w:r>
        <w:rPr>
          <w:noProof/>
        </w:rPr>
        <w:drawing>
          <wp:anchor distT="0" distB="0" distL="114300" distR="114300" simplePos="0" relativeHeight="251716608" behindDoc="1" locked="0" layoutInCell="1" allowOverlap="1" wp14:anchorId="75AA80DA" wp14:editId="4D4F2F64">
            <wp:simplePos x="0" y="0"/>
            <wp:positionH relativeFrom="margin">
              <wp:align>left</wp:align>
            </wp:positionH>
            <wp:positionV relativeFrom="paragraph">
              <wp:posOffset>266700</wp:posOffset>
            </wp:positionV>
            <wp:extent cx="2809875" cy="2266950"/>
            <wp:effectExtent l="0" t="0" r="9525" b="0"/>
            <wp:wrapNone/>
            <wp:docPr id="89"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A134FE">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12</w:t>
      </w:r>
      <w:r w:rsidR="00D656F6">
        <w:rPr>
          <w:noProof/>
        </w:rPr>
        <w:fldChar w:fldCharType="end"/>
      </w:r>
      <w:r w:rsidR="00A134FE">
        <w:t xml:space="preserve">: </w:t>
      </w:r>
      <w:r w:rsidR="00A134FE" w:rsidRPr="00AF2BC1">
        <w:t>Weig</w:t>
      </w:r>
      <w:r w:rsidR="00A134FE">
        <w:t xml:space="preserve">hted </w:t>
      </w:r>
      <w:r w:rsidR="00F11557">
        <w:t>a</w:t>
      </w:r>
      <w:r w:rsidR="00A134FE">
        <w:t xml:space="preserve">verage </w:t>
      </w:r>
      <w:r w:rsidR="00F11557">
        <w:t>s</w:t>
      </w:r>
      <w:r w:rsidR="00A134FE">
        <w:t xml:space="preserve">elling </w:t>
      </w:r>
      <w:r w:rsidR="00F11557">
        <w:t>p</w:t>
      </w:r>
      <w:r w:rsidR="00A134FE">
        <w:t xml:space="preserve">rices on </w:t>
      </w:r>
      <w:r w:rsidR="00F11557">
        <w:t>d</w:t>
      </w:r>
      <w:r w:rsidR="00A134FE" w:rsidRPr="00AF2BC1">
        <w:t xml:space="preserve">evelopment </w:t>
      </w:r>
      <w:r w:rsidR="00F11557">
        <w:t>l</w:t>
      </w:r>
      <w:r w:rsidR="00A134FE" w:rsidRPr="00AF2BC1">
        <w:t>ands</w:t>
      </w:r>
      <w:r w:rsidR="00A134FE">
        <w:t xml:space="preserve"> in Tbilisi</w:t>
      </w:r>
      <w:r>
        <w:t xml:space="preserve"> (right</w:t>
      </w:r>
      <w:r w:rsidR="009E6455">
        <w:t xml:space="preserve"> hand side</w:t>
      </w:r>
      <w:r>
        <w:t>) and Kutaisi (left hand side)</w:t>
      </w:r>
      <w:r w:rsidR="001E3C41">
        <w:t xml:space="preserve"> (USD</w:t>
      </w:r>
      <w:r w:rsidR="00F11557">
        <w:t>/m</w:t>
      </w:r>
      <w:r w:rsidR="00F11557">
        <w:rPr>
          <w:vertAlign w:val="superscript"/>
        </w:rPr>
        <w:t>2</w:t>
      </w:r>
      <w:r w:rsidR="001E3C41">
        <w:t>)</w:t>
      </w:r>
    </w:p>
    <w:p w14:paraId="3EE8F925" w14:textId="13DBA3A8" w:rsidR="00A134FE" w:rsidRDefault="00D73169" w:rsidP="00A134FE">
      <w:pPr>
        <w:jc w:val="both"/>
      </w:pPr>
      <w:r>
        <w:rPr>
          <w:noProof/>
        </w:rPr>
        <w:drawing>
          <wp:anchor distT="0" distB="0" distL="114300" distR="114300" simplePos="0" relativeHeight="251717632" behindDoc="1" locked="0" layoutInCell="1" allowOverlap="1" wp14:anchorId="5C04D1D3" wp14:editId="73FADBBD">
            <wp:simplePos x="0" y="0"/>
            <wp:positionH relativeFrom="margin">
              <wp:align>right</wp:align>
            </wp:positionH>
            <wp:positionV relativeFrom="paragraph">
              <wp:posOffset>9525</wp:posOffset>
            </wp:positionV>
            <wp:extent cx="2847975" cy="2247900"/>
            <wp:effectExtent l="0" t="0" r="9525" b="0"/>
            <wp:wrapNone/>
            <wp:docPr id="90"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037C745A" w14:textId="77777777" w:rsidR="00D73169" w:rsidRDefault="00D73169" w:rsidP="00E00431">
      <w:pPr>
        <w:spacing w:after="0" w:line="240" w:lineRule="auto"/>
        <w:jc w:val="both"/>
        <w:rPr>
          <w:i/>
          <w:iCs/>
          <w:color w:val="44546A" w:themeColor="text2"/>
          <w:sz w:val="18"/>
          <w:szCs w:val="18"/>
        </w:rPr>
      </w:pPr>
    </w:p>
    <w:p w14:paraId="588848B5" w14:textId="77777777" w:rsidR="00D73169" w:rsidRDefault="00D73169" w:rsidP="00E00431">
      <w:pPr>
        <w:spacing w:after="0" w:line="240" w:lineRule="auto"/>
        <w:jc w:val="both"/>
        <w:rPr>
          <w:i/>
          <w:iCs/>
          <w:color w:val="44546A" w:themeColor="text2"/>
          <w:sz w:val="18"/>
          <w:szCs w:val="18"/>
        </w:rPr>
      </w:pPr>
    </w:p>
    <w:p w14:paraId="7F5A2171" w14:textId="77777777" w:rsidR="00D73169" w:rsidRDefault="00D73169" w:rsidP="00E00431">
      <w:pPr>
        <w:spacing w:after="0" w:line="240" w:lineRule="auto"/>
        <w:jc w:val="both"/>
        <w:rPr>
          <w:i/>
          <w:iCs/>
          <w:color w:val="44546A" w:themeColor="text2"/>
          <w:sz w:val="18"/>
          <w:szCs w:val="18"/>
        </w:rPr>
      </w:pPr>
    </w:p>
    <w:p w14:paraId="3FC1D626" w14:textId="77777777" w:rsidR="00D73169" w:rsidRDefault="00D73169" w:rsidP="00E00431">
      <w:pPr>
        <w:spacing w:after="0" w:line="240" w:lineRule="auto"/>
        <w:jc w:val="both"/>
        <w:rPr>
          <w:i/>
          <w:iCs/>
          <w:color w:val="44546A" w:themeColor="text2"/>
          <w:sz w:val="18"/>
          <w:szCs w:val="18"/>
        </w:rPr>
      </w:pPr>
    </w:p>
    <w:p w14:paraId="0A415171" w14:textId="77777777" w:rsidR="00D73169" w:rsidRDefault="00D73169" w:rsidP="00E00431">
      <w:pPr>
        <w:spacing w:after="0" w:line="240" w:lineRule="auto"/>
        <w:jc w:val="both"/>
        <w:rPr>
          <w:i/>
          <w:iCs/>
          <w:color w:val="44546A" w:themeColor="text2"/>
          <w:sz w:val="18"/>
          <w:szCs w:val="18"/>
        </w:rPr>
      </w:pPr>
    </w:p>
    <w:p w14:paraId="06DE032B" w14:textId="77777777" w:rsidR="00D73169" w:rsidRDefault="00D73169" w:rsidP="00E00431">
      <w:pPr>
        <w:spacing w:after="0" w:line="240" w:lineRule="auto"/>
        <w:jc w:val="both"/>
        <w:rPr>
          <w:i/>
          <w:iCs/>
          <w:color w:val="44546A" w:themeColor="text2"/>
          <w:sz w:val="18"/>
          <w:szCs w:val="18"/>
        </w:rPr>
      </w:pPr>
    </w:p>
    <w:p w14:paraId="0E2C350F" w14:textId="77777777" w:rsidR="00D73169" w:rsidRDefault="00D73169" w:rsidP="00E00431">
      <w:pPr>
        <w:spacing w:after="0" w:line="240" w:lineRule="auto"/>
        <w:jc w:val="both"/>
        <w:rPr>
          <w:i/>
          <w:iCs/>
          <w:color w:val="44546A" w:themeColor="text2"/>
          <w:sz w:val="18"/>
          <w:szCs w:val="18"/>
        </w:rPr>
      </w:pPr>
    </w:p>
    <w:p w14:paraId="50FC28E9" w14:textId="77777777" w:rsidR="00D73169" w:rsidRDefault="00D73169" w:rsidP="00E00431">
      <w:pPr>
        <w:spacing w:after="0" w:line="240" w:lineRule="auto"/>
        <w:jc w:val="both"/>
        <w:rPr>
          <w:i/>
          <w:iCs/>
          <w:color w:val="44546A" w:themeColor="text2"/>
          <w:sz w:val="18"/>
          <w:szCs w:val="18"/>
        </w:rPr>
      </w:pPr>
    </w:p>
    <w:p w14:paraId="74BA4FC7" w14:textId="77777777" w:rsidR="00D73169" w:rsidRDefault="00D73169" w:rsidP="00E00431">
      <w:pPr>
        <w:spacing w:after="0" w:line="240" w:lineRule="auto"/>
        <w:jc w:val="both"/>
        <w:rPr>
          <w:i/>
          <w:iCs/>
          <w:color w:val="44546A" w:themeColor="text2"/>
          <w:sz w:val="18"/>
          <w:szCs w:val="18"/>
        </w:rPr>
      </w:pPr>
    </w:p>
    <w:p w14:paraId="2A937D08" w14:textId="77777777" w:rsidR="00D73169" w:rsidRDefault="00D73169" w:rsidP="00E00431">
      <w:pPr>
        <w:spacing w:after="0" w:line="240" w:lineRule="auto"/>
        <w:jc w:val="both"/>
        <w:rPr>
          <w:i/>
          <w:iCs/>
          <w:color w:val="44546A" w:themeColor="text2"/>
          <w:sz w:val="18"/>
          <w:szCs w:val="18"/>
        </w:rPr>
      </w:pPr>
    </w:p>
    <w:p w14:paraId="77305992" w14:textId="77777777" w:rsidR="00D73169" w:rsidRDefault="00D73169" w:rsidP="00E00431">
      <w:pPr>
        <w:spacing w:after="0" w:line="240" w:lineRule="auto"/>
        <w:jc w:val="both"/>
        <w:rPr>
          <w:i/>
          <w:iCs/>
          <w:color w:val="44546A" w:themeColor="text2"/>
          <w:sz w:val="18"/>
          <w:szCs w:val="18"/>
        </w:rPr>
      </w:pPr>
    </w:p>
    <w:p w14:paraId="14E922B0" w14:textId="77777777" w:rsidR="00D73169" w:rsidRDefault="00D73169" w:rsidP="00E00431">
      <w:pPr>
        <w:spacing w:after="0" w:line="240" w:lineRule="auto"/>
        <w:jc w:val="both"/>
        <w:rPr>
          <w:i/>
          <w:iCs/>
          <w:color w:val="44546A" w:themeColor="text2"/>
          <w:sz w:val="18"/>
          <w:szCs w:val="18"/>
        </w:rPr>
      </w:pPr>
    </w:p>
    <w:p w14:paraId="4EE47C19" w14:textId="77777777" w:rsidR="00D73169" w:rsidRDefault="00D73169" w:rsidP="00E00431">
      <w:pPr>
        <w:spacing w:after="0" w:line="240" w:lineRule="auto"/>
        <w:jc w:val="both"/>
        <w:rPr>
          <w:i/>
          <w:iCs/>
          <w:color w:val="44546A" w:themeColor="text2"/>
          <w:sz w:val="18"/>
          <w:szCs w:val="18"/>
        </w:rPr>
      </w:pPr>
    </w:p>
    <w:p w14:paraId="2E79B3D5" w14:textId="59DF3AE6" w:rsidR="00D73169" w:rsidRDefault="00D73169" w:rsidP="00D74D8C">
      <w:pPr>
        <w:tabs>
          <w:tab w:val="left" w:pos="2370"/>
          <w:tab w:val="left" w:pos="5145"/>
        </w:tabs>
        <w:spacing w:after="0" w:line="240" w:lineRule="auto"/>
        <w:jc w:val="both"/>
        <w:rPr>
          <w:i/>
          <w:iCs/>
          <w:color w:val="44546A" w:themeColor="text2"/>
          <w:sz w:val="18"/>
          <w:szCs w:val="18"/>
        </w:rPr>
      </w:pPr>
      <w:r>
        <w:rPr>
          <w:i/>
          <w:iCs/>
          <w:color w:val="44546A" w:themeColor="text2"/>
          <w:sz w:val="18"/>
          <w:szCs w:val="18"/>
        </w:rPr>
        <w:tab/>
      </w:r>
      <w:r>
        <w:rPr>
          <w:i/>
          <w:iCs/>
          <w:color w:val="44546A" w:themeColor="text2"/>
          <w:sz w:val="18"/>
          <w:szCs w:val="18"/>
        </w:rPr>
        <w:tab/>
      </w:r>
    </w:p>
    <w:p w14:paraId="63E37500" w14:textId="77777777" w:rsidR="00D73169" w:rsidRDefault="00D73169" w:rsidP="00E00431">
      <w:pPr>
        <w:spacing w:after="0" w:line="240" w:lineRule="auto"/>
        <w:jc w:val="both"/>
        <w:rPr>
          <w:i/>
          <w:iCs/>
          <w:color w:val="44546A" w:themeColor="text2"/>
          <w:sz w:val="18"/>
          <w:szCs w:val="18"/>
        </w:rPr>
      </w:pPr>
    </w:p>
    <w:p w14:paraId="13DE9243" w14:textId="237D693C" w:rsidR="00D73169" w:rsidRDefault="00E00431" w:rsidP="00610046">
      <w:pPr>
        <w:spacing w:after="0" w:line="240" w:lineRule="auto"/>
        <w:jc w:val="both"/>
        <w:rPr>
          <w:i/>
          <w:iCs/>
          <w:color w:val="44546A" w:themeColor="text2"/>
          <w:sz w:val="18"/>
          <w:szCs w:val="18"/>
        </w:rPr>
      </w:pPr>
      <w:r>
        <w:rPr>
          <w:i/>
          <w:iCs/>
          <w:color w:val="44546A" w:themeColor="text2"/>
          <w:sz w:val="18"/>
          <w:szCs w:val="18"/>
        </w:rPr>
        <w:t>Source: Colliers International</w:t>
      </w:r>
    </w:p>
    <w:p w14:paraId="1D3ADC0B" w14:textId="77777777" w:rsidR="00755C3D" w:rsidRDefault="00755C3D" w:rsidP="00610046">
      <w:pPr>
        <w:spacing w:after="0" w:line="240" w:lineRule="auto"/>
        <w:jc w:val="both"/>
      </w:pPr>
    </w:p>
    <w:p w14:paraId="6B4042AA" w14:textId="46E81970" w:rsidR="009C67C6" w:rsidRDefault="00755C3D" w:rsidP="00976D0B">
      <w:pPr>
        <w:jc w:val="both"/>
        <w:rPr>
          <w:rFonts w:cstheme="minorHAnsi"/>
        </w:rPr>
      </w:pPr>
      <w:r>
        <w:t>I</w:t>
      </w:r>
      <w:r w:rsidR="009C67C6">
        <w:t xml:space="preserve">n some </w:t>
      </w:r>
      <w:r w:rsidR="00003638">
        <w:t>cases,</w:t>
      </w:r>
      <w:r w:rsidR="009C67C6">
        <w:t xml:space="preserve"> the increased input and land prices should be reflected into increased selling prices in primary markets</w:t>
      </w:r>
      <w:r w:rsidR="00035B45">
        <w:t>. H</w:t>
      </w:r>
      <w:r w:rsidR="009C67C6">
        <w:t xml:space="preserve">owever, as it can be seen </w:t>
      </w:r>
      <w:r w:rsidR="00035B45">
        <w:t>below</w:t>
      </w:r>
      <w:r w:rsidR="009C67C6">
        <w:t xml:space="preserve">, the selling prices on primary markets in every big city were more or less stable over </w:t>
      </w:r>
      <w:r w:rsidR="00035B45">
        <w:t xml:space="preserve">the </w:t>
      </w:r>
      <w:r w:rsidR="009C67C6">
        <w:t xml:space="preserve">2012- 2017 period, meaning that the margins of the construction </w:t>
      </w:r>
      <w:r w:rsidR="009C67C6">
        <w:lastRenderedPageBreak/>
        <w:t xml:space="preserve">companies might </w:t>
      </w:r>
      <w:r w:rsidR="00246368">
        <w:t xml:space="preserve">have </w:t>
      </w:r>
      <w:r w:rsidR="009C67C6">
        <w:t>be</w:t>
      </w:r>
      <w:r w:rsidR="00246368">
        <w:t>en</w:t>
      </w:r>
      <w:r w:rsidR="009C67C6">
        <w:t xml:space="preserve"> squeezed in order to adjust the demand on housing market considering affordability issues of the consumers</w:t>
      </w:r>
      <w:r w:rsidR="00E00431">
        <w:t>.</w:t>
      </w:r>
      <w:r w:rsidR="009C67C6">
        <w:t xml:space="preserve"> Yet, increased prices on production factors </w:t>
      </w:r>
      <w:r w:rsidR="00246368">
        <w:t>are likely to be sooner or later</w:t>
      </w:r>
      <w:r w:rsidR="009C67C6">
        <w:t xml:space="preserve"> reflected in the selling prices on the new flats</w:t>
      </w:r>
      <w:r>
        <w:t>.</w:t>
      </w:r>
      <w:r w:rsidR="009C67C6">
        <w:t xml:space="preserve">  </w:t>
      </w:r>
    </w:p>
    <w:p w14:paraId="108BAF4B" w14:textId="77777777" w:rsidR="00353859" w:rsidRPr="006066AB" w:rsidRDefault="00353859" w:rsidP="00353859">
      <w:pPr>
        <w:jc w:val="both"/>
        <w:rPr>
          <w:b/>
          <w:bCs/>
        </w:rPr>
      </w:pPr>
      <w:r w:rsidRPr="006066AB">
        <w:rPr>
          <w:b/>
          <w:bCs/>
        </w:rPr>
        <w:t>Sale and rental prices</w:t>
      </w:r>
    </w:p>
    <w:p w14:paraId="4781178E" w14:textId="6CA229D8" w:rsidR="00353859" w:rsidRDefault="00353859" w:rsidP="00353859">
      <w:pPr>
        <w:jc w:val="both"/>
      </w:pPr>
      <w:r>
        <w:t>Final housing prices, and rent</w:t>
      </w:r>
      <w:r w:rsidR="00A50C6C">
        <w:t xml:space="preserve">s, </w:t>
      </w:r>
      <w:r>
        <w:t xml:space="preserve">are </w:t>
      </w:r>
      <w:r w:rsidR="00A50C6C">
        <w:t xml:space="preserve">– together with household incomes, </w:t>
      </w:r>
      <w:r>
        <w:t>a key determinant of affordability</w:t>
      </w:r>
      <w:r w:rsidR="00A50C6C">
        <w:t xml:space="preserve"> of housing</w:t>
      </w:r>
      <w:r w:rsidR="00755C3D">
        <w:t>.</w:t>
      </w:r>
      <w:r>
        <w:t xml:space="preserve"> </w:t>
      </w:r>
    </w:p>
    <w:p w14:paraId="59D095DA" w14:textId="5124B5E1" w:rsidR="00353859" w:rsidRDefault="00353859" w:rsidP="00353859">
      <w:pPr>
        <w:jc w:val="both"/>
      </w:pPr>
      <w:r>
        <w:t xml:space="preserve">Looking at the average selling and renting prices of residential buildings in Georgia, it can be easily noticed that the prices have not been changing dramatically over the 6-year period between 2012-2017 Figure </w:t>
      </w:r>
      <w:r w:rsidR="00B815AB">
        <w:t>1</w:t>
      </w:r>
      <w:r w:rsidR="00020CC1">
        <w:rPr>
          <w:lang w:val="ka-GE"/>
        </w:rPr>
        <w:t>3</w:t>
      </w:r>
      <w:r w:rsidR="00755C3D">
        <w:t xml:space="preserve"> shows that </w:t>
      </w:r>
      <w:r>
        <w:t>selling prices of residential houses on both primary and secondary markets have been declining in Tbilisi</w:t>
      </w:r>
      <w:r w:rsidR="00D76E58">
        <w:t>.</w:t>
      </w:r>
      <w:r>
        <w:t xml:space="preserve"> In Batumi, the average weighted selling price has been increasing in the secondary market, while in the primary market it has remained relatively stable over years</w:t>
      </w:r>
      <w:r w:rsidR="00D73169">
        <w:t xml:space="preserve"> (Fi</w:t>
      </w:r>
      <w:r w:rsidR="00A2053D">
        <w:t>gure 14</w:t>
      </w:r>
      <w:r w:rsidR="00D73169">
        <w:t xml:space="preserve">). </w:t>
      </w:r>
      <w:r>
        <w:t>The selling prices for residential buildings in Kutaisi have also remained more or less stable (showing just a slight decline in the secondary market) over the observation period</w:t>
      </w:r>
      <w:r w:rsidR="00D73169">
        <w:t xml:space="preserve"> (F</w:t>
      </w:r>
      <w:r w:rsidR="00A2053D">
        <w:t>igure 15</w:t>
      </w:r>
      <w:r w:rsidR="00D73169">
        <w:t>).</w:t>
      </w:r>
    </w:p>
    <w:p w14:paraId="3211C295" w14:textId="56806528" w:rsidR="00353859" w:rsidRPr="00F11557" w:rsidRDefault="00D73169" w:rsidP="00B815AB">
      <w:pPr>
        <w:pStyle w:val="Caption"/>
        <w:keepNext/>
      </w:pPr>
      <w:r>
        <w:rPr>
          <w:noProof/>
        </w:rPr>
        <w:drawing>
          <wp:anchor distT="0" distB="0" distL="114300" distR="114300" simplePos="0" relativeHeight="251711488" behindDoc="1" locked="0" layoutInCell="1" allowOverlap="1" wp14:anchorId="333F6F4A" wp14:editId="10808A8D">
            <wp:simplePos x="0" y="0"/>
            <wp:positionH relativeFrom="margin">
              <wp:posOffset>2771775</wp:posOffset>
            </wp:positionH>
            <wp:positionV relativeFrom="paragraph">
              <wp:posOffset>261620</wp:posOffset>
            </wp:positionV>
            <wp:extent cx="2800350" cy="1781175"/>
            <wp:effectExtent l="0" t="0" r="0" b="9525"/>
            <wp:wrapNone/>
            <wp:docPr id="49"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D76E58">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13</w:t>
      </w:r>
      <w:r w:rsidR="006C3BD6">
        <w:rPr>
          <w:noProof/>
        </w:rPr>
        <w:fldChar w:fldCharType="end"/>
      </w:r>
      <w:r w:rsidR="00353859">
        <w:t xml:space="preserve">: Tbilisi </w:t>
      </w:r>
      <w:r w:rsidR="00F11557">
        <w:t>w</w:t>
      </w:r>
      <w:r w:rsidR="00353859">
        <w:t xml:space="preserve">eighted </w:t>
      </w:r>
      <w:r w:rsidR="00F11557">
        <w:t>average s</w:t>
      </w:r>
      <w:r w:rsidR="00353859">
        <w:t xml:space="preserve">elling </w:t>
      </w:r>
      <w:r w:rsidR="00F11557">
        <w:t>p</w:t>
      </w:r>
      <w:r w:rsidR="00353859">
        <w:t>rices (USD/m</w:t>
      </w:r>
      <w:r w:rsidR="00353859" w:rsidRPr="00C510FB">
        <w:rPr>
          <w:vertAlign w:val="superscript"/>
        </w:rPr>
        <w:t>2</w:t>
      </w:r>
      <w:r w:rsidR="00353859">
        <w:t xml:space="preserve">)     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14</w:t>
      </w:r>
      <w:r w:rsidR="006C3BD6">
        <w:rPr>
          <w:noProof/>
        </w:rPr>
        <w:fldChar w:fldCharType="end"/>
      </w:r>
      <w:r w:rsidR="00353859">
        <w:t xml:space="preserve">: Batumi </w:t>
      </w:r>
      <w:r w:rsidR="00F11557">
        <w:t>weighted average selling prices (USD/m</w:t>
      </w:r>
      <w:r w:rsidR="00F11557" w:rsidRPr="00C510FB">
        <w:rPr>
          <w:vertAlign w:val="superscript"/>
        </w:rPr>
        <w:t>2</w:t>
      </w:r>
      <w:r w:rsidR="00F11557">
        <w:t>)</w:t>
      </w:r>
    </w:p>
    <w:p w14:paraId="6E62A7AA" w14:textId="03BF6327" w:rsidR="00353859" w:rsidRDefault="00D73169" w:rsidP="00353859">
      <w:pPr>
        <w:jc w:val="both"/>
      </w:pPr>
      <w:r w:rsidRPr="00FD09FD">
        <w:rPr>
          <w:noProof/>
        </w:rPr>
        <w:drawing>
          <wp:anchor distT="0" distB="0" distL="114300" distR="114300" simplePos="0" relativeHeight="251710464" behindDoc="1" locked="0" layoutInCell="1" allowOverlap="1" wp14:anchorId="6C9F93F8" wp14:editId="63A17857">
            <wp:simplePos x="0" y="0"/>
            <wp:positionH relativeFrom="margin">
              <wp:align>left</wp:align>
            </wp:positionH>
            <wp:positionV relativeFrom="paragraph">
              <wp:posOffset>9525</wp:posOffset>
            </wp:positionV>
            <wp:extent cx="2752725" cy="1762125"/>
            <wp:effectExtent l="0" t="0" r="9525" b="9525"/>
            <wp:wrapNone/>
            <wp:docPr id="3"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59C72748" w14:textId="431F928D" w:rsidR="00353859" w:rsidRDefault="00353859" w:rsidP="00353859">
      <w:pPr>
        <w:jc w:val="both"/>
      </w:pPr>
    </w:p>
    <w:p w14:paraId="483ADF2E" w14:textId="7C4B293D" w:rsidR="00353859" w:rsidRDefault="00353859" w:rsidP="00353859">
      <w:pPr>
        <w:jc w:val="both"/>
      </w:pPr>
    </w:p>
    <w:p w14:paraId="1590C261" w14:textId="77777777" w:rsidR="00353859" w:rsidRDefault="00353859" w:rsidP="00353859">
      <w:pPr>
        <w:jc w:val="both"/>
        <w:rPr>
          <w:i/>
          <w:iCs/>
          <w:color w:val="44546A" w:themeColor="text2"/>
          <w:sz w:val="18"/>
          <w:szCs w:val="18"/>
        </w:rPr>
      </w:pPr>
      <w:r>
        <w:tab/>
      </w:r>
    </w:p>
    <w:p w14:paraId="465917A8" w14:textId="77777777" w:rsidR="00D73169" w:rsidRDefault="00D73169" w:rsidP="00353859">
      <w:pPr>
        <w:jc w:val="both"/>
        <w:rPr>
          <w:i/>
          <w:iCs/>
          <w:color w:val="44546A" w:themeColor="text2"/>
          <w:sz w:val="18"/>
          <w:szCs w:val="18"/>
        </w:rPr>
      </w:pPr>
    </w:p>
    <w:p w14:paraId="099B2A62" w14:textId="77777777" w:rsidR="00353859" w:rsidRPr="00C510FB" w:rsidRDefault="00353859" w:rsidP="00353859">
      <w:pPr>
        <w:jc w:val="both"/>
        <w:rPr>
          <w:i/>
          <w:iCs/>
          <w:color w:val="44546A" w:themeColor="text2"/>
          <w:sz w:val="18"/>
          <w:szCs w:val="18"/>
        </w:rPr>
      </w:pPr>
    </w:p>
    <w:p w14:paraId="39B72E56" w14:textId="77777777" w:rsidR="00610046" w:rsidRDefault="00610046" w:rsidP="00353859">
      <w:pPr>
        <w:pStyle w:val="Caption"/>
        <w:jc w:val="both"/>
      </w:pPr>
    </w:p>
    <w:p w14:paraId="20B59D96" w14:textId="16B59AD5" w:rsidR="00353859" w:rsidRPr="00F11557" w:rsidRDefault="00353859" w:rsidP="00353859">
      <w:pPr>
        <w:pStyle w:val="Caption"/>
        <w:jc w:val="both"/>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15</w:t>
      </w:r>
      <w:r w:rsidR="00D656F6">
        <w:rPr>
          <w:noProof/>
        </w:rPr>
        <w:fldChar w:fldCharType="end"/>
      </w:r>
      <w:r>
        <w:t xml:space="preserve">: Kutaisi </w:t>
      </w:r>
      <w:r w:rsidR="00F11557">
        <w:t>weighted average selling prices (USD/m</w:t>
      </w:r>
      <w:r w:rsidR="00F11557" w:rsidRPr="00C510FB">
        <w:rPr>
          <w:vertAlign w:val="superscript"/>
        </w:rPr>
        <w:t>2</w:t>
      </w:r>
      <w:r w:rsidR="00F11557">
        <w:t>)</w:t>
      </w:r>
    </w:p>
    <w:p w14:paraId="726B4EDE" w14:textId="77777777" w:rsidR="00353859" w:rsidRDefault="00353859" w:rsidP="00353859">
      <w:pPr>
        <w:jc w:val="both"/>
      </w:pPr>
      <w:r>
        <w:rPr>
          <w:noProof/>
        </w:rPr>
        <w:drawing>
          <wp:anchor distT="0" distB="0" distL="114300" distR="114300" simplePos="0" relativeHeight="251712512" behindDoc="1" locked="0" layoutInCell="1" allowOverlap="1" wp14:anchorId="62BA87B2" wp14:editId="7DB4CBC2">
            <wp:simplePos x="0" y="0"/>
            <wp:positionH relativeFrom="margin">
              <wp:align>left</wp:align>
            </wp:positionH>
            <wp:positionV relativeFrom="paragraph">
              <wp:posOffset>10160</wp:posOffset>
            </wp:positionV>
            <wp:extent cx="2771775" cy="1962150"/>
            <wp:effectExtent l="0" t="0" r="9525" b="0"/>
            <wp:wrapNone/>
            <wp:docPr id="5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19BD9083" w14:textId="77777777" w:rsidR="00353859" w:rsidRDefault="00353859" w:rsidP="00353859">
      <w:pPr>
        <w:tabs>
          <w:tab w:val="left" w:pos="2145"/>
        </w:tabs>
        <w:jc w:val="both"/>
      </w:pPr>
      <w:r>
        <w:tab/>
      </w:r>
    </w:p>
    <w:p w14:paraId="185DC0CB" w14:textId="77777777" w:rsidR="00353859" w:rsidRDefault="00353859" w:rsidP="00353859">
      <w:pPr>
        <w:tabs>
          <w:tab w:val="left" w:pos="2790"/>
        </w:tabs>
        <w:jc w:val="both"/>
      </w:pPr>
      <w:r>
        <w:tab/>
      </w:r>
    </w:p>
    <w:p w14:paraId="5FB9DEFF" w14:textId="77777777" w:rsidR="00353859" w:rsidRDefault="00353859" w:rsidP="00353859">
      <w:pPr>
        <w:tabs>
          <w:tab w:val="left" w:pos="2790"/>
        </w:tabs>
        <w:jc w:val="both"/>
      </w:pPr>
      <w:r>
        <w:tab/>
      </w:r>
    </w:p>
    <w:p w14:paraId="78ACBFC4" w14:textId="77777777" w:rsidR="00353859" w:rsidRDefault="00353859" w:rsidP="00353859">
      <w:pPr>
        <w:jc w:val="both"/>
      </w:pPr>
    </w:p>
    <w:p w14:paraId="62ED62C5" w14:textId="77777777" w:rsidR="00D73169" w:rsidRDefault="00D73169" w:rsidP="00353859">
      <w:pPr>
        <w:jc w:val="both"/>
      </w:pPr>
    </w:p>
    <w:p w14:paraId="47F2F822" w14:textId="7DDF23F0" w:rsidR="00D73169" w:rsidRDefault="00D73169" w:rsidP="00353859">
      <w:pPr>
        <w:jc w:val="both"/>
      </w:pPr>
    </w:p>
    <w:p w14:paraId="4F25FEA7" w14:textId="43796A9D" w:rsidR="00D73169" w:rsidRDefault="00CD78CA" w:rsidP="00A76A0D">
      <w:pPr>
        <w:spacing w:after="0" w:line="240" w:lineRule="auto"/>
        <w:jc w:val="both"/>
        <w:rPr>
          <w:i/>
          <w:iCs/>
          <w:color w:val="44546A" w:themeColor="text2"/>
          <w:sz w:val="18"/>
          <w:szCs w:val="18"/>
        </w:rPr>
      </w:pPr>
      <w:r>
        <w:rPr>
          <w:i/>
          <w:iCs/>
          <w:color w:val="44546A" w:themeColor="text2"/>
          <w:sz w:val="18"/>
          <w:szCs w:val="18"/>
        </w:rPr>
        <w:t>Source: Colliers International</w:t>
      </w:r>
    </w:p>
    <w:p w14:paraId="23FBECEB" w14:textId="77777777" w:rsidR="00610046" w:rsidRDefault="00610046" w:rsidP="00A76A0D">
      <w:pPr>
        <w:spacing w:after="0" w:line="240" w:lineRule="auto"/>
        <w:jc w:val="both"/>
      </w:pPr>
    </w:p>
    <w:p w14:paraId="1645A7F5" w14:textId="398EB992" w:rsidR="00353859" w:rsidRDefault="00353859" w:rsidP="00353859">
      <w:pPr>
        <w:jc w:val="both"/>
      </w:pPr>
      <w:r>
        <w:t xml:space="preserve">Also rent data are available for the same three big cities, even though for Batumi and Kutaisi data are available only for a </w:t>
      </w:r>
      <w:r w:rsidR="00610046">
        <w:t>three-year</w:t>
      </w:r>
      <w:r>
        <w:t xml:space="preserve"> period</w:t>
      </w:r>
      <w:r w:rsidR="00755C3D">
        <w:t>.</w:t>
      </w:r>
      <w:r>
        <w:t xml:space="preserve"> </w:t>
      </w:r>
    </w:p>
    <w:p w14:paraId="57A6B4DE" w14:textId="3DD33747" w:rsidR="00353859" w:rsidRDefault="00353859" w:rsidP="00353859">
      <w:pPr>
        <w:jc w:val="both"/>
      </w:pPr>
      <w:r>
        <w:lastRenderedPageBreak/>
        <w:t>In Tbilisi, consistently with the apartment prices, rents have been declining slightly over the period 2012-2017, in all categories (1 room flat, 2 rooms flat, 3 rooms flat) and in all locations (suburb, medium and central)</w:t>
      </w:r>
      <w:r w:rsidR="00755C3D">
        <w:t>.</w:t>
      </w:r>
      <w:r>
        <w:t xml:space="preserve"> However, in the last of the series, renting prices for central and middle central districts seemed to bounce back</w:t>
      </w:r>
      <w:r w:rsidR="00B815AB">
        <w:t xml:space="preserve"> (Table </w:t>
      </w:r>
      <w:r w:rsidR="00E7441F">
        <w:rPr>
          <w:lang w:val="ka-GE"/>
        </w:rPr>
        <w:t>3</w:t>
      </w:r>
      <w:r w:rsidR="00B815AB">
        <w:t>).</w:t>
      </w:r>
      <w:r>
        <w:t xml:space="preserve"> This might be the sign of a new trend due to the expansion of the tourism sector, generating increasing renting opportunities for owners of houses in central and middle-center districts, especially given that these areas are already densely populated and the space for construction is limited</w:t>
      </w:r>
      <w:r w:rsidR="0026391F">
        <w:t>.</w:t>
      </w:r>
    </w:p>
    <w:p w14:paraId="25C5DE5F" w14:textId="536BB453" w:rsidR="002903D5" w:rsidRPr="00D74D8C" w:rsidRDefault="0026391F" w:rsidP="00454C26">
      <w:pPr>
        <w:pStyle w:val="Caption"/>
        <w:rPr>
          <w:i w:val="0"/>
          <w:iCs w:val="0"/>
        </w:rPr>
      </w:pPr>
      <w:r>
        <w:t xml:space="preserve">Table </w:t>
      </w:r>
      <w:r w:rsidR="009E6455">
        <w:rPr>
          <w:noProof/>
        </w:rPr>
        <w:fldChar w:fldCharType="begin"/>
      </w:r>
      <w:r w:rsidR="009E6455">
        <w:rPr>
          <w:noProof/>
        </w:rPr>
        <w:instrText xml:space="preserve"> SEQ Table \* ARABIC </w:instrText>
      </w:r>
      <w:r w:rsidR="009E6455">
        <w:rPr>
          <w:noProof/>
        </w:rPr>
        <w:fldChar w:fldCharType="separate"/>
      </w:r>
      <w:r w:rsidR="008F3E6B">
        <w:rPr>
          <w:noProof/>
        </w:rPr>
        <w:t>3</w:t>
      </w:r>
      <w:r w:rsidR="009E6455">
        <w:rPr>
          <w:noProof/>
        </w:rPr>
        <w:fldChar w:fldCharType="end"/>
      </w:r>
      <w:r>
        <w:t xml:space="preserve">: </w:t>
      </w:r>
      <w:r w:rsidR="002903D5" w:rsidRPr="00454C26">
        <w:t xml:space="preserve">Rental </w:t>
      </w:r>
      <w:r w:rsidR="00F11557">
        <w:t>p</w:t>
      </w:r>
      <w:r w:rsidR="002903D5" w:rsidRPr="00454C26">
        <w:t xml:space="preserve">rices in Tbilisi by </w:t>
      </w:r>
      <w:r w:rsidR="00F11557">
        <w:t>t</w:t>
      </w:r>
      <w:r w:rsidR="002903D5" w:rsidRPr="00454C26">
        <w:t xml:space="preserve">ype and </w:t>
      </w:r>
      <w:r w:rsidR="00F11557">
        <w:t>l</w:t>
      </w:r>
      <w:r w:rsidR="002903D5" w:rsidRPr="00454C26">
        <w:t>ocation (USD)</w:t>
      </w:r>
    </w:p>
    <w:tbl>
      <w:tblPr>
        <w:tblStyle w:val="GridTable1Light-Accent1"/>
        <w:tblW w:w="9132" w:type="dxa"/>
        <w:tblLook w:val="04A0" w:firstRow="1" w:lastRow="0" w:firstColumn="1" w:lastColumn="0" w:noHBand="0" w:noVBand="1"/>
      </w:tblPr>
      <w:tblGrid>
        <w:gridCol w:w="1477"/>
        <w:gridCol w:w="1490"/>
        <w:gridCol w:w="862"/>
        <w:gridCol w:w="1246"/>
        <w:gridCol w:w="1159"/>
        <w:gridCol w:w="854"/>
        <w:gridCol w:w="1117"/>
        <w:gridCol w:w="927"/>
      </w:tblGrid>
      <w:tr w:rsidR="0026391F" w:rsidRPr="002903D5" w14:paraId="71F55A5E" w14:textId="77777777" w:rsidTr="0026391F">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477" w:type="dxa"/>
            <w:noWrap/>
            <w:hideMark/>
          </w:tcPr>
          <w:p w14:paraId="2979437F" w14:textId="0598DD55" w:rsidR="002903D5" w:rsidRPr="002903D5" w:rsidRDefault="00F11557" w:rsidP="002903D5">
            <w:pPr>
              <w:rPr>
                <w:rFonts w:ascii="Calibri" w:eastAsia="Times New Roman" w:hAnsi="Calibri" w:cs="Calibri"/>
                <w:color w:val="000000"/>
              </w:rPr>
            </w:pPr>
            <w:r>
              <w:rPr>
                <w:rFonts w:ascii="Calibri" w:eastAsia="Times New Roman" w:hAnsi="Calibri" w:cs="Calibri"/>
                <w:color w:val="000000"/>
              </w:rPr>
              <w:t xml:space="preserve">Number of </w:t>
            </w:r>
            <w:r w:rsidR="002903D5" w:rsidRPr="002903D5">
              <w:rPr>
                <w:rFonts w:ascii="Calibri" w:eastAsia="Times New Roman" w:hAnsi="Calibri" w:cs="Calibri"/>
                <w:color w:val="000000"/>
              </w:rPr>
              <w:t>Rooms</w:t>
            </w:r>
          </w:p>
        </w:tc>
        <w:tc>
          <w:tcPr>
            <w:tcW w:w="1490" w:type="dxa"/>
            <w:noWrap/>
            <w:hideMark/>
          </w:tcPr>
          <w:p w14:paraId="2C1F2DD0" w14:textId="77777777" w:rsidR="002903D5" w:rsidRPr="002903D5" w:rsidRDefault="002903D5" w:rsidP="002903D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Location</w:t>
            </w:r>
          </w:p>
        </w:tc>
        <w:tc>
          <w:tcPr>
            <w:tcW w:w="862" w:type="dxa"/>
            <w:noWrap/>
            <w:hideMark/>
          </w:tcPr>
          <w:p w14:paraId="432D53C3" w14:textId="77777777" w:rsidR="002903D5" w:rsidRPr="002903D5" w:rsidRDefault="002903D5" w:rsidP="002903D5">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2012</w:t>
            </w:r>
          </w:p>
        </w:tc>
        <w:tc>
          <w:tcPr>
            <w:tcW w:w="1246" w:type="dxa"/>
            <w:noWrap/>
            <w:hideMark/>
          </w:tcPr>
          <w:p w14:paraId="3CF33974" w14:textId="77777777" w:rsidR="002903D5" w:rsidRPr="002903D5" w:rsidRDefault="002903D5" w:rsidP="002903D5">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2013</w:t>
            </w:r>
          </w:p>
        </w:tc>
        <w:tc>
          <w:tcPr>
            <w:tcW w:w="1159" w:type="dxa"/>
            <w:noWrap/>
            <w:hideMark/>
          </w:tcPr>
          <w:p w14:paraId="59EFFA45" w14:textId="77777777" w:rsidR="002903D5" w:rsidRPr="002903D5" w:rsidRDefault="002903D5" w:rsidP="002903D5">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2014</w:t>
            </w:r>
          </w:p>
        </w:tc>
        <w:tc>
          <w:tcPr>
            <w:tcW w:w="854" w:type="dxa"/>
            <w:noWrap/>
            <w:hideMark/>
          </w:tcPr>
          <w:p w14:paraId="66610ED1" w14:textId="77777777" w:rsidR="002903D5" w:rsidRPr="002903D5" w:rsidRDefault="002903D5" w:rsidP="002903D5">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2015</w:t>
            </w:r>
          </w:p>
        </w:tc>
        <w:tc>
          <w:tcPr>
            <w:tcW w:w="1117" w:type="dxa"/>
            <w:noWrap/>
            <w:hideMark/>
          </w:tcPr>
          <w:p w14:paraId="34825B64" w14:textId="77777777" w:rsidR="002903D5" w:rsidRPr="002903D5" w:rsidRDefault="002903D5" w:rsidP="002903D5">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2016</w:t>
            </w:r>
          </w:p>
        </w:tc>
        <w:tc>
          <w:tcPr>
            <w:tcW w:w="927" w:type="dxa"/>
            <w:noWrap/>
            <w:hideMark/>
          </w:tcPr>
          <w:p w14:paraId="07F8E1A6" w14:textId="261413AC" w:rsidR="002903D5" w:rsidRPr="002903D5" w:rsidRDefault="00A76A0D" w:rsidP="00A76A0D">
            <w:pPr>
              <w:ind w:left="-1199" w:right="106"/>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 xml:space="preserve">  </w:t>
            </w:r>
            <w:r w:rsidR="00D53B66">
              <w:rPr>
                <w:rFonts w:ascii="Calibri" w:eastAsia="Times New Roman" w:hAnsi="Calibri" w:cs="Calibri"/>
                <w:color w:val="000000"/>
              </w:rPr>
              <w:t xml:space="preserve"> </w:t>
            </w:r>
            <w:r w:rsidR="002903D5" w:rsidRPr="002903D5">
              <w:rPr>
                <w:rFonts w:ascii="Calibri" w:eastAsia="Times New Roman" w:hAnsi="Calibri" w:cs="Calibri"/>
                <w:color w:val="000000"/>
              </w:rPr>
              <w:t>2017</w:t>
            </w:r>
          </w:p>
        </w:tc>
      </w:tr>
      <w:tr w:rsidR="0026391F" w:rsidRPr="002903D5" w14:paraId="108FDD57" w14:textId="77777777" w:rsidTr="0026391F">
        <w:trPr>
          <w:trHeight w:val="364"/>
        </w:trPr>
        <w:tc>
          <w:tcPr>
            <w:cnfStyle w:val="001000000000" w:firstRow="0" w:lastRow="0" w:firstColumn="1" w:lastColumn="0" w:oddVBand="0" w:evenVBand="0" w:oddHBand="0" w:evenHBand="0" w:firstRowFirstColumn="0" w:firstRowLastColumn="0" w:lastRowFirstColumn="0" w:lastRowLastColumn="0"/>
            <w:tcW w:w="1477" w:type="dxa"/>
            <w:vMerge w:val="restart"/>
            <w:noWrap/>
            <w:hideMark/>
          </w:tcPr>
          <w:p w14:paraId="6C98C9C6" w14:textId="77777777" w:rsidR="002903D5" w:rsidRPr="002903D5" w:rsidRDefault="002903D5">
            <w:pPr>
              <w:jc w:val="center"/>
              <w:rPr>
                <w:rFonts w:ascii="Calibri" w:eastAsia="Times New Roman" w:hAnsi="Calibri" w:cs="Calibri"/>
                <w:color w:val="000000"/>
              </w:rPr>
            </w:pPr>
            <w:r w:rsidRPr="002903D5">
              <w:rPr>
                <w:rFonts w:ascii="Calibri" w:eastAsia="Times New Roman" w:hAnsi="Calibri" w:cs="Calibri"/>
                <w:color w:val="000000"/>
              </w:rPr>
              <w:t>1 room</w:t>
            </w:r>
          </w:p>
        </w:tc>
        <w:tc>
          <w:tcPr>
            <w:tcW w:w="1490" w:type="dxa"/>
            <w:noWrap/>
            <w:hideMark/>
          </w:tcPr>
          <w:p w14:paraId="3C81940F" w14:textId="77777777" w:rsidR="002903D5" w:rsidRPr="002903D5" w:rsidRDefault="002903D5" w:rsidP="002903D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Central</w:t>
            </w:r>
          </w:p>
        </w:tc>
        <w:tc>
          <w:tcPr>
            <w:tcW w:w="862" w:type="dxa"/>
            <w:noWrap/>
            <w:hideMark/>
          </w:tcPr>
          <w:p w14:paraId="5219E947" w14:textId="77777777" w:rsidR="002903D5" w:rsidRPr="002903D5" w:rsidRDefault="002903D5" w:rsidP="002903D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323</w:t>
            </w:r>
          </w:p>
        </w:tc>
        <w:tc>
          <w:tcPr>
            <w:tcW w:w="1246" w:type="dxa"/>
            <w:noWrap/>
            <w:hideMark/>
          </w:tcPr>
          <w:p w14:paraId="47171CDD" w14:textId="77777777" w:rsidR="002903D5" w:rsidRPr="002903D5" w:rsidRDefault="002903D5" w:rsidP="002903D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329</w:t>
            </w:r>
          </w:p>
        </w:tc>
        <w:tc>
          <w:tcPr>
            <w:tcW w:w="1159" w:type="dxa"/>
            <w:noWrap/>
            <w:hideMark/>
          </w:tcPr>
          <w:p w14:paraId="5CBB1C7B" w14:textId="77777777" w:rsidR="002903D5" w:rsidRPr="002903D5" w:rsidRDefault="002903D5" w:rsidP="002903D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322</w:t>
            </w:r>
          </w:p>
        </w:tc>
        <w:tc>
          <w:tcPr>
            <w:tcW w:w="854" w:type="dxa"/>
            <w:noWrap/>
            <w:hideMark/>
          </w:tcPr>
          <w:p w14:paraId="11407E7E" w14:textId="77777777" w:rsidR="002903D5" w:rsidRPr="002903D5" w:rsidRDefault="002903D5" w:rsidP="002903D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384</w:t>
            </w:r>
          </w:p>
        </w:tc>
        <w:tc>
          <w:tcPr>
            <w:tcW w:w="1117" w:type="dxa"/>
            <w:noWrap/>
            <w:hideMark/>
          </w:tcPr>
          <w:p w14:paraId="72415926" w14:textId="77777777" w:rsidR="002903D5" w:rsidRPr="002903D5" w:rsidRDefault="002903D5" w:rsidP="002903D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255</w:t>
            </w:r>
          </w:p>
        </w:tc>
        <w:tc>
          <w:tcPr>
            <w:tcW w:w="927" w:type="dxa"/>
            <w:noWrap/>
            <w:hideMark/>
          </w:tcPr>
          <w:p w14:paraId="5005FB8B" w14:textId="77777777" w:rsidR="002903D5" w:rsidRPr="002903D5" w:rsidRDefault="002903D5" w:rsidP="002903D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300</w:t>
            </w:r>
          </w:p>
        </w:tc>
      </w:tr>
      <w:tr w:rsidR="0026391F" w:rsidRPr="002903D5" w14:paraId="575B8806" w14:textId="77777777" w:rsidTr="0026391F">
        <w:trPr>
          <w:trHeight w:val="364"/>
        </w:trPr>
        <w:tc>
          <w:tcPr>
            <w:cnfStyle w:val="001000000000" w:firstRow="0" w:lastRow="0" w:firstColumn="1" w:lastColumn="0" w:oddVBand="0" w:evenVBand="0" w:oddHBand="0" w:evenHBand="0" w:firstRowFirstColumn="0" w:firstRowLastColumn="0" w:lastRowFirstColumn="0" w:lastRowLastColumn="0"/>
            <w:tcW w:w="1477" w:type="dxa"/>
            <w:vMerge/>
            <w:hideMark/>
          </w:tcPr>
          <w:p w14:paraId="7A2AFDE9" w14:textId="77777777" w:rsidR="00D62481" w:rsidRPr="002903D5" w:rsidRDefault="00D62481" w:rsidP="00D74D8C">
            <w:pPr>
              <w:jc w:val="center"/>
              <w:rPr>
                <w:rFonts w:ascii="Calibri" w:eastAsia="Times New Roman" w:hAnsi="Calibri" w:cs="Calibri"/>
                <w:color w:val="000000"/>
              </w:rPr>
            </w:pPr>
          </w:p>
        </w:tc>
        <w:tc>
          <w:tcPr>
            <w:tcW w:w="1490" w:type="dxa"/>
            <w:noWrap/>
          </w:tcPr>
          <w:p w14:paraId="5E5BD365" w14:textId="3FDBD41D" w:rsidR="00D62481" w:rsidRPr="002903D5" w:rsidRDefault="00D62481" w:rsidP="00D624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Medium</w:t>
            </w:r>
          </w:p>
        </w:tc>
        <w:tc>
          <w:tcPr>
            <w:tcW w:w="862" w:type="dxa"/>
            <w:noWrap/>
          </w:tcPr>
          <w:p w14:paraId="03C9BE5C" w14:textId="6F6543A2"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251</w:t>
            </w:r>
          </w:p>
        </w:tc>
        <w:tc>
          <w:tcPr>
            <w:tcW w:w="1246" w:type="dxa"/>
            <w:noWrap/>
          </w:tcPr>
          <w:p w14:paraId="6D987BC7" w14:textId="1AE09BA9"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227</w:t>
            </w:r>
          </w:p>
        </w:tc>
        <w:tc>
          <w:tcPr>
            <w:tcW w:w="1159" w:type="dxa"/>
            <w:noWrap/>
          </w:tcPr>
          <w:p w14:paraId="0DD16F84" w14:textId="35C054F9"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273</w:t>
            </w:r>
          </w:p>
        </w:tc>
        <w:tc>
          <w:tcPr>
            <w:tcW w:w="854" w:type="dxa"/>
            <w:noWrap/>
          </w:tcPr>
          <w:p w14:paraId="36AFD5EC" w14:textId="2E889F3D"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254</w:t>
            </w:r>
          </w:p>
        </w:tc>
        <w:tc>
          <w:tcPr>
            <w:tcW w:w="1117" w:type="dxa"/>
            <w:noWrap/>
          </w:tcPr>
          <w:p w14:paraId="12AE96B4" w14:textId="4A51A54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190</w:t>
            </w:r>
          </w:p>
        </w:tc>
        <w:tc>
          <w:tcPr>
            <w:tcW w:w="927" w:type="dxa"/>
            <w:noWrap/>
          </w:tcPr>
          <w:p w14:paraId="4ED8344F" w14:textId="393E5E86"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224</w:t>
            </w:r>
          </w:p>
        </w:tc>
      </w:tr>
      <w:tr w:rsidR="0026391F" w:rsidRPr="002903D5" w14:paraId="4B3FC8D8" w14:textId="77777777" w:rsidTr="0026391F">
        <w:trPr>
          <w:trHeight w:val="381"/>
        </w:trPr>
        <w:tc>
          <w:tcPr>
            <w:cnfStyle w:val="001000000000" w:firstRow="0" w:lastRow="0" w:firstColumn="1" w:lastColumn="0" w:oddVBand="0" w:evenVBand="0" w:oddHBand="0" w:evenHBand="0" w:firstRowFirstColumn="0" w:firstRowLastColumn="0" w:lastRowFirstColumn="0" w:lastRowLastColumn="0"/>
            <w:tcW w:w="1477" w:type="dxa"/>
            <w:vMerge/>
            <w:hideMark/>
          </w:tcPr>
          <w:p w14:paraId="6D7E3966" w14:textId="77777777" w:rsidR="00D62481" w:rsidRPr="002903D5" w:rsidRDefault="00D62481" w:rsidP="00D74D8C">
            <w:pPr>
              <w:jc w:val="center"/>
              <w:rPr>
                <w:rFonts w:ascii="Calibri" w:eastAsia="Times New Roman" w:hAnsi="Calibri" w:cs="Calibri"/>
                <w:color w:val="000000"/>
              </w:rPr>
            </w:pPr>
          </w:p>
        </w:tc>
        <w:tc>
          <w:tcPr>
            <w:tcW w:w="1490" w:type="dxa"/>
            <w:noWrap/>
          </w:tcPr>
          <w:p w14:paraId="1E6CFB7D" w14:textId="28BD0A55" w:rsidR="00D62481" w:rsidRPr="002903D5" w:rsidRDefault="00D62481" w:rsidP="00D624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Suburb</w:t>
            </w:r>
          </w:p>
        </w:tc>
        <w:tc>
          <w:tcPr>
            <w:tcW w:w="862" w:type="dxa"/>
            <w:noWrap/>
          </w:tcPr>
          <w:p w14:paraId="55F8A095" w14:textId="77421593"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233</w:t>
            </w:r>
          </w:p>
        </w:tc>
        <w:tc>
          <w:tcPr>
            <w:tcW w:w="1246" w:type="dxa"/>
            <w:noWrap/>
          </w:tcPr>
          <w:p w14:paraId="3E355A7B" w14:textId="3D42992B"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262</w:t>
            </w:r>
          </w:p>
        </w:tc>
        <w:tc>
          <w:tcPr>
            <w:tcW w:w="1159" w:type="dxa"/>
            <w:noWrap/>
          </w:tcPr>
          <w:p w14:paraId="1FDCFF2C" w14:textId="3EFAEEB2"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228</w:t>
            </w:r>
          </w:p>
        </w:tc>
        <w:tc>
          <w:tcPr>
            <w:tcW w:w="854" w:type="dxa"/>
            <w:noWrap/>
          </w:tcPr>
          <w:p w14:paraId="7C35F054" w14:textId="3BA407F8"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301</w:t>
            </w:r>
          </w:p>
        </w:tc>
        <w:tc>
          <w:tcPr>
            <w:tcW w:w="1117" w:type="dxa"/>
            <w:noWrap/>
          </w:tcPr>
          <w:p w14:paraId="3C51D34E" w14:textId="1ED27EC0"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196</w:t>
            </w:r>
          </w:p>
        </w:tc>
        <w:tc>
          <w:tcPr>
            <w:tcW w:w="927" w:type="dxa"/>
            <w:noWrap/>
          </w:tcPr>
          <w:p w14:paraId="2A243CDE" w14:textId="0C55546F"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158</w:t>
            </w:r>
          </w:p>
        </w:tc>
      </w:tr>
      <w:tr w:rsidR="0026391F" w:rsidRPr="002903D5" w14:paraId="4477D175" w14:textId="77777777" w:rsidTr="0026391F">
        <w:trPr>
          <w:trHeight w:val="364"/>
        </w:trPr>
        <w:tc>
          <w:tcPr>
            <w:cnfStyle w:val="001000000000" w:firstRow="0" w:lastRow="0" w:firstColumn="1" w:lastColumn="0" w:oddVBand="0" w:evenVBand="0" w:oddHBand="0" w:evenHBand="0" w:firstRowFirstColumn="0" w:firstRowLastColumn="0" w:lastRowFirstColumn="0" w:lastRowLastColumn="0"/>
            <w:tcW w:w="1477" w:type="dxa"/>
            <w:vMerge w:val="restart"/>
            <w:noWrap/>
            <w:hideMark/>
          </w:tcPr>
          <w:p w14:paraId="6908E926" w14:textId="77777777" w:rsidR="00D62481" w:rsidRPr="002903D5" w:rsidRDefault="00D62481" w:rsidP="00D62481">
            <w:pPr>
              <w:jc w:val="center"/>
              <w:rPr>
                <w:rFonts w:ascii="Calibri" w:eastAsia="Times New Roman" w:hAnsi="Calibri" w:cs="Calibri"/>
                <w:color w:val="000000"/>
              </w:rPr>
            </w:pPr>
            <w:r w:rsidRPr="002903D5">
              <w:rPr>
                <w:rFonts w:ascii="Calibri" w:eastAsia="Times New Roman" w:hAnsi="Calibri" w:cs="Calibri"/>
                <w:color w:val="000000"/>
              </w:rPr>
              <w:t>2 Room</w:t>
            </w:r>
          </w:p>
        </w:tc>
        <w:tc>
          <w:tcPr>
            <w:tcW w:w="1490" w:type="dxa"/>
            <w:noWrap/>
            <w:hideMark/>
          </w:tcPr>
          <w:p w14:paraId="15E5391D" w14:textId="77777777" w:rsidR="00D62481" w:rsidRPr="002903D5" w:rsidRDefault="00D62481" w:rsidP="00D624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Central</w:t>
            </w:r>
          </w:p>
        </w:tc>
        <w:tc>
          <w:tcPr>
            <w:tcW w:w="862" w:type="dxa"/>
            <w:noWrap/>
            <w:hideMark/>
          </w:tcPr>
          <w:p w14:paraId="15CCCD01"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479</w:t>
            </w:r>
          </w:p>
        </w:tc>
        <w:tc>
          <w:tcPr>
            <w:tcW w:w="1246" w:type="dxa"/>
            <w:noWrap/>
            <w:hideMark/>
          </w:tcPr>
          <w:p w14:paraId="6CE14D11"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486</w:t>
            </w:r>
          </w:p>
        </w:tc>
        <w:tc>
          <w:tcPr>
            <w:tcW w:w="1159" w:type="dxa"/>
            <w:noWrap/>
            <w:hideMark/>
          </w:tcPr>
          <w:p w14:paraId="1A567DBD"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460</w:t>
            </w:r>
          </w:p>
        </w:tc>
        <w:tc>
          <w:tcPr>
            <w:tcW w:w="854" w:type="dxa"/>
            <w:noWrap/>
            <w:hideMark/>
          </w:tcPr>
          <w:p w14:paraId="0322792E"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520</w:t>
            </w:r>
          </w:p>
        </w:tc>
        <w:tc>
          <w:tcPr>
            <w:tcW w:w="1117" w:type="dxa"/>
            <w:noWrap/>
            <w:hideMark/>
          </w:tcPr>
          <w:p w14:paraId="5C8F920E"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405</w:t>
            </w:r>
          </w:p>
        </w:tc>
        <w:tc>
          <w:tcPr>
            <w:tcW w:w="927" w:type="dxa"/>
            <w:noWrap/>
            <w:hideMark/>
          </w:tcPr>
          <w:p w14:paraId="0AE313B6"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505</w:t>
            </w:r>
          </w:p>
        </w:tc>
      </w:tr>
      <w:tr w:rsidR="0026391F" w:rsidRPr="002903D5" w14:paraId="75BD9E19" w14:textId="77777777" w:rsidTr="0026391F">
        <w:trPr>
          <w:trHeight w:val="364"/>
        </w:trPr>
        <w:tc>
          <w:tcPr>
            <w:cnfStyle w:val="001000000000" w:firstRow="0" w:lastRow="0" w:firstColumn="1" w:lastColumn="0" w:oddVBand="0" w:evenVBand="0" w:oddHBand="0" w:evenHBand="0" w:firstRowFirstColumn="0" w:firstRowLastColumn="0" w:lastRowFirstColumn="0" w:lastRowLastColumn="0"/>
            <w:tcW w:w="1477" w:type="dxa"/>
            <w:vMerge/>
            <w:hideMark/>
          </w:tcPr>
          <w:p w14:paraId="43AB5304" w14:textId="77777777" w:rsidR="00D62481" w:rsidRPr="002903D5" w:rsidRDefault="00D62481" w:rsidP="00D74D8C">
            <w:pPr>
              <w:jc w:val="center"/>
              <w:rPr>
                <w:rFonts w:ascii="Calibri" w:eastAsia="Times New Roman" w:hAnsi="Calibri" w:cs="Calibri"/>
                <w:color w:val="000000"/>
              </w:rPr>
            </w:pPr>
          </w:p>
        </w:tc>
        <w:tc>
          <w:tcPr>
            <w:tcW w:w="1490" w:type="dxa"/>
            <w:noWrap/>
          </w:tcPr>
          <w:p w14:paraId="1E9C8E4E" w14:textId="4094E125" w:rsidR="00D62481" w:rsidRPr="002903D5" w:rsidRDefault="00D62481" w:rsidP="00D624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Medium</w:t>
            </w:r>
          </w:p>
        </w:tc>
        <w:tc>
          <w:tcPr>
            <w:tcW w:w="862" w:type="dxa"/>
            <w:noWrap/>
          </w:tcPr>
          <w:p w14:paraId="770C159B" w14:textId="2A8E1279"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343</w:t>
            </w:r>
          </w:p>
        </w:tc>
        <w:tc>
          <w:tcPr>
            <w:tcW w:w="1246" w:type="dxa"/>
            <w:noWrap/>
          </w:tcPr>
          <w:p w14:paraId="25A5E242" w14:textId="2767711E"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383</w:t>
            </w:r>
          </w:p>
        </w:tc>
        <w:tc>
          <w:tcPr>
            <w:tcW w:w="1159" w:type="dxa"/>
            <w:noWrap/>
          </w:tcPr>
          <w:p w14:paraId="67E5B6B2" w14:textId="466B587A"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388</w:t>
            </w:r>
          </w:p>
        </w:tc>
        <w:tc>
          <w:tcPr>
            <w:tcW w:w="854" w:type="dxa"/>
            <w:noWrap/>
          </w:tcPr>
          <w:p w14:paraId="729EB7C2" w14:textId="1F2E0C3A"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416</w:t>
            </w:r>
          </w:p>
        </w:tc>
        <w:tc>
          <w:tcPr>
            <w:tcW w:w="1117" w:type="dxa"/>
            <w:noWrap/>
          </w:tcPr>
          <w:p w14:paraId="4DFC794C" w14:textId="4497C09F"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293</w:t>
            </w:r>
          </w:p>
        </w:tc>
        <w:tc>
          <w:tcPr>
            <w:tcW w:w="927" w:type="dxa"/>
            <w:noWrap/>
          </w:tcPr>
          <w:p w14:paraId="69C64122" w14:textId="0CC56C68"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383</w:t>
            </w:r>
          </w:p>
        </w:tc>
      </w:tr>
      <w:tr w:rsidR="0026391F" w:rsidRPr="002903D5" w14:paraId="5878F721" w14:textId="77777777" w:rsidTr="0026391F">
        <w:trPr>
          <w:trHeight w:val="381"/>
        </w:trPr>
        <w:tc>
          <w:tcPr>
            <w:cnfStyle w:val="001000000000" w:firstRow="0" w:lastRow="0" w:firstColumn="1" w:lastColumn="0" w:oddVBand="0" w:evenVBand="0" w:oddHBand="0" w:evenHBand="0" w:firstRowFirstColumn="0" w:firstRowLastColumn="0" w:lastRowFirstColumn="0" w:lastRowLastColumn="0"/>
            <w:tcW w:w="1477" w:type="dxa"/>
            <w:vMerge/>
            <w:hideMark/>
          </w:tcPr>
          <w:p w14:paraId="066722BE" w14:textId="77777777" w:rsidR="00D62481" w:rsidRPr="002903D5" w:rsidRDefault="00D62481" w:rsidP="00D74D8C">
            <w:pPr>
              <w:jc w:val="center"/>
              <w:rPr>
                <w:rFonts w:ascii="Calibri" w:eastAsia="Times New Roman" w:hAnsi="Calibri" w:cs="Calibri"/>
                <w:color w:val="000000"/>
              </w:rPr>
            </w:pPr>
          </w:p>
        </w:tc>
        <w:tc>
          <w:tcPr>
            <w:tcW w:w="1490" w:type="dxa"/>
            <w:noWrap/>
          </w:tcPr>
          <w:p w14:paraId="3DAC77AA" w14:textId="0CDC80B1" w:rsidR="00D62481" w:rsidRPr="002903D5" w:rsidRDefault="00D62481" w:rsidP="00D624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Suburb</w:t>
            </w:r>
          </w:p>
        </w:tc>
        <w:tc>
          <w:tcPr>
            <w:tcW w:w="862" w:type="dxa"/>
            <w:noWrap/>
          </w:tcPr>
          <w:p w14:paraId="1C7787C8" w14:textId="0241AE8B"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281</w:t>
            </w:r>
          </w:p>
        </w:tc>
        <w:tc>
          <w:tcPr>
            <w:tcW w:w="1246" w:type="dxa"/>
            <w:noWrap/>
          </w:tcPr>
          <w:p w14:paraId="30A0C106" w14:textId="2CD1AC5D"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310</w:t>
            </w:r>
          </w:p>
        </w:tc>
        <w:tc>
          <w:tcPr>
            <w:tcW w:w="1159" w:type="dxa"/>
            <w:noWrap/>
          </w:tcPr>
          <w:p w14:paraId="2219D3F4" w14:textId="02CE498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324</w:t>
            </w:r>
          </w:p>
        </w:tc>
        <w:tc>
          <w:tcPr>
            <w:tcW w:w="854" w:type="dxa"/>
            <w:noWrap/>
          </w:tcPr>
          <w:p w14:paraId="53E50A23" w14:textId="3EE76D13"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359</w:t>
            </w:r>
          </w:p>
        </w:tc>
        <w:tc>
          <w:tcPr>
            <w:tcW w:w="1117" w:type="dxa"/>
            <w:noWrap/>
          </w:tcPr>
          <w:p w14:paraId="14C2BA08" w14:textId="4F50521D"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245</w:t>
            </w:r>
          </w:p>
        </w:tc>
        <w:tc>
          <w:tcPr>
            <w:tcW w:w="927" w:type="dxa"/>
            <w:noWrap/>
          </w:tcPr>
          <w:p w14:paraId="0D678C2B" w14:textId="576AF5B4"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237</w:t>
            </w:r>
          </w:p>
        </w:tc>
      </w:tr>
      <w:tr w:rsidR="0026391F" w:rsidRPr="002903D5" w14:paraId="15BE2965" w14:textId="77777777" w:rsidTr="0026391F">
        <w:trPr>
          <w:trHeight w:val="364"/>
        </w:trPr>
        <w:tc>
          <w:tcPr>
            <w:cnfStyle w:val="001000000000" w:firstRow="0" w:lastRow="0" w:firstColumn="1" w:lastColumn="0" w:oddVBand="0" w:evenVBand="0" w:oddHBand="0" w:evenHBand="0" w:firstRowFirstColumn="0" w:firstRowLastColumn="0" w:lastRowFirstColumn="0" w:lastRowLastColumn="0"/>
            <w:tcW w:w="1477" w:type="dxa"/>
            <w:vMerge w:val="restart"/>
            <w:noWrap/>
            <w:hideMark/>
          </w:tcPr>
          <w:p w14:paraId="33AD9EF5" w14:textId="77777777" w:rsidR="00D62481" w:rsidRPr="002903D5" w:rsidRDefault="00D62481" w:rsidP="00D62481">
            <w:pPr>
              <w:jc w:val="center"/>
              <w:rPr>
                <w:rFonts w:ascii="Calibri" w:eastAsia="Times New Roman" w:hAnsi="Calibri" w:cs="Calibri"/>
                <w:color w:val="000000"/>
              </w:rPr>
            </w:pPr>
            <w:r w:rsidRPr="002903D5">
              <w:rPr>
                <w:rFonts w:ascii="Calibri" w:eastAsia="Times New Roman" w:hAnsi="Calibri" w:cs="Calibri"/>
                <w:color w:val="000000"/>
              </w:rPr>
              <w:t>3 room</w:t>
            </w:r>
          </w:p>
        </w:tc>
        <w:tc>
          <w:tcPr>
            <w:tcW w:w="1490" w:type="dxa"/>
            <w:noWrap/>
            <w:hideMark/>
          </w:tcPr>
          <w:p w14:paraId="26B7DB0C" w14:textId="77777777" w:rsidR="00D62481" w:rsidRPr="002903D5" w:rsidRDefault="00D62481" w:rsidP="00D624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Central</w:t>
            </w:r>
          </w:p>
        </w:tc>
        <w:tc>
          <w:tcPr>
            <w:tcW w:w="862" w:type="dxa"/>
            <w:noWrap/>
            <w:hideMark/>
          </w:tcPr>
          <w:p w14:paraId="765B1E1E"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867</w:t>
            </w:r>
          </w:p>
        </w:tc>
        <w:tc>
          <w:tcPr>
            <w:tcW w:w="1246" w:type="dxa"/>
            <w:noWrap/>
            <w:hideMark/>
          </w:tcPr>
          <w:p w14:paraId="209F5F09"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891</w:t>
            </w:r>
          </w:p>
        </w:tc>
        <w:tc>
          <w:tcPr>
            <w:tcW w:w="1159" w:type="dxa"/>
            <w:noWrap/>
            <w:hideMark/>
          </w:tcPr>
          <w:p w14:paraId="1D0D92BF"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639</w:t>
            </w:r>
          </w:p>
        </w:tc>
        <w:tc>
          <w:tcPr>
            <w:tcW w:w="854" w:type="dxa"/>
            <w:noWrap/>
            <w:hideMark/>
          </w:tcPr>
          <w:p w14:paraId="2CC35EE3"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658</w:t>
            </w:r>
          </w:p>
        </w:tc>
        <w:tc>
          <w:tcPr>
            <w:tcW w:w="1117" w:type="dxa"/>
            <w:noWrap/>
            <w:hideMark/>
          </w:tcPr>
          <w:p w14:paraId="5E1BF877"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586</w:t>
            </w:r>
          </w:p>
        </w:tc>
        <w:tc>
          <w:tcPr>
            <w:tcW w:w="927" w:type="dxa"/>
            <w:noWrap/>
            <w:hideMark/>
          </w:tcPr>
          <w:p w14:paraId="7217CA70" w14:textId="77777777"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820</w:t>
            </w:r>
          </w:p>
        </w:tc>
      </w:tr>
      <w:tr w:rsidR="0026391F" w:rsidRPr="002903D5" w14:paraId="4770722A" w14:textId="77777777" w:rsidTr="0026391F">
        <w:trPr>
          <w:trHeight w:val="364"/>
        </w:trPr>
        <w:tc>
          <w:tcPr>
            <w:cnfStyle w:val="001000000000" w:firstRow="0" w:lastRow="0" w:firstColumn="1" w:lastColumn="0" w:oddVBand="0" w:evenVBand="0" w:oddHBand="0" w:evenHBand="0" w:firstRowFirstColumn="0" w:firstRowLastColumn="0" w:lastRowFirstColumn="0" w:lastRowLastColumn="0"/>
            <w:tcW w:w="1477" w:type="dxa"/>
            <w:vMerge/>
            <w:hideMark/>
          </w:tcPr>
          <w:p w14:paraId="3B46C129" w14:textId="77777777" w:rsidR="00D62481" w:rsidRPr="002903D5" w:rsidRDefault="00D62481" w:rsidP="00D62481">
            <w:pPr>
              <w:rPr>
                <w:rFonts w:ascii="Calibri" w:eastAsia="Times New Roman" w:hAnsi="Calibri" w:cs="Calibri"/>
                <w:color w:val="000000"/>
              </w:rPr>
            </w:pPr>
          </w:p>
        </w:tc>
        <w:tc>
          <w:tcPr>
            <w:tcW w:w="1490" w:type="dxa"/>
            <w:noWrap/>
          </w:tcPr>
          <w:p w14:paraId="246D27F3" w14:textId="3D60EC0F" w:rsidR="00D62481" w:rsidRPr="002903D5" w:rsidRDefault="00D62481" w:rsidP="00D6248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Medium</w:t>
            </w:r>
          </w:p>
        </w:tc>
        <w:tc>
          <w:tcPr>
            <w:tcW w:w="862" w:type="dxa"/>
            <w:noWrap/>
          </w:tcPr>
          <w:p w14:paraId="0AA257E4" w14:textId="4A4CC3FB"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687</w:t>
            </w:r>
          </w:p>
        </w:tc>
        <w:tc>
          <w:tcPr>
            <w:tcW w:w="1246" w:type="dxa"/>
            <w:noWrap/>
          </w:tcPr>
          <w:p w14:paraId="11128BAA" w14:textId="7E07476D"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634</w:t>
            </w:r>
          </w:p>
        </w:tc>
        <w:tc>
          <w:tcPr>
            <w:tcW w:w="1159" w:type="dxa"/>
            <w:noWrap/>
          </w:tcPr>
          <w:p w14:paraId="0F84B754" w14:textId="784C193B"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628</w:t>
            </w:r>
          </w:p>
        </w:tc>
        <w:tc>
          <w:tcPr>
            <w:tcW w:w="854" w:type="dxa"/>
            <w:noWrap/>
          </w:tcPr>
          <w:p w14:paraId="7179B853" w14:textId="1A70D75C"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549</w:t>
            </w:r>
          </w:p>
        </w:tc>
        <w:tc>
          <w:tcPr>
            <w:tcW w:w="1117" w:type="dxa"/>
            <w:noWrap/>
          </w:tcPr>
          <w:p w14:paraId="65A14BCD" w14:textId="76029FB0"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419</w:t>
            </w:r>
          </w:p>
        </w:tc>
        <w:tc>
          <w:tcPr>
            <w:tcW w:w="927" w:type="dxa"/>
            <w:noWrap/>
          </w:tcPr>
          <w:p w14:paraId="77E5D6DA" w14:textId="5DB516C6"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628</w:t>
            </w:r>
          </w:p>
        </w:tc>
      </w:tr>
      <w:tr w:rsidR="0026391F" w:rsidRPr="002903D5" w14:paraId="44531203" w14:textId="77777777" w:rsidTr="0026391F">
        <w:trPr>
          <w:trHeight w:val="381"/>
        </w:trPr>
        <w:tc>
          <w:tcPr>
            <w:cnfStyle w:val="001000000000" w:firstRow="0" w:lastRow="0" w:firstColumn="1" w:lastColumn="0" w:oddVBand="0" w:evenVBand="0" w:oddHBand="0" w:evenHBand="0" w:firstRowFirstColumn="0" w:firstRowLastColumn="0" w:lastRowFirstColumn="0" w:lastRowLastColumn="0"/>
            <w:tcW w:w="1477" w:type="dxa"/>
            <w:vMerge/>
            <w:hideMark/>
          </w:tcPr>
          <w:p w14:paraId="3FD89099" w14:textId="77777777" w:rsidR="00D62481" w:rsidRPr="002903D5" w:rsidRDefault="00D62481" w:rsidP="00D62481">
            <w:pPr>
              <w:rPr>
                <w:rFonts w:ascii="Calibri" w:eastAsia="Times New Roman" w:hAnsi="Calibri" w:cs="Calibri"/>
                <w:color w:val="000000"/>
              </w:rPr>
            </w:pPr>
          </w:p>
        </w:tc>
        <w:tc>
          <w:tcPr>
            <w:tcW w:w="1490" w:type="dxa"/>
            <w:noWrap/>
          </w:tcPr>
          <w:p w14:paraId="7230012A" w14:textId="0737A33E" w:rsidR="00D62481" w:rsidRPr="002903D5" w:rsidRDefault="00D62481" w:rsidP="00D74D8C">
            <w:pPr>
              <w:tabs>
                <w:tab w:val="center" w:pos="713"/>
              </w:tab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2903D5">
              <w:rPr>
                <w:rFonts w:ascii="Calibri" w:eastAsia="Times New Roman" w:hAnsi="Calibri" w:cs="Calibri"/>
                <w:b/>
                <w:bCs/>
                <w:color w:val="000000"/>
              </w:rPr>
              <w:t>Suburb</w:t>
            </w:r>
          </w:p>
        </w:tc>
        <w:tc>
          <w:tcPr>
            <w:tcW w:w="862" w:type="dxa"/>
            <w:noWrap/>
          </w:tcPr>
          <w:p w14:paraId="36A9A251" w14:textId="7C7E37EB"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391</w:t>
            </w:r>
          </w:p>
        </w:tc>
        <w:tc>
          <w:tcPr>
            <w:tcW w:w="1246" w:type="dxa"/>
            <w:noWrap/>
          </w:tcPr>
          <w:p w14:paraId="24C4D338" w14:textId="11342DA2"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447</w:t>
            </w:r>
          </w:p>
        </w:tc>
        <w:tc>
          <w:tcPr>
            <w:tcW w:w="1159" w:type="dxa"/>
            <w:noWrap/>
          </w:tcPr>
          <w:p w14:paraId="2DE7E45C" w14:textId="19C74BB0"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417</w:t>
            </w:r>
          </w:p>
        </w:tc>
        <w:tc>
          <w:tcPr>
            <w:tcW w:w="854" w:type="dxa"/>
            <w:noWrap/>
          </w:tcPr>
          <w:p w14:paraId="34306F2B" w14:textId="0DAF5C62"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501</w:t>
            </w:r>
          </w:p>
        </w:tc>
        <w:tc>
          <w:tcPr>
            <w:tcW w:w="1117" w:type="dxa"/>
            <w:noWrap/>
          </w:tcPr>
          <w:p w14:paraId="4125A4FB" w14:textId="1B77CCFB"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311</w:t>
            </w:r>
          </w:p>
        </w:tc>
        <w:tc>
          <w:tcPr>
            <w:tcW w:w="927" w:type="dxa"/>
            <w:noWrap/>
          </w:tcPr>
          <w:p w14:paraId="5C36FB49" w14:textId="5DFF878F" w:rsidR="00D62481" w:rsidRPr="002903D5" w:rsidRDefault="00D62481" w:rsidP="00D6248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903D5">
              <w:rPr>
                <w:rFonts w:ascii="Calibri" w:eastAsia="Times New Roman" w:hAnsi="Calibri" w:cs="Calibri"/>
                <w:color w:val="000000"/>
              </w:rPr>
              <w:t>308</w:t>
            </w:r>
          </w:p>
        </w:tc>
      </w:tr>
    </w:tbl>
    <w:p w14:paraId="00326B4C" w14:textId="12BCABB8" w:rsidR="00D73169" w:rsidRDefault="00CD78CA" w:rsidP="00A76A0D">
      <w:pPr>
        <w:spacing w:after="0" w:line="240" w:lineRule="auto"/>
        <w:jc w:val="both"/>
        <w:rPr>
          <w:i/>
          <w:iCs/>
          <w:color w:val="44546A" w:themeColor="text2"/>
          <w:sz w:val="18"/>
          <w:szCs w:val="18"/>
        </w:rPr>
      </w:pPr>
      <w:r w:rsidRPr="00CD78CA">
        <w:rPr>
          <w:i/>
          <w:iCs/>
          <w:color w:val="44546A" w:themeColor="text2"/>
          <w:sz w:val="18"/>
          <w:szCs w:val="18"/>
        </w:rPr>
        <w:t xml:space="preserve"> </w:t>
      </w:r>
      <w:r>
        <w:rPr>
          <w:i/>
          <w:iCs/>
          <w:color w:val="44546A" w:themeColor="text2"/>
          <w:sz w:val="18"/>
          <w:szCs w:val="18"/>
        </w:rPr>
        <w:t>Source: Colliers International</w:t>
      </w:r>
    </w:p>
    <w:p w14:paraId="6B147C18" w14:textId="77777777" w:rsidR="00610046" w:rsidRDefault="00610046" w:rsidP="00A76A0D">
      <w:pPr>
        <w:spacing w:after="0" w:line="240" w:lineRule="auto"/>
        <w:jc w:val="both"/>
      </w:pPr>
    </w:p>
    <w:p w14:paraId="1D71632C" w14:textId="7598B1FF" w:rsidR="00610046" w:rsidRDefault="00353859" w:rsidP="00353859">
      <w:pPr>
        <w:jc w:val="both"/>
      </w:pPr>
      <w:r>
        <w:t>Looking at average renting rates in Kutaisi and Batumi</w:t>
      </w:r>
      <w:r w:rsidR="0026391F">
        <w:t xml:space="preserve"> (Figure 16</w:t>
      </w:r>
      <w:r w:rsidR="005E7D11">
        <w:t xml:space="preserve"> &amp;17</w:t>
      </w:r>
      <w:r w:rsidR="0026391F">
        <w:t>)</w:t>
      </w:r>
      <w:r>
        <w:t>, we can also observe an overall decline (more accentuated for Kutaisi and less for Batumi) in rental prices from 2014 to 2017</w:t>
      </w:r>
      <w:r w:rsidR="0026391F">
        <w:t>.</w:t>
      </w:r>
      <w:r>
        <w:t xml:space="preserve"> However, the short length of the time period under observation requires more caution when speaking of </w:t>
      </w:r>
      <w:r w:rsidR="0026391F">
        <w:t>trends.</w:t>
      </w:r>
      <w:r>
        <w:t xml:space="preserve"> The most important difference between Kutaisi, Batumi and Tbilisi, is the lack of rebound in rental prices in 2017 for Batumi and Kutaisi</w:t>
      </w:r>
      <w:r w:rsidR="0026391F">
        <w:t>.</w:t>
      </w:r>
    </w:p>
    <w:p w14:paraId="6545AD03" w14:textId="61B563C7" w:rsidR="00353859" w:rsidRDefault="009C75E6" w:rsidP="00353859">
      <w:pPr>
        <w:pStyle w:val="Caption"/>
        <w:jc w:val="both"/>
      </w:pPr>
      <w:r>
        <w:rPr>
          <w:noProof/>
        </w:rPr>
        <w:drawing>
          <wp:anchor distT="0" distB="0" distL="114300" distR="114300" simplePos="0" relativeHeight="251715584" behindDoc="1" locked="0" layoutInCell="1" allowOverlap="1" wp14:anchorId="0C7A9CD2" wp14:editId="6E8F7173">
            <wp:simplePos x="0" y="0"/>
            <wp:positionH relativeFrom="page">
              <wp:posOffset>3838575</wp:posOffset>
            </wp:positionH>
            <wp:positionV relativeFrom="paragraph">
              <wp:posOffset>270509</wp:posOffset>
            </wp:positionV>
            <wp:extent cx="2809875" cy="2162175"/>
            <wp:effectExtent l="0" t="0" r="9525" b="9525"/>
            <wp:wrapNone/>
            <wp:docPr id="66"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353859">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16</w:t>
      </w:r>
      <w:r w:rsidR="006C3BD6">
        <w:rPr>
          <w:noProof/>
        </w:rPr>
        <w:fldChar w:fldCharType="end"/>
      </w:r>
      <w:r w:rsidR="00353859">
        <w:t xml:space="preserve"> : Renting </w:t>
      </w:r>
      <w:r w:rsidR="00F11557">
        <w:t>r</w:t>
      </w:r>
      <w:r w:rsidR="00353859">
        <w:t xml:space="preserve">ates in Batumi                                                      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17</w:t>
      </w:r>
      <w:r w:rsidR="006C3BD6">
        <w:rPr>
          <w:noProof/>
        </w:rPr>
        <w:fldChar w:fldCharType="end"/>
      </w:r>
      <w:r w:rsidR="00353859">
        <w:t xml:space="preserve">: Renting </w:t>
      </w:r>
      <w:r w:rsidR="00F11557">
        <w:t>r</w:t>
      </w:r>
      <w:r w:rsidR="00353859">
        <w:t>ates in Kutaisi</w:t>
      </w:r>
    </w:p>
    <w:p w14:paraId="3D0B3DC2" w14:textId="124CE683" w:rsidR="00353859" w:rsidRDefault="00353859" w:rsidP="00353859">
      <w:pPr>
        <w:jc w:val="both"/>
      </w:pPr>
      <w:r>
        <w:t xml:space="preserve"> </w:t>
      </w:r>
      <w:r>
        <w:rPr>
          <w:noProof/>
        </w:rPr>
        <w:drawing>
          <wp:inline distT="0" distB="0" distL="0" distR="0" wp14:anchorId="3F167FB8" wp14:editId="0276670F">
            <wp:extent cx="2762250" cy="2162175"/>
            <wp:effectExtent l="0" t="0" r="0" b="9525"/>
            <wp:docPr id="67"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A3AE5B9" w14:textId="724B2DC4" w:rsidR="00353859" w:rsidRPr="00D53B66" w:rsidRDefault="00CD78CA" w:rsidP="00D53B66">
      <w:pPr>
        <w:spacing w:after="0" w:line="240" w:lineRule="auto"/>
        <w:jc w:val="both"/>
      </w:pPr>
      <w:r>
        <w:rPr>
          <w:i/>
          <w:iCs/>
          <w:color w:val="44546A" w:themeColor="text2"/>
          <w:sz w:val="18"/>
          <w:szCs w:val="18"/>
        </w:rPr>
        <w:t>Source: Colliers International</w:t>
      </w:r>
    </w:p>
    <w:p w14:paraId="37467D25" w14:textId="4927B5EF" w:rsidR="00A87478" w:rsidRDefault="00A87478" w:rsidP="00A76A0D">
      <w:pPr>
        <w:pStyle w:val="Heading2"/>
        <w:jc w:val="both"/>
      </w:pPr>
      <w:r>
        <w:lastRenderedPageBreak/>
        <w:t>Overview of unstable housing</w:t>
      </w:r>
      <w:r w:rsidR="00FB7226">
        <w:t xml:space="preserve"> incidence</w:t>
      </w:r>
    </w:p>
    <w:p w14:paraId="137B63E0" w14:textId="77777777" w:rsidR="00D53B66" w:rsidRPr="00D53B66" w:rsidRDefault="00D53B66" w:rsidP="00D53B66"/>
    <w:p w14:paraId="27E87DCA" w14:textId="0A72D35B" w:rsidR="00A87478" w:rsidRPr="006066AB" w:rsidRDefault="00A87478" w:rsidP="00976D0B">
      <w:pPr>
        <w:jc w:val="both"/>
        <w:rPr>
          <w:b/>
          <w:bCs/>
        </w:rPr>
      </w:pPr>
      <w:r w:rsidRPr="006066AB">
        <w:rPr>
          <w:b/>
          <w:bCs/>
        </w:rPr>
        <w:t>Roofless</w:t>
      </w:r>
    </w:p>
    <w:p w14:paraId="477380BC" w14:textId="5237C0E0" w:rsidR="00B132B6" w:rsidRDefault="00B661F7" w:rsidP="00976D0B">
      <w:pPr>
        <w:jc w:val="both"/>
        <w:rPr>
          <w:rFonts w:cstheme="minorHAnsi"/>
        </w:rPr>
      </w:pPr>
      <w:r>
        <w:rPr>
          <w:rFonts w:cstheme="minorHAnsi"/>
        </w:rPr>
        <w:t xml:space="preserve">According to the data </w:t>
      </w:r>
      <w:r w:rsidR="00BA2590">
        <w:rPr>
          <w:rFonts w:cstheme="minorHAnsi"/>
        </w:rPr>
        <w:t xml:space="preserve">provided by </w:t>
      </w:r>
      <w:r w:rsidR="00C510FB">
        <w:rPr>
          <w:rFonts w:cstheme="minorHAnsi"/>
          <w:lang w:val="ka-GE"/>
        </w:rPr>
        <w:t>55</w:t>
      </w:r>
      <w:r w:rsidR="00BA2590">
        <w:rPr>
          <w:rFonts w:cstheme="minorHAnsi"/>
        </w:rPr>
        <w:t xml:space="preserve"> municipalities</w:t>
      </w:r>
      <w:r w:rsidR="00852A9B">
        <w:rPr>
          <w:rFonts w:cstheme="minorHAnsi"/>
        </w:rPr>
        <w:t xml:space="preserve"> out of 71,</w:t>
      </w:r>
      <w:r w:rsidR="00BA2590">
        <w:rPr>
          <w:rFonts w:cstheme="minorHAnsi"/>
        </w:rPr>
        <w:t xml:space="preserve"> </w:t>
      </w:r>
      <w:r>
        <w:rPr>
          <w:rFonts w:cstheme="minorHAnsi"/>
        </w:rPr>
        <w:t xml:space="preserve">there </w:t>
      </w:r>
      <w:r w:rsidRPr="00C510FB">
        <w:rPr>
          <w:rFonts w:cstheme="minorHAnsi"/>
        </w:rPr>
        <w:t xml:space="preserve">are </w:t>
      </w:r>
      <w:r w:rsidR="00C510FB">
        <w:rPr>
          <w:rFonts w:cstheme="minorHAnsi"/>
          <w:lang w:val="ka-GE"/>
        </w:rPr>
        <w:t xml:space="preserve">1206 </w:t>
      </w:r>
      <w:r w:rsidR="00C510FB" w:rsidRPr="00C510FB">
        <w:rPr>
          <w:rFonts w:cstheme="minorHAnsi"/>
        </w:rPr>
        <w:t>household</w:t>
      </w:r>
      <w:r w:rsidR="00C510FB">
        <w:rPr>
          <w:rFonts w:cstheme="minorHAnsi"/>
          <w:lang w:val="ka-GE"/>
        </w:rPr>
        <w:t xml:space="preserve"> </w:t>
      </w:r>
      <w:r w:rsidR="00D110CB" w:rsidRPr="00C510FB">
        <w:rPr>
          <w:rFonts w:cstheme="minorHAnsi"/>
        </w:rPr>
        <w:t>(</w:t>
      </w:r>
      <w:r w:rsidR="00C510FB">
        <w:rPr>
          <w:rFonts w:cstheme="minorHAnsi"/>
          <w:lang w:val="ka-GE"/>
        </w:rPr>
        <w:t>0</w:t>
      </w:r>
      <w:r w:rsidR="005267A9">
        <w:rPr>
          <w:rFonts w:cstheme="minorHAnsi"/>
        </w:rPr>
        <w:t>.</w:t>
      </w:r>
      <w:r w:rsidR="00C510FB">
        <w:rPr>
          <w:rFonts w:cstheme="minorHAnsi"/>
          <w:lang w:val="ka-GE"/>
        </w:rPr>
        <w:t xml:space="preserve">11% </w:t>
      </w:r>
      <w:r w:rsidR="00D110CB" w:rsidRPr="00C510FB">
        <w:rPr>
          <w:rFonts w:cstheme="minorHAnsi"/>
        </w:rPr>
        <w:t>of total households in Georgia)</w:t>
      </w:r>
      <w:r w:rsidR="00D3454B" w:rsidRPr="00C510FB">
        <w:rPr>
          <w:rFonts w:cstheme="minorHAnsi"/>
        </w:rPr>
        <w:t xml:space="preserve"> and </w:t>
      </w:r>
      <w:r w:rsidR="00C510FB">
        <w:rPr>
          <w:rFonts w:cstheme="minorHAnsi"/>
          <w:lang w:val="ka-GE"/>
        </w:rPr>
        <w:t xml:space="preserve">931 </w:t>
      </w:r>
      <w:r w:rsidR="00BA2590" w:rsidRPr="00C510FB">
        <w:rPr>
          <w:rFonts w:cstheme="minorHAnsi"/>
        </w:rPr>
        <w:t>individual beneficiaries</w:t>
      </w:r>
      <w:r w:rsidRPr="00C510FB">
        <w:rPr>
          <w:rFonts w:cstheme="minorHAnsi"/>
        </w:rPr>
        <w:t xml:space="preserve"> </w:t>
      </w:r>
      <w:r w:rsidR="00D110CB" w:rsidRPr="00C510FB">
        <w:rPr>
          <w:rFonts w:cstheme="minorHAnsi"/>
        </w:rPr>
        <w:t>(</w:t>
      </w:r>
      <w:r w:rsidR="00840F80">
        <w:rPr>
          <w:rFonts w:cstheme="minorHAnsi"/>
        </w:rPr>
        <w:t>0</w:t>
      </w:r>
      <w:r w:rsidR="005267A9">
        <w:rPr>
          <w:rFonts w:cstheme="minorHAnsi"/>
        </w:rPr>
        <w:t>.</w:t>
      </w:r>
      <w:r w:rsidR="00840F80">
        <w:rPr>
          <w:rFonts w:cstheme="minorHAnsi"/>
        </w:rPr>
        <w:t xml:space="preserve">025% </w:t>
      </w:r>
      <w:r w:rsidR="00D110CB" w:rsidRPr="00C510FB">
        <w:rPr>
          <w:rFonts w:cstheme="minorHAnsi"/>
        </w:rPr>
        <w:t xml:space="preserve">of the total population) </w:t>
      </w:r>
      <w:r w:rsidRPr="00C510FB">
        <w:rPr>
          <w:rFonts w:cstheme="minorHAnsi"/>
        </w:rPr>
        <w:t xml:space="preserve">who are registered homeless and have not been satisfied with temporary or permanent accommodations </w:t>
      </w:r>
      <w:r w:rsidR="00B132B6">
        <w:rPr>
          <w:rFonts w:cstheme="minorHAnsi"/>
        </w:rPr>
        <w:t>It is important to note that these number</w:t>
      </w:r>
      <w:r w:rsidR="00786963">
        <w:rPr>
          <w:rFonts w:cstheme="minorHAnsi"/>
        </w:rPr>
        <w:t xml:space="preserve">s must be understood as cumulative, as some </w:t>
      </w:r>
      <w:r w:rsidR="00B94C7F">
        <w:rPr>
          <w:rFonts w:cstheme="minorHAnsi"/>
        </w:rPr>
        <w:t>municipalities provide information at the individual level while other provide information at the household level</w:t>
      </w:r>
      <w:r w:rsidR="005267A9">
        <w:rPr>
          <w:rFonts w:cstheme="minorHAnsi"/>
        </w:rPr>
        <w:t>.</w:t>
      </w:r>
      <w:r w:rsidR="005C4957">
        <w:rPr>
          <w:rFonts w:cstheme="minorHAnsi"/>
        </w:rPr>
        <w:t xml:space="preserve"> Unfortunately,</w:t>
      </w:r>
      <w:r w:rsidR="00DE3EC8">
        <w:rPr>
          <w:rFonts w:cstheme="minorHAnsi"/>
        </w:rPr>
        <w:t xml:space="preserve"> the data</w:t>
      </w:r>
      <w:r w:rsidR="005C4957">
        <w:rPr>
          <w:rFonts w:cstheme="minorHAnsi"/>
        </w:rPr>
        <w:t xml:space="preserve"> for Tbilisi are not available.</w:t>
      </w:r>
    </w:p>
    <w:p w14:paraId="28DB77BF" w14:textId="07D99F66" w:rsidR="00082663" w:rsidRDefault="00B66507" w:rsidP="00976D0B">
      <w:pPr>
        <w:jc w:val="both"/>
        <w:rPr>
          <w:rFonts w:cstheme="minorHAnsi"/>
        </w:rPr>
      </w:pPr>
      <w:r>
        <w:rPr>
          <w:rFonts w:cstheme="minorHAnsi"/>
        </w:rPr>
        <w:t xml:space="preserve">These numbers are just indicative, as </w:t>
      </w:r>
      <w:r w:rsidR="00B661F7" w:rsidRPr="00C510FB">
        <w:rPr>
          <w:rFonts w:cstheme="minorHAnsi"/>
        </w:rPr>
        <w:t xml:space="preserve">it is not clear how </w:t>
      </w:r>
      <w:r>
        <w:rPr>
          <w:rFonts w:cstheme="minorHAnsi"/>
        </w:rPr>
        <w:t>the individuals</w:t>
      </w:r>
      <w:r w:rsidR="00B661F7" w:rsidRPr="00C510FB">
        <w:rPr>
          <w:rFonts w:cstheme="minorHAnsi"/>
        </w:rPr>
        <w:t xml:space="preserve"> and households</w:t>
      </w:r>
      <w:r w:rsidR="00B661F7">
        <w:rPr>
          <w:rFonts w:cstheme="minorHAnsi"/>
        </w:rPr>
        <w:t xml:space="preserve"> above</w:t>
      </w:r>
      <w:r>
        <w:rPr>
          <w:rFonts w:cstheme="minorHAnsi"/>
        </w:rPr>
        <w:t xml:space="preserve"> mentioned</w:t>
      </w:r>
      <w:r w:rsidR="00B661F7">
        <w:rPr>
          <w:rFonts w:cstheme="minorHAnsi"/>
        </w:rPr>
        <w:t xml:space="preserve"> are identified</w:t>
      </w:r>
      <w:r>
        <w:rPr>
          <w:rFonts w:cstheme="minorHAnsi"/>
        </w:rPr>
        <w:t xml:space="preserve"> and classified</w:t>
      </w:r>
      <w:r w:rsidR="00B661F7">
        <w:rPr>
          <w:rFonts w:cstheme="minorHAnsi"/>
        </w:rPr>
        <w:t xml:space="preserve"> as homeless</w:t>
      </w:r>
      <w:r w:rsidR="009C3A90">
        <w:rPr>
          <w:rFonts w:cstheme="minorHAnsi"/>
        </w:rPr>
        <w:t xml:space="preserve"> by the different municipalities</w:t>
      </w:r>
      <w:r>
        <w:rPr>
          <w:rFonts w:cstheme="minorHAnsi"/>
        </w:rPr>
        <w:t>, who adopt different definitions and approaches</w:t>
      </w:r>
      <w:r w:rsidR="005267A9">
        <w:rPr>
          <w:rFonts w:cstheme="minorHAnsi"/>
        </w:rPr>
        <w:t>.</w:t>
      </w:r>
      <w:r w:rsidR="00B661F7">
        <w:rPr>
          <w:rFonts w:cstheme="minorHAnsi"/>
        </w:rPr>
        <w:t xml:space="preserve"> Some of them</w:t>
      </w:r>
      <w:r w:rsidR="00B55AEB">
        <w:rPr>
          <w:rFonts w:cstheme="minorHAnsi"/>
        </w:rPr>
        <w:t xml:space="preserve"> might live in public places while</w:t>
      </w:r>
      <w:r w:rsidR="00B661F7">
        <w:rPr>
          <w:rFonts w:cstheme="minorHAnsi"/>
        </w:rPr>
        <w:t xml:space="preserve"> the rest of them</w:t>
      </w:r>
      <w:r w:rsidR="00B55AEB">
        <w:rPr>
          <w:rFonts w:cstheme="minorHAnsi"/>
        </w:rPr>
        <w:t xml:space="preserve"> might live</w:t>
      </w:r>
      <w:r w:rsidR="00B661F7">
        <w:rPr>
          <w:rFonts w:cstheme="minorHAnsi"/>
        </w:rPr>
        <w:t xml:space="preserve"> with their relatives, so severity of problem is not so evident</w:t>
      </w:r>
      <w:r w:rsidR="005267A9">
        <w:rPr>
          <w:rFonts w:cstheme="minorHAnsi"/>
        </w:rPr>
        <w:t>.</w:t>
      </w:r>
      <w:r w:rsidR="00B661F7">
        <w:rPr>
          <w:rFonts w:cstheme="minorHAnsi"/>
        </w:rPr>
        <w:t xml:space="preserve"> Moreover, the</w:t>
      </w:r>
      <w:r w:rsidR="009C4E4C">
        <w:rPr>
          <w:rFonts w:cstheme="minorHAnsi"/>
        </w:rPr>
        <w:t xml:space="preserve"> data are provided</w:t>
      </w:r>
      <w:r w:rsidR="009C3A90">
        <w:rPr>
          <w:rFonts w:cstheme="minorHAnsi"/>
        </w:rPr>
        <w:t xml:space="preserve"> at a single point in time, so it is not possible to study the trend o</w:t>
      </w:r>
      <w:r w:rsidR="00B661F7">
        <w:rPr>
          <w:rFonts w:cstheme="minorHAnsi"/>
        </w:rPr>
        <w:t>f the indicator</w:t>
      </w:r>
      <w:r>
        <w:rPr>
          <w:rFonts w:cstheme="minorHAnsi"/>
        </w:rPr>
        <w:t xml:space="preserve"> </w:t>
      </w:r>
    </w:p>
    <w:p w14:paraId="6A0B67FF" w14:textId="3FEF27FE" w:rsidR="003B2C8F" w:rsidRDefault="003B2C8F" w:rsidP="00976D0B">
      <w:pPr>
        <w:jc w:val="both"/>
        <w:rPr>
          <w:rFonts w:cstheme="minorHAnsi"/>
        </w:rPr>
      </w:pPr>
      <w:r>
        <w:rPr>
          <w:rFonts w:cstheme="minorHAnsi"/>
        </w:rPr>
        <w:t xml:space="preserve">These numbers are also </w:t>
      </w:r>
      <w:r w:rsidR="009934DB">
        <w:rPr>
          <w:rFonts w:cstheme="minorHAnsi"/>
        </w:rPr>
        <w:t>likely to underestimate the true number of roofless individuals/households, as</w:t>
      </w:r>
      <w:r w:rsidR="007F33B4">
        <w:rPr>
          <w:rFonts w:cstheme="minorHAnsi"/>
        </w:rPr>
        <w:t xml:space="preserve"> – in order to appear in this list</w:t>
      </w:r>
      <w:r w:rsidR="00A36356">
        <w:rPr>
          <w:rFonts w:cstheme="minorHAnsi"/>
        </w:rPr>
        <w:t xml:space="preserve"> and be counted</w:t>
      </w:r>
      <w:r w:rsidR="007F33B4">
        <w:rPr>
          <w:rFonts w:cstheme="minorHAnsi"/>
        </w:rPr>
        <w:t xml:space="preserve"> – individuals and households need to be registered as </w:t>
      </w:r>
      <w:r w:rsidR="00DE3EC8">
        <w:rPr>
          <w:rFonts w:cstheme="minorHAnsi"/>
        </w:rPr>
        <w:t>ho</w:t>
      </w:r>
      <w:r w:rsidR="007F33B4">
        <w:rPr>
          <w:rFonts w:cstheme="minorHAnsi"/>
        </w:rPr>
        <w:t>meless</w:t>
      </w:r>
      <w:r w:rsidR="00DE3EC8">
        <w:rPr>
          <w:rFonts w:cstheme="minorHAnsi"/>
        </w:rPr>
        <w:t>.</w:t>
      </w:r>
    </w:p>
    <w:p w14:paraId="627581CF" w14:textId="3189EB08" w:rsidR="00BA2590" w:rsidRDefault="00B66507" w:rsidP="00976D0B">
      <w:pPr>
        <w:jc w:val="both"/>
        <w:rPr>
          <w:rFonts w:cstheme="minorHAnsi"/>
        </w:rPr>
      </w:pPr>
      <w:r>
        <w:rPr>
          <w:rFonts w:cstheme="minorHAnsi"/>
        </w:rPr>
        <w:t xml:space="preserve">Still, based on the available data, summarized </w:t>
      </w:r>
      <w:r w:rsidR="00BA2590">
        <w:rPr>
          <w:rFonts w:cstheme="minorHAnsi"/>
        </w:rPr>
        <w:t xml:space="preserve">in Figure </w:t>
      </w:r>
      <w:r w:rsidR="00DE3EC8">
        <w:rPr>
          <w:rFonts w:cstheme="minorHAnsi"/>
        </w:rPr>
        <w:t>18,</w:t>
      </w:r>
      <w:r w:rsidR="00BA2590">
        <w:rPr>
          <w:rFonts w:cstheme="minorHAnsi"/>
        </w:rPr>
        <w:t xml:space="preserve"> the highest</w:t>
      </w:r>
      <w:r>
        <w:rPr>
          <w:rFonts w:cstheme="minorHAnsi"/>
        </w:rPr>
        <w:t xml:space="preserve"> share of</w:t>
      </w:r>
      <w:r w:rsidR="00BA2590">
        <w:rPr>
          <w:rFonts w:cstheme="minorHAnsi"/>
        </w:rPr>
        <w:t xml:space="preserve"> households </w:t>
      </w:r>
      <w:r w:rsidR="000644AF">
        <w:rPr>
          <w:rFonts w:cstheme="minorHAnsi"/>
        </w:rPr>
        <w:t xml:space="preserve">in </w:t>
      </w:r>
      <w:r w:rsidR="00BA2590">
        <w:rPr>
          <w:rFonts w:cstheme="minorHAnsi"/>
        </w:rPr>
        <w:t xml:space="preserve">need </w:t>
      </w:r>
      <w:r w:rsidR="000644AF">
        <w:rPr>
          <w:rFonts w:cstheme="minorHAnsi"/>
        </w:rPr>
        <w:t>of</w:t>
      </w:r>
      <w:r w:rsidR="00BA2590">
        <w:rPr>
          <w:rFonts w:cstheme="minorHAnsi"/>
        </w:rPr>
        <w:t xml:space="preserve"> help </w:t>
      </w:r>
      <w:r>
        <w:rPr>
          <w:rFonts w:cstheme="minorHAnsi"/>
        </w:rPr>
        <w:t xml:space="preserve">is </w:t>
      </w:r>
      <w:r w:rsidR="00BA2590">
        <w:rPr>
          <w:rFonts w:cstheme="minorHAnsi"/>
        </w:rPr>
        <w:t xml:space="preserve">in </w:t>
      </w:r>
      <w:proofErr w:type="spellStart"/>
      <w:r w:rsidR="00BA2590">
        <w:rPr>
          <w:rFonts w:cstheme="minorHAnsi"/>
        </w:rPr>
        <w:t>Mestia</w:t>
      </w:r>
      <w:proofErr w:type="spellEnd"/>
      <w:r>
        <w:rPr>
          <w:rFonts w:cstheme="minorHAnsi"/>
        </w:rPr>
        <w:t xml:space="preserve"> (76%)</w:t>
      </w:r>
      <w:r w:rsidR="00C32F22">
        <w:rPr>
          <w:rFonts w:cstheme="minorHAnsi"/>
        </w:rPr>
        <w:t xml:space="preserve">, followed by </w:t>
      </w:r>
      <w:r w:rsidR="00B32501">
        <w:rPr>
          <w:rFonts w:cstheme="minorHAnsi"/>
        </w:rPr>
        <w:t>Kutaisi</w:t>
      </w:r>
      <w:r w:rsidR="00C32F22">
        <w:rPr>
          <w:rFonts w:cstheme="minorHAnsi"/>
        </w:rPr>
        <w:t xml:space="preserve"> (20%) and </w:t>
      </w:r>
      <w:proofErr w:type="spellStart"/>
      <w:r w:rsidR="00C32F22">
        <w:rPr>
          <w:rFonts w:cstheme="minorHAnsi"/>
        </w:rPr>
        <w:t>Gurj</w:t>
      </w:r>
      <w:r w:rsidR="00B32501">
        <w:rPr>
          <w:rFonts w:cstheme="minorHAnsi"/>
        </w:rPr>
        <w:t>a</w:t>
      </w:r>
      <w:r w:rsidR="00C32F22">
        <w:rPr>
          <w:rFonts w:cstheme="minorHAnsi"/>
        </w:rPr>
        <w:t>ani</w:t>
      </w:r>
      <w:proofErr w:type="spellEnd"/>
      <w:r w:rsidR="00FB142E">
        <w:rPr>
          <w:rFonts w:cstheme="minorHAnsi"/>
        </w:rPr>
        <w:t xml:space="preserve"> (4%</w:t>
      </w:r>
      <w:r w:rsidR="00F11557">
        <w:rPr>
          <w:rFonts w:cstheme="minorHAnsi"/>
        </w:rPr>
        <w:t>).</w:t>
      </w:r>
      <w:r w:rsidR="00FB142E">
        <w:rPr>
          <w:rFonts w:cstheme="minorHAnsi"/>
        </w:rPr>
        <w:t xml:space="preserve"> </w:t>
      </w:r>
      <w:r w:rsidR="000C6A34">
        <w:rPr>
          <w:rFonts w:cstheme="minorHAnsi"/>
        </w:rPr>
        <w:t xml:space="preserve">Homeless </w:t>
      </w:r>
      <w:r w:rsidR="00BA2590">
        <w:rPr>
          <w:rFonts w:cstheme="minorHAnsi"/>
        </w:rPr>
        <w:t xml:space="preserve">individuals </w:t>
      </w:r>
      <w:r w:rsidR="000C6A34">
        <w:rPr>
          <w:rFonts w:cstheme="minorHAnsi"/>
        </w:rPr>
        <w:t xml:space="preserve">who applied for homeless status and have not been satisfied live, instead, in </w:t>
      </w:r>
      <w:proofErr w:type="spellStart"/>
      <w:r w:rsidR="000C6A34">
        <w:rPr>
          <w:rFonts w:cstheme="minorHAnsi"/>
        </w:rPr>
        <w:t>Khashuri</w:t>
      </w:r>
      <w:proofErr w:type="spellEnd"/>
      <w:r w:rsidR="000C6A34">
        <w:rPr>
          <w:rFonts w:cstheme="minorHAnsi"/>
        </w:rPr>
        <w:t xml:space="preserve"> (</w:t>
      </w:r>
      <w:r w:rsidR="00BA2590">
        <w:rPr>
          <w:rFonts w:cstheme="minorHAnsi"/>
        </w:rPr>
        <w:t>38%</w:t>
      </w:r>
      <w:r w:rsidR="00A2181E">
        <w:rPr>
          <w:rFonts w:cstheme="minorHAnsi"/>
        </w:rPr>
        <w:t>)</w:t>
      </w:r>
      <w:r w:rsidR="006C7E8D">
        <w:rPr>
          <w:rFonts w:cstheme="minorHAnsi"/>
        </w:rPr>
        <w:t xml:space="preserve">, Marneuli (25%) and in </w:t>
      </w:r>
      <w:proofErr w:type="spellStart"/>
      <w:r w:rsidR="006C7E8D">
        <w:rPr>
          <w:rFonts w:cstheme="minorHAnsi"/>
        </w:rPr>
        <w:t>Poti</w:t>
      </w:r>
      <w:proofErr w:type="spellEnd"/>
      <w:r w:rsidR="006C7E8D">
        <w:rPr>
          <w:rFonts w:cstheme="minorHAnsi"/>
        </w:rPr>
        <w:t xml:space="preserve"> (24%).</w:t>
      </w:r>
    </w:p>
    <w:p w14:paraId="50C5891E" w14:textId="36466826" w:rsidR="00EE5BB4" w:rsidRPr="000644AF" w:rsidRDefault="006C7E8D" w:rsidP="00976D0B">
      <w:pPr>
        <w:pStyle w:val="Caption"/>
        <w:jc w:val="both"/>
        <w:rPr>
          <w:rFonts w:cstheme="minorHAnsi"/>
        </w:rPr>
      </w:pPr>
      <w:r>
        <w:rPr>
          <w:noProof/>
        </w:rPr>
        <w:drawing>
          <wp:anchor distT="0" distB="0" distL="114300" distR="114300" simplePos="0" relativeHeight="251720704" behindDoc="1" locked="0" layoutInCell="1" allowOverlap="1" wp14:anchorId="0996EE77" wp14:editId="0F737488">
            <wp:simplePos x="0" y="0"/>
            <wp:positionH relativeFrom="margin">
              <wp:align>left</wp:align>
            </wp:positionH>
            <wp:positionV relativeFrom="paragraph">
              <wp:posOffset>266700</wp:posOffset>
            </wp:positionV>
            <wp:extent cx="2924175" cy="2571750"/>
            <wp:effectExtent l="0" t="0" r="9525" b="0"/>
            <wp:wrapNone/>
            <wp:docPr id="37" name="Chart 37">
              <a:extLst xmlns:a="http://schemas.openxmlformats.org/drawingml/2006/main">
                <a:ext uri="{FF2B5EF4-FFF2-40B4-BE49-F238E27FC236}">
                  <a16:creationId xmlns:a16="http://schemas.microsoft.com/office/drawing/2014/main"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EE5BB4" w:rsidRPr="000644AF">
        <w:rPr>
          <w:rFonts w:cstheme="minorHAnsi"/>
        </w:rPr>
        <w:t xml:space="preserve">Figure </w:t>
      </w:r>
      <w:r w:rsidR="00D76E58">
        <w:rPr>
          <w:rFonts w:cstheme="minorHAnsi"/>
        </w:rPr>
        <w:fldChar w:fldCharType="begin"/>
      </w:r>
      <w:r w:rsidR="00D76E58">
        <w:rPr>
          <w:rFonts w:cstheme="minorHAnsi"/>
        </w:rPr>
        <w:instrText xml:space="preserve"> SEQ Figure \* ARABIC </w:instrText>
      </w:r>
      <w:r w:rsidR="00D76E58">
        <w:rPr>
          <w:rFonts w:cstheme="minorHAnsi"/>
        </w:rPr>
        <w:fldChar w:fldCharType="separate"/>
      </w:r>
      <w:r w:rsidR="006B5103">
        <w:rPr>
          <w:rFonts w:cstheme="minorHAnsi"/>
          <w:noProof/>
        </w:rPr>
        <w:t>18</w:t>
      </w:r>
      <w:r w:rsidR="00D76E58">
        <w:rPr>
          <w:rFonts w:cstheme="minorHAnsi"/>
        </w:rPr>
        <w:fldChar w:fldCharType="end"/>
      </w:r>
      <w:r w:rsidR="00EE5BB4" w:rsidRPr="00C510FB">
        <w:rPr>
          <w:rFonts w:cstheme="minorHAnsi"/>
          <w:lang w:val="ka-GE"/>
        </w:rPr>
        <w:t xml:space="preserve">: </w:t>
      </w:r>
      <w:r w:rsidR="00EE5BB4" w:rsidRPr="00C510FB">
        <w:rPr>
          <w:rFonts w:cstheme="minorHAnsi"/>
        </w:rPr>
        <w:t xml:space="preserve">Distribution of </w:t>
      </w:r>
      <w:r w:rsidR="00F11557">
        <w:rPr>
          <w:rFonts w:cstheme="minorHAnsi"/>
        </w:rPr>
        <w:t>r</w:t>
      </w:r>
      <w:r w:rsidR="00EE5BB4" w:rsidRPr="00C510FB">
        <w:rPr>
          <w:rFonts w:cstheme="minorHAnsi"/>
        </w:rPr>
        <w:t>oofless</w:t>
      </w:r>
      <w:r w:rsidR="00D34144">
        <w:rPr>
          <w:rFonts w:cstheme="minorHAnsi"/>
          <w:lang w:val="ka-GE"/>
        </w:rPr>
        <w:t xml:space="preserve"> </w:t>
      </w:r>
      <w:r w:rsidR="00F11557">
        <w:rPr>
          <w:rFonts w:cstheme="minorHAnsi"/>
        </w:rPr>
        <w:t>h</w:t>
      </w:r>
      <w:r w:rsidR="00D34144">
        <w:rPr>
          <w:rFonts w:cstheme="minorHAnsi"/>
        </w:rPr>
        <w:t>ouseholds</w:t>
      </w:r>
      <w:r w:rsidR="00B32501">
        <w:rPr>
          <w:rFonts w:cstheme="minorHAnsi"/>
        </w:rPr>
        <w:t xml:space="preserve"> and </w:t>
      </w:r>
      <w:r w:rsidR="00F11557">
        <w:rPr>
          <w:rFonts w:cstheme="minorHAnsi"/>
        </w:rPr>
        <w:t>i</w:t>
      </w:r>
      <w:r w:rsidR="00B32501">
        <w:rPr>
          <w:rFonts w:cstheme="minorHAnsi"/>
        </w:rPr>
        <w:t>ndividuals</w:t>
      </w:r>
      <w:r w:rsidR="004128DF">
        <w:rPr>
          <w:rFonts w:cstheme="minorHAnsi"/>
        </w:rPr>
        <w:t xml:space="preserve"> </w:t>
      </w:r>
      <w:r w:rsidR="00F11557">
        <w:rPr>
          <w:rFonts w:cstheme="minorHAnsi"/>
        </w:rPr>
        <w:t>a</w:t>
      </w:r>
      <w:r w:rsidR="00EE5BB4" w:rsidRPr="00C510FB">
        <w:rPr>
          <w:rFonts w:cstheme="minorHAnsi"/>
        </w:rPr>
        <w:t xml:space="preserve">mong </w:t>
      </w:r>
      <w:r w:rsidR="00F11557">
        <w:rPr>
          <w:rFonts w:cstheme="minorHAnsi"/>
        </w:rPr>
        <w:t>m</w:t>
      </w:r>
      <w:r w:rsidR="00EE5BB4" w:rsidRPr="00C510FB">
        <w:rPr>
          <w:rFonts w:cstheme="minorHAnsi"/>
        </w:rPr>
        <w:t>unicipalities</w:t>
      </w:r>
      <w:r w:rsidR="00E06C4F">
        <w:rPr>
          <w:rFonts w:cstheme="minorHAnsi"/>
        </w:rPr>
        <w:t xml:space="preserve"> (</w:t>
      </w:r>
      <w:r w:rsidR="00F11557">
        <w:rPr>
          <w:rFonts w:cstheme="minorHAnsi"/>
        </w:rPr>
        <w:t xml:space="preserve">data for </w:t>
      </w:r>
      <w:r w:rsidR="00E06C4F">
        <w:rPr>
          <w:rFonts w:cstheme="minorHAnsi"/>
        </w:rPr>
        <w:t>Tbilisi not available</w:t>
      </w:r>
      <w:r w:rsidR="00F11557">
        <w:rPr>
          <w:rFonts w:cstheme="minorHAnsi"/>
        </w:rPr>
        <w:t xml:space="preserve"> yet</w:t>
      </w:r>
      <w:r w:rsidR="00E06C4F">
        <w:rPr>
          <w:rFonts w:cstheme="minorHAnsi"/>
        </w:rPr>
        <w:t>)</w:t>
      </w:r>
    </w:p>
    <w:p w14:paraId="0D410FDE" w14:textId="50D96E2A" w:rsidR="00181FF5" w:rsidRDefault="00A2181E" w:rsidP="00976D0B">
      <w:pPr>
        <w:jc w:val="both"/>
        <w:rPr>
          <w:rFonts w:cstheme="minorHAnsi"/>
        </w:rPr>
      </w:pPr>
      <w:r>
        <w:rPr>
          <w:noProof/>
        </w:rPr>
        <w:drawing>
          <wp:anchor distT="0" distB="0" distL="114300" distR="114300" simplePos="0" relativeHeight="251719680" behindDoc="1" locked="0" layoutInCell="1" allowOverlap="1" wp14:anchorId="6FAD38AC" wp14:editId="010A9E9C">
            <wp:simplePos x="0" y="0"/>
            <wp:positionH relativeFrom="margin">
              <wp:posOffset>3019425</wp:posOffset>
            </wp:positionH>
            <wp:positionV relativeFrom="paragraph">
              <wp:posOffset>9525</wp:posOffset>
            </wp:positionV>
            <wp:extent cx="2628900" cy="2581275"/>
            <wp:effectExtent l="0" t="0" r="0" b="9525"/>
            <wp:wrapNone/>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641AA01F" w14:textId="77777777" w:rsidR="00A2181E" w:rsidRDefault="00A2181E" w:rsidP="00976D0B">
      <w:pPr>
        <w:jc w:val="both"/>
        <w:rPr>
          <w:rFonts w:cstheme="minorHAnsi"/>
        </w:rPr>
      </w:pPr>
    </w:p>
    <w:p w14:paraId="69E292E0" w14:textId="77777777" w:rsidR="00694FEE" w:rsidRDefault="00694FEE" w:rsidP="00976D0B">
      <w:pPr>
        <w:jc w:val="both"/>
        <w:rPr>
          <w:i/>
          <w:iCs/>
          <w:color w:val="44546A" w:themeColor="text2"/>
          <w:sz w:val="18"/>
          <w:szCs w:val="18"/>
        </w:rPr>
      </w:pPr>
    </w:p>
    <w:p w14:paraId="34299848" w14:textId="77777777" w:rsidR="00694FEE" w:rsidRDefault="00694FEE" w:rsidP="00976D0B">
      <w:pPr>
        <w:jc w:val="both"/>
        <w:rPr>
          <w:i/>
          <w:iCs/>
          <w:color w:val="44546A" w:themeColor="text2"/>
          <w:sz w:val="18"/>
          <w:szCs w:val="18"/>
        </w:rPr>
      </w:pPr>
    </w:p>
    <w:p w14:paraId="3AC3D421" w14:textId="77777777" w:rsidR="00694FEE" w:rsidRDefault="00694FEE" w:rsidP="00976D0B">
      <w:pPr>
        <w:jc w:val="both"/>
        <w:rPr>
          <w:i/>
          <w:iCs/>
          <w:color w:val="44546A" w:themeColor="text2"/>
          <w:sz w:val="18"/>
          <w:szCs w:val="18"/>
        </w:rPr>
      </w:pPr>
    </w:p>
    <w:p w14:paraId="05ADC4E4" w14:textId="77777777" w:rsidR="00694FEE" w:rsidRDefault="00694FEE" w:rsidP="00976D0B">
      <w:pPr>
        <w:jc w:val="both"/>
        <w:rPr>
          <w:i/>
          <w:iCs/>
          <w:color w:val="44546A" w:themeColor="text2"/>
          <w:sz w:val="18"/>
          <w:szCs w:val="18"/>
        </w:rPr>
      </w:pPr>
    </w:p>
    <w:p w14:paraId="76671C91" w14:textId="77777777" w:rsidR="00694FEE" w:rsidRDefault="00694FEE" w:rsidP="00976D0B">
      <w:pPr>
        <w:jc w:val="both"/>
        <w:rPr>
          <w:i/>
          <w:iCs/>
          <w:color w:val="44546A" w:themeColor="text2"/>
          <w:sz w:val="18"/>
          <w:szCs w:val="18"/>
        </w:rPr>
      </w:pPr>
    </w:p>
    <w:p w14:paraId="6CBFDA4A" w14:textId="77777777" w:rsidR="00694FEE" w:rsidRDefault="00694FEE" w:rsidP="00976D0B">
      <w:pPr>
        <w:jc w:val="both"/>
        <w:rPr>
          <w:i/>
          <w:iCs/>
          <w:color w:val="44546A" w:themeColor="text2"/>
          <w:sz w:val="18"/>
          <w:szCs w:val="18"/>
        </w:rPr>
      </w:pPr>
    </w:p>
    <w:p w14:paraId="17262D37" w14:textId="77777777" w:rsidR="00694FEE" w:rsidRDefault="00694FEE" w:rsidP="00976D0B">
      <w:pPr>
        <w:jc w:val="both"/>
        <w:rPr>
          <w:i/>
          <w:iCs/>
          <w:color w:val="44546A" w:themeColor="text2"/>
          <w:sz w:val="18"/>
          <w:szCs w:val="18"/>
        </w:rPr>
      </w:pPr>
    </w:p>
    <w:p w14:paraId="2EA152D9" w14:textId="77777777" w:rsidR="00694FEE" w:rsidRDefault="00694FEE" w:rsidP="00976D0B">
      <w:pPr>
        <w:jc w:val="both"/>
        <w:rPr>
          <w:i/>
          <w:iCs/>
          <w:color w:val="44546A" w:themeColor="text2"/>
          <w:sz w:val="18"/>
          <w:szCs w:val="18"/>
        </w:rPr>
      </w:pPr>
    </w:p>
    <w:p w14:paraId="40B7E540" w14:textId="3E9C9985" w:rsidR="00694FEE" w:rsidRDefault="006C7E8D" w:rsidP="00976D0B">
      <w:pPr>
        <w:jc w:val="both"/>
        <w:rPr>
          <w:rFonts w:cstheme="minorHAnsi"/>
        </w:rPr>
      </w:pPr>
      <w:r w:rsidRPr="00C510FB">
        <w:rPr>
          <w:i/>
          <w:iCs/>
          <w:color w:val="44546A" w:themeColor="text2"/>
          <w:sz w:val="18"/>
          <w:szCs w:val="18"/>
        </w:rPr>
        <w:t xml:space="preserve">Source: </w:t>
      </w:r>
      <w:r w:rsidR="004360B9">
        <w:rPr>
          <w:i/>
          <w:iCs/>
          <w:color w:val="44546A" w:themeColor="text2"/>
          <w:sz w:val="18"/>
          <w:szCs w:val="18"/>
        </w:rPr>
        <w:t xml:space="preserve">Local </w:t>
      </w:r>
      <w:r w:rsidRPr="00C510FB">
        <w:rPr>
          <w:i/>
          <w:iCs/>
          <w:color w:val="44546A" w:themeColor="text2"/>
          <w:sz w:val="18"/>
          <w:szCs w:val="18"/>
        </w:rPr>
        <w:t>Municipalities</w:t>
      </w:r>
    </w:p>
    <w:p w14:paraId="55AB82C2" w14:textId="67944EA8" w:rsidR="00AF15BC" w:rsidRDefault="00AF15BC" w:rsidP="00976D0B">
      <w:pPr>
        <w:jc w:val="both"/>
        <w:rPr>
          <w:rFonts w:cstheme="minorHAnsi"/>
        </w:rPr>
      </w:pPr>
      <w:r>
        <w:rPr>
          <w:rFonts w:cstheme="minorHAnsi"/>
        </w:rPr>
        <w:t>Assuming an average household size of</w:t>
      </w:r>
      <w:r w:rsidR="00A66CBA">
        <w:rPr>
          <w:rFonts w:cstheme="minorHAnsi"/>
        </w:rPr>
        <w:t xml:space="preserve"> 3.5 </w:t>
      </w:r>
      <w:r>
        <w:rPr>
          <w:rFonts w:cstheme="minorHAnsi"/>
        </w:rPr>
        <w:t>the estimated number of roofless individuals</w:t>
      </w:r>
      <w:r w:rsidR="005100C9">
        <w:rPr>
          <w:rFonts w:cstheme="minorHAnsi"/>
        </w:rPr>
        <w:t xml:space="preserve"> in the country would be</w:t>
      </w:r>
      <w:r w:rsidR="00A66CBA">
        <w:rPr>
          <w:rFonts w:cstheme="minorHAnsi"/>
        </w:rPr>
        <w:t xml:space="preserve"> 5152</w:t>
      </w:r>
      <w:r w:rsidR="005100C9">
        <w:rPr>
          <w:rFonts w:cstheme="minorHAnsi"/>
        </w:rPr>
        <w:t xml:space="preserve"> (</w:t>
      </w:r>
      <w:r w:rsidR="00A66CBA">
        <w:rPr>
          <w:rFonts w:cstheme="minorHAnsi"/>
        </w:rPr>
        <w:t xml:space="preserve">approximately 0.14 </w:t>
      </w:r>
      <w:r w:rsidR="005100C9">
        <w:rPr>
          <w:rFonts w:cstheme="minorHAnsi"/>
        </w:rPr>
        <w:t xml:space="preserve">% of </w:t>
      </w:r>
      <w:r w:rsidR="00DE3EC8">
        <w:rPr>
          <w:rFonts w:cstheme="minorHAnsi"/>
        </w:rPr>
        <w:t xml:space="preserve">the total </w:t>
      </w:r>
      <w:r w:rsidR="005100C9">
        <w:rPr>
          <w:rFonts w:cstheme="minorHAnsi"/>
        </w:rPr>
        <w:t>populatio</w:t>
      </w:r>
      <w:r w:rsidR="00A66CBA">
        <w:rPr>
          <w:rFonts w:cstheme="minorHAnsi"/>
        </w:rPr>
        <w:t>n</w:t>
      </w:r>
      <w:r w:rsidR="005100C9">
        <w:rPr>
          <w:rFonts w:cstheme="minorHAnsi"/>
        </w:rPr>
        <w:t>)</w:t>
      </w:r>
      <w:r w:rsidR="00275221">
        <w:rPr>
          <w:rFonts w:cstheme="minorHAnsi"/>
        </w:rPr>
        <w:t xml:space="preserve">. </w:t>
      </w:r>
      <w:r w:rsidR="00CE38E8">
        <w:rPr>
          <w:rFonts w:cstheme="minorHAnsi"/>
        </w:rPr>
        <w:t xml:space="preserve">It is important to highlight, however, that </w:t>
      </w:r>
      <w:r w:rsidR="00CE38E8">
        <w:rPr>
          <w:rFonts w:cstheme="minorHAnsi"/>
        </w:rPr>
        <w:lastRenderedPageBreak/>
        <w:t xml:space="preserve">this number is likely to be larger, as at this stage we have no data for Tbilisi. </w:t>
      </w:r>
      <w:r w:rsidR="00275221">
        <w:rPr>
          <w:rFonts w:cstheme="minorHAnsi"/>
        </w:rPr>
        <w:t xml:space="preserve">Distribution of homeless people estimated with the aforementioned methodology are depicted below in Table </w:t>
      </w:r>
      <w:r w:rsidR="00DE3EC8">
        <w:rPr>
          <w:rFonts w:cstheme="minorHAnsi"/>
        </w:rPr>
        <w:t>4</w:t>
      </w:r>
      <w:r w:rsidR="00275221">
        <w:rPr>
          <w:rFonts w:cstheme="minorHAnsi"/>
        </w:rPr>
        <w:t>.</w:t>
      </w:r>
    </w:p>
    <w:p w14:paraId="19D281C4" w14:textId="7059BA7F" w:rsidR="0023289B" w:rsidRDefault="0023289B" w:rsidP="0023289B">
      <w:pPr>
        <w:pStyle w:val="Caption"/>
        <w:rPr>
          <w:rFonts w:cstheme="minorHAnsi"/>
        </w:rPr>
      </w:pPr>
      <w:r>
        <w:t xml:space="preserve">Table </w:t>
      </w:r>
      <w:r w:rsidR="009C48A0">
        <w:rPr>
          <w:noProof/>
        </w:rPr>
        <w:fldChar w:fldCharType="begin"/>
      </w:r>
      <w:r w:rsidR="009C48A0">
        <w:rPr>
          <w:noProof/>
        </w:rPr>
        <w:instrText xml:space="preserve"> SEQ Table \* ARABIC </w:instrText>
      </w:r>
      <w:r w:rsidR="009C48A0">
        <w:rPr>
          <w:noProof/>
        </w:rPr>
        <w:fldChar w:fldCharType="separate"/>
      </w:r>
      <w:r w:rsidR="008F3E6B">
        <w:rPr>
          <w:noProof/>
        </w:rPr>
        <w:t>4</w:t>
      </w:r>
      <w:r w:rsidR="009C48A0">
        <w:rPr>
          <w:noProof/>
        </w:rPr>
        <w:fldChar w:fldCharType="end"/>
      </w:r>
      <w:r>
        <w:t xml:space="preserve">: Distribution of </w:t>
      </w:r>
      <w:r w:rsidR="00F11557">
        <w:t>r</w:t>
      </w:r>
      <w:r>
        <w:t xml:space="preserve">oofless </w:t>
      </w:r>
      <w:r w:rsidR="00F11557">
        <w:t>i</w:t>
      </w:r>
      <w:r>
        <w:t xml:space="preserve">ndividuals </w:t>
      </w:r>
      <w:r w:rsidR="00F11557">
        <w:t>a</w:t>
      </w:r>
      <w:r>
        <w:t xml:space="preserve">ccording to </w:t>
      </w:r>
      <w:r w:rsidR="00F11557">
        <w:t>m</w:t>
      </w:r>
      <w:r>
        <w:t xml:space="preserve">unicipalities </w:t>
      </w:r>
      <w:r w:rsidR="00593D82">
        <w:t>(</w:t>
      </w:r>
      <w:r w:rsidR="00F11557">
        <w:rPr>
          <w:rFonts w:cstheme="minorHAnsi"/>
        </w:rPr>
        <w:t>data for Tbilisi not available yet)</w:t>
      </w:r>
    </w:p>
    <w:tbl>
      <w:tblPr>
        <w:tblStyle w:val="GridTable1Light-Accent1"/>
        <w:tblW w:w="9296" w:type="dxa"/>
        <w:tblLook w:val="04A0" w:firstRow="1" w:lastRow="0" w:firstColumn="1" w:lastColumn="0" w:noHBand="0" w:noVBand="1"/>
      </w:tblPr>
      <w:tblGrid>
        <w:gridCol w:w="6489"/>
        <w:gridCol w:w="2807"/>
      </w:tblGrid>
      <w:tr w:rsidR="0023289B" w:rsidRPr="0023289B" w14:paraId="30954F2A" w14:textId="77777777" w:rsidTr="00454C26">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6489" w:type="dxa"/>
            <w:noWrap/>
            <w:hideMark/>
          </w:tcPr>
          <w:p w14:paraId="7C2ED889" w14:textId="66B13812" w:rsidR="0023289B" w:rsidRPr="0023289B" w:rsidRDefault="0023289B" w:rsidP="0023289B">
            <w:pPr>
              <w:jc w:val="center"/>
              <w:rPr>
                <w:rFonts w:ascii="Calibri" w:eastAsia="Times New Roman" w:hAnsi="Calibri" w:cs="Calibri"/>
                <w:color w:val="000000"/>
              </w:rPr>
            </w:pPr>
            <w:r w:rsidRPr="0023289B">
              <w:rPr>
                <w:rFonts w:ascii="Calibri" w:eastAsia="Times New Roman" w:hAnsi="Calibri" w:cs="Calibri"/>
                <w:color w:val="000000"/>
              </w:rPr>
              <w:t>Municipalities</w:t>
            </w:r>
          </w:p>
        </w:tc>
        <w:tc>
          <w:tcPr>
            <w:tcW w:w="2807" w:type="dxa"/>
            <w:noWrap/>
            <w:hideMark/>
          </w:tcPr>
          <w:p w14:paraId="2C360CC9" w14:textId="77777777" w:rsidR="0023289B" w:rsidRPr="0023289B" w:rsidRDefault="0023289B" w:rsidP="0023289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Shares</w:t>
            </w:r>
          </w:p>
        </w:tc>
      </w:tr>
      <w:tr w:rsidR="0023289B" w:rsidRPr="0023289B" w14:paraId="3A0FF490"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6B0AD76C" w14:textId="77777777" w:rsidR="0023289B" w:rsidRPr="009C75E6" w:rsidRDefault="0023289B" w:rsidP="0023289B">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Mestia</w:t>
            </w:r>
            <w:proofErr w:type="spellEnd"/>
          </w:p>
        </w:tc>
        <w:tc>
          <w:tcPr>
            <w:tcW w:w="2807" w:type="dxa"/>
            <w:noWrap/>
            <w:hideMark/>
          </w:tcPr>
          <w:p w14:paraId="19F729EC"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62.4%</w:t>
            </w:r>
          </w:p>
        </w:tc>
      </w:tr>
      <w:tr w:rsidR="0023289B" w:rsidRPr="0023289B" w14:paraId="1ECA5632"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11260A23" w14:textId="77777777" w:rsidR="0023289B" w:rsidRPr="009C75E6" w:rsidRDefault="0023289B" w:rsidP="0023289B">
            <w:pPr>
              <w:jc w:val="center"/>
              <w:rPr>
                <w:rFonts w:ascii="Calibri" w:eastAsia="Times New Roman" w:hAnsi="Calibri" w:cs="Calibri"/>
                <w:b w:val="0"/>
                <w:color w:val="000000"/>
              </w:rPr>
            </w:pPr>
            <w:r w:rsidRPr="009C75E6">
              <w:rPr>
                <w:rFonts w:ascii="Calibri" w:eastAsia="Times New Roman" w:hAnsi="Calibri" w:cs="Calibri"/>
                <w:b w:val="0"/>
                <w:color w:val="000000"/>
              </w:rPr>
              <w:t>Kutaisi</w:t>
            </w:r>
          </w:p>
        </w:tc>
        <w:tc>
          <w:tcPr>
            <w:tcW w:w="2807" w:type="dxa"/>
            <w:noWrap/>
            <w:hideMark/>
          </w:tcPr>
          <w:p w14:paraId="7B5FA1AD"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16.2%</w:t>
            </w:r>
          </w:p>
        </w:tc>
      </w:tr>
      <w:tr w:rsidR="0023289B" w:rsidRPr="0023289B" w14:paraId="0A4043E8"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535988D1" w14:textId="03F9EAFA" w:rsidR="0023289B" w:rsidRPr="009C75E6" w:rsidRDefault="0023289B" w:rsidP="0023289B">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Khashuri</w:t>
            </w:r>
            <w:proofErr w:type="spellEnd"/>
            <w:r w:rsidRPr="009C75E6">
              <w:rPr>
                <w:rFonts w:ascii="Calibri" w:eastAsia="Times New Roman" w:hAnsi="Calibri" w:cs="Calibri"/>
                <w:b w:val="0"/>
                <w:color w:val="000000"/>
              </w:rPr>
              <w:t xml:space="preserve"> </w:t>
            </w:r>
          </w:p>
        </w:tc>
        <w:tc>
          <w:tcPr>
            <w:tcW w:w="2807" w:type="dxa"/>
            <w:noWrap/>
            <w:hideMark/>
          </w:tcPr>
          <w:p w14:paraId="2CE28CCC"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6.9%</w:t>
            </w:r>
          </w:p>
        </w:tc>
      </w:tr>
      <w:tr w:rsidR="0023289B" w:rsidRPr="0023289B" w14:paraId="40D49066"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5E79CDEE" w14:textId="25B82FD2" w:rsidR="0023289B" w:rsidRPr="009C75E6" w:rsidRDefault="0023289B" w:rsidP="0023289B">
            <w:pPr>
              <w:jc w:val="center"/>
              <w:rPr>
                <w:rFonts w:ascii="Calibri" w:eastAsia="Times New Roman" w:hAnsi="Calibri" w:cs="Calibri"/>
                <w:b w:val="0"/>
                <w:color w:val="000000"/>
              </w:rPr>
            </w:pPr>
            <w:r w:rsidRPr="009C75E6">
              <w:rPr>
                <w:rFonts w:ascii="Calibri" w:eastAsia="Times New Roman" w:hAnsi="Calibri" w:cs="Calibri"/>
                <w:b w:val="0"/>
                <w:color w:val="000000"/>
              </w:rPr>
              <w:t xml:space="preserve">Marneuli </w:t>
            </w:r>
          </w:p>
        </w:tc>
        <w:tc>
          <w:tcPr>
            <w:tcW w:w="2807" w:type="dxa"/>
            <w:noWrap/>
            <w:hideMark/>
          </w:tcPr>
          <w:p w14:paraId="01DE1B93"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4.6%</w:t>
            </w:r>
          </w:p>
        </w:tc>
      </w:tr>
      <w:tr w:rsidR="0023289B" w:rsidRPr="0023289B" w14:paraId="78E06EEE"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35B46329" w14:textId="260F4B34" w:rsidR="0023289B" w:rsidRPr="009C75E6" w:rsidRDefault="0023289B" w:rsidP="0023289B">
            <w:pPr>
              <w:jc w:val="center"/>
              <w:rPr>
                <w:rFonts w:ascii="Calibri" w:eastAsia="Times New Roman" w:hAnsi="Calibri" w:cs="Calibri"/>
                <w:b w:val="0"/>
                <w:color w:val="000000"/>
              </w:rPr>
            </w:pPr>
            <w:r w:rsidRPr="009C75E6">
              <w:rPr>
                <w:rFonts w:ascii="Calibri" w:eastAsia="Times New Roman" w:hAnsi="Calibri" w:cs="Calibri"/>
                <w:b w:val="0"/>
                <w:color w:val="000000"/>
              </w:rPr>
              <w:t xml:space="preserve">Rustavi </w:t>
            </w:r>
          </w:p>
        </w:tc>
        <w:tc>
          <w:tcPr>
            <w:tcW w:w="2807" w:type="dxa"/>
            <w:noWrap/>
            <w:hideMark/>
          </w:tcPr>
          <w:p w14:paraId="644CFF06"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4.4%</w:t>
            </w:r>
          </w:p>
        </w:tc>
      </w:tr>
      <w:tr w:rsidR="0023289B" w:rsidRPr="0023289B" w14:paraId="6572C2CE"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550C93ED" w14:textId="77777777" w:rsidR="0023289B" w:rsidRPr="009C75E6" w:rsidRDefault="0023289B" w:rsidP="0023289B">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Gurjaani</w:t>
            </w:r>
            <w:proofErr w:type="spellEnd"/>
          </w:p>
        </w:tc>
        <w:tc>
          <w:tcPr>
            <w:tcW w:w="2807" w:type="dxa"/>
            <w:noWrap/>
            <w:hideMark/>
          </w:tcPr>
          <w:p w14:paraId="5E93C17D"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3.0%</w:t>
            </w:r>
          </w:p>
        </w:tc>
      </w:tr>
      <w:tr w:rsidR="0023289B" w:rsidRPr="0023289B" w14:paraId="304DF3D0"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7EA85656" w14:textId="33C4E168" w:rsidR="0023289B" w:rsidRPr="009C75E6" w:rsidRDefault="0023289B" w:rsidP="0023289B">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Poti</w:t>
            </w:r>
            <w:proofErr w:type="spellEnd"/>
            <w:r w:rsidRPr="009C75E6">
              <w:rPr>
                <w:rFonts w:ascii="Calibri" w:eastAsia="Times New Roman" w:hAnsi="Calibri" w:cs="Calibri"/>
                <w:b w:val="0"/>
                <w:color w:val="000000"/>
              </w:rPr>
              <w:t xml:space="preserve"> </w:t>
            </w:r>
          </w:p>
        </w:tc>
        <w:tc>
          <w:tcPr>
            <w:tcW w:w="2807" w:type="dxa"/>
            <w:noWrap/>
            <w:hideMark/>
          </w:tcPr>
          <w:p w14:paraId="1B052AF7"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1.4%</w:t>
            </w:r>
          </w:p>
        </w:tc>
      </w:tr>
      <w:tr w:rsidR="0023289B" w:rsidRPr="0023289B" w14:paraId="279CF30A"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398F413D" w14:textId="2308329E" w:rsidR="0023289B" w:rsidRPr="009C75E6" w:rsidRDefault="0023289B" w:rsidP="0023289B">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Lagodekhi</w:t>
            </w:r>
            <w:proofErr w:type="spellEnd"/>
            <w:r w:rsidRPr="009C75E6">
              <w:rPr>
                <w:rFonts w:ascii="Calibri" w:eastAsia="Times New Roman" w:hAnsi="Calibri" w:cs="Calibri"/>
                <w:b w:val="0"/>
                <w:color w:val="000000"/>
              </w:rPr>
              <w:t xml:space="preserve"> </w:t>
            </w:r>
          </w:p>
        </w:tc>
        <w:tc>
          <w:tcPr>
            <w:tcW w:w="2807" w:type="dxa"/>
            <w:noWrap/>
            <w:hideMark/>
          </w:tcPr>
          <w:p w14:paraId="47C6905C"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0.4%</w:t>
            </w:r>
          </w:p>
        </w:tc>
      </w:tr>
      <w:tr w:rsidR="0023289B" w:rsidRPr="0023289B" w14:paraId="549E634D"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4B248366" w14:textId="77777777" w:rsidR="0023289B" w:rsidRPr="009C75E6" w:rsidRDefault="0023289B" w:rsidP="0023289B">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Lentekhi</w:t>
            </w:r>
            <w:proofErr w:type="spellEnd"/>
          </w:p>
        </w:tc>
        <w:tc>
          <w:tcPr>
            <w:tcW w:w="2807" w:type="dxa"/>
            <w:noWrap/>
            <w:hideMark/>
          </w:tcPr>
          <w:p w14:paraId="52D1C5CE"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0.3%</w:t>
            </w:r>
          </w:p>
        </w:tc>
      </w:tr>
      <w:tr w:rsidR="0023289B" w:rsidRPr="0023289B" w14:paraId="645DF953"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5B54574A" w14:textId="0C8A9717" w:rsidR="0023289B" w:rsidRPr="009C75E6" w:rsidRDefault="0023289B" w:rsidP="0023289B">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Kharagauli</w:t>
            </w:r>
            <w:proofErr w:type="spellEnd"/>
            <w:r w:rsidRPr="009C75E6">
              <w:rPr>
                <w:rFonts w:ascii="Calibri" w:eastAsia="Times New Roman" w:hAnsi="Calibri" w:cs="Calibri"/>
                <w:b w:val="0"/>
                <w:color w:val="000000"/>
              </w:rPr>
              <w:t xml:space="preserve"> </w:t>
            </w:r>
          </w:p>
        </w:tc>
        <w:tc>
          <w:tcPr>
            <w:tcW w:w="2807" w:type="dxa"/>
            <w:noWrap/>
            <w:hideMark/>
          </w:tcPr>
          <w:p w14:paraId="4DA59550"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0.2%</w:t>
            </w:r>
          </w:p>
        </w:tc>
      </w:tr>
      <w:tr w:rsidR="0023289B" w:rsidRPr="0023289B" w14:paraId="1BBE7EF8" w14:textId="77777777" w:rsidTr="00454C26">
        <w:trPr>
          <w:trHeight w:val="390"/>
        </w:trPr>
        <w:tc>
          <w:tcPr>
            <w:cnfStyle w:val="001000000000" w:firstRow="0" w:lastRow="0" w:firstColumn="1" w:lastColumn="0" w:oddVBand="0" w:evenVBand="0" w:oddHBand="0" w:evenHBand="0" w:firstRowFirstColumn="0" w:firstRowLastColumn="0" w:lastRowFirstColumn="0" w:lastRowLastColumn="0"/>
            <w:tcW w:w="6489" w:type="dxa"/>
            <w:noWrap/>
            <w:hideMark/>
          </w:tcPr>
          <w:p w14:paraId="0432C823" w14:textId="3BD30FF8" w:rsidR="0023289B" w:rsidRPr="009C75E6" w:rsidRDefault="0023289B" w:rsidP="0023289B">
            <w:pPr>
              <w:jc w:val="center"/>
              <w:rPr>
                <w:rFonts w:ascii="Calibri" w:eastAsia="Times New Roman" w:hAnsi="Calibri" w:cs="Calibri"/>
                <w:b w:val="0"/>
                <w:color w:val="000000"/>
              </w:rPr>
            </w:pPr>
            <w:r w:rsidRPr="009C75E6">
              <w:rPr>
                <w:rFonts w:ascii="Calibri" w:eastAsia="Times New Roman" w:hAnsi="Calibri" w:cs="Calibri"/>
                <w:b w:val="0"/>
                <w:color w:val="000000"/>
              </w:rPr>
              <w:t xml:space="preserve">Kutaisi </w:t>
            </w:r>
          </w:p>
        </w:tc>
        <w:tc>
          <w:tcPr>
            <w:tcW w:w="2807" w:type="dxa"/>
            <w:noWrap/>
            <w:hideMark/>
          </w:tcPr>
          <w:p w14:paraId="2B34982B" w14:textId="77777777" w:rsidR="0023289B" w:rsidRPr="0023289B" w:rsidRDefault="0023289B" w:rsidP="002328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0.2%</w:t>
            </w:r>
          </w:p>
        </w:tc>
      </w:tr>
    </w:tbl>
    <w:p w14:paraId="0B31853A" w14:textId="271B0EDA" w:rsidR="00FC1C5D" w:rsidRPr="009E6455" w:rsidRDefault="006B1DDE" w:rsidP="00976D0B">
      <w:pPr>
        <w:jc w:val="both"/>
        <w:rPr>
          <w:rFonts w:cstheme="minorHAnsi"/>
        </w:rPr>
      </w:pPr>
      <w:r w:rsidRPr="00C510FB">
        <w:rPr>
          <w:i/>
          <w:iCs/>
          <w:color w:val="44546A" w:themeColor="text2"/>
          <w:sz w:val="18"/>
          <w:szCs w:val="18"/>
        </w:rPr>
        <w:t xml:space="preserve">Source: </w:t>
      </w:r>
      <w:r w:rsidR="004360B9">
        <w:rPr>
          <w:i/>
          <w:iCs/>
          <w:color w:val="44546A" w:themeColor="text2"/>
          <w:sz w:val="18"/>
          <w:szCs w:val="18"/>
        </w:rPr>
        <w:t xml:space="preserve">Local </w:t>
      </w:r>
      <w:r w:rsidRPr="00C510FB">
        <w:rPr>
          <w:i/>
          <w:iCs/>
          <w:color w:val="44546A" w:themeColor="text2"/>
          <w:sz w:val="18"/>
          <w:szCs w:val="18"/>
        </w:rPr>
        <w:t>Municipalities</w:t>
      </w:r>
    </w:p>
    <w:p w14:paraId="068D9E47" w14:textId="7B320F20" w:rsidR="00082663" w:rsidRPr="006066AB" w:rsidRDefault="00082663" w:rsidP="006066AB">
      <w:pPr>
        <w:jc w:val="both"/>
        <w:rPr>
          <w:b/>
          <w:bCs/>
        </w:rPr>
      </w:pPr>
      <w:r w:rsidRPr="006066AB">
        <w:rPr>
          <w:b/>
          <w:bCs/>
        </w:rPr>
        <w:t>Homeless</w:t>
      </w:r>
    </w:p>
    <w:p w14:paraId="01FDACA4" w14:textId="6F18DA83" w:rsidR="00082663" w:rsidRPr="00427EB2" w:rsidRDefault="00082663" w:rsidP="00976D0B">
      <w:pPr>
        <w:jc w:val="both"/>
      </w:pPr>
      <w:r>
        <w:t xml:space="preserve">This category includes </w:t>
      </w:r>
      <w:r w:rsidR="0015491A">
        <w:t xml:space="preserve">individuals </w:t>
      </w:r>
      <w:r>
        <w:t xml:space="preserve">who live in </w:t>
      </w:r>
      <w:r w:rsidRPr="00427EB2">
        <w:t>homeless hostel, women shelter accommodation, temporary accommodation</w:t>
      </w:r>
      <w:r w:rsidR="0015491A" w:rsidRPr="00427EB2">
        <w:t>s</w:t>
      </w:r>
      <w:r w:rsidRPr="00427EB2">
        <w:t xml:space="preserve">/reception centers, </w:t>
      </w:r>
      <w:r w:rsidR="0015491A" w:rsidRPr="00427EB2">
        <w:t>migrant worker accommodations, penal, medical and children’s institutions</w:t>
      </w:r>
      <w:r w:rsidR="00DE3EC8">
        <w:t>.</w:t>
      </w:r>
      <w:r w:rsidR="0015491A" w:rsidRPr="00427EB2">
        <w:t xml:space="preserve"> In addition</w:t>
      </w:r>
      <w:r w:rsidR="00FF597A">
        <w:t>, this category includes:</w:t>
      </w:r>
      <w:r w:rsidR="0015491A" w:rsidRPr="00427EB2">
        <w:t xml:space="preserve"> homeless elder people, or elders who were formerly homeless and are receiving supported accommodation</w:t>
      </w:r>
      <w:r w:rsidR="00DE3EC8">
        <w:t>.</w:t>
      </w:r>
    </w:p>
    <w:p w14:paraId="043C1168" w14:textId="2783B84C" w:rsidR="00A52288" w:rsidRDefault="00A52288" w:rsidP="00976D0B">
      <w:pPr>
        <w:jc w:val="both"/>
      </w:pPr>
      <w:r w:rsidRPr="00427EB2">
        <w:t>According to the available information</w:t>
      </w:r>
      <w:r w:rsidR="007437E8">
        <w:t>,</w:t>
      </w:r>
      <w:r w:rsidRPr="00427EB2">
        <w:t xml:space="preserve"> there do not exist any homeless hostels in Georgia</w:t>
      </w:r>
      <w:r w:rsidR="00DE3EC8">
        <w:t>.</w:t>
      </w:r>
    </w:p>
    <w:p w14:paraId="0F746E78" w14:textId="7D942DDB" w:rsidR="00A52288" w:rsidRDefault="00A52288" w:rsidP="00976D0B">
      <w:pPr>
        <w:jc w:val="both"/>
      </w:pPr>
      <w:r>
        <w:t xml:space="preserve">As for </w:t>
      </w:r>
      <w:r w:rsidRPr="006066AB">
        <w:rPr>
          <w:b/>
          <w:bCs/>
          <w:i/>
          <w:iCs/>
        </w:rPr>
        <w:t>people who live in temporary accommodations</w:t>
      </w:r>
      <w:r w:rsidR="00F52F47" w:rsidRPr="006066AB">
        <w:rPr>
          <w:b/>
          <w:bCs/>
          <w:i/>
          <w:iCs/>
        </w:rPr>
        <w:t>/ reception centers</w:t>
      </w:r>
      <w:r>
        <w:t>, there are several forms offered by municipalities, such as renting houses, providing so called living spac</w:t>
      </w:r>
      <w:r w:rsidR="00F52F47">
        <w:t>es,</w:t>
      </w:r>
      <w:r>
        <w:t xml:space="preserve"> shelters</w:t>
      </w:r>
      <w:r w:rsidR="00D3454B">
        <w:t xml:space="preserve"> and social houses</w:t>
      </w:r>
      <w:r w:rsidR="003E0E70">
        <w:t>.</w:t>
      </w:r>
    </w:p>
    <w:p w14:paraId="729BE704" w14:textId="22D772B7" w:rsidR="007E51F6" w:rsidRDefault="00F52F47" w:rsidP="00976D0B">
      <w:pPr>
        <w:jc w:val="both"/>
      </w:pPr>
      <w:r>
        <w:t>Based on the up-to date municipal</w:t>
      </w:r>
      <w:r w:rsidR="0010531E">
        <w:rPr>
          <w:rStyle w:val="FootnoteReference"/>
        </w:rPr>
        <w:footnoteReference w:id="26"/>
      </w:r>
      <w:r>
        <w:t xml:space="preserve"> level data</w:t>
      </w:r>
      <w:r w:rsidR="00840F80">
        <w:t xml:space="preserve"> </w:t>
      </w:r>
      <w:r w:rsidR="00694FEE">
        <w:t>789</w:t>
      </w:r>
      <w:r w:rsidR="00D42603">
        <w:t xml:space="preserve"> household</w:t>
      </w:r>
      <w:r w:rsidR="00694FEE">
        <w:t>s</w:t>
      </w:r>
      <w:r w:rsidR="00185C7C">
        <w:t xml:space="preserve"> </w:t>
      </w:r>
      <w:r w:rsidR="00D42603">
        <w:t xml:space="preserve">and </w:t>
      </w:r>
      <w:r w:rsidR="00694FEE">
        <w:t>722</w:t>
      </w:r>
      <w:r w:rsidR="00840F80">
        <w:t xml:space="preserve"> </w:t>
      </w:r>
      <w:r w:rsidR="00D42603">
        <w:t>individual</w:t>
      </w:r>
      <w:r w:rsidR="00185C7C">
        <w:t xml:space="preserve"> </w:t>
      </w:r>
      <w:r w:rsidR="00D42603">
        <w:t>beneficiaries</w:t>
      </w:r>
      <w:r w:rsidR="00085A99">
        <w:t xml:space="preserve"> were identified living in temporary accommodations</w:t>
      </w:r>
      <w:r w:rsidR="00085A99">
        <w:rPr>
          <w:rStyle w:val="FootnoteReference"/>
        </w:rPr>
        <w:footnoteReference w:id="27"/>
      </w:r>
      <w:r w:rsidR="00085A99">
        <w:t xml:space="preserve"> </w:t>
      </w:r>
      <w:r w:rsidR="00EE5BB4">
        <w:t xml:space="preserve">As it can be seen on Figure </w:t>
      </w:r>
      <w:r w:rsidR="00503BE2">
        <w:t>19</w:t>
      </w:r>
      <w:r w:rsidR="004B0098">
        <w:t>, 4</w:t>
      </w:r>
      <w:r w:rsidR="009E07EC">
        <w:t>0.3</w:t>
      </w:r>
      <w:r w:rsidR="00085A99">
        <w:t>% of households</w:t>
      </w:r>
      <w:r w:rsidR="00A73E4C">
        <w:t xml:space="preserve"> in temporary accommodations</w:t>
      </w:r>
      <w:r w:rsidR="004B0098">
        <w:t xml:space="preserve"> live in rented houses provided by municipalities, 3</w:t>
      </w:r>
      <w:r w:rsidR="009E07EC">
        <w:t>5.2</w:t>
      </w:r>
      <w:r w:rsidR="004B0098">
        <w:t>% in social houses, 1</w:t>
      </w:r>
      <w:r w:rsidR="009E07EC">
        <w:t>5.2</w:t>
      </w:r>
      <w:r w:rsidR="004B0098">
        <w:t xml:space="preserve"> % in shelters and </w:t>
      </w:r>
      <w:r w:rsidR="009E07EC">
        <w:t>9.3</w:t>
      </w:r>
      <w:r w:rsidR="004B0098">
        <w:t>% in not clearly defined so called living spaces</w:t>
      </w:r>
      <w:r w:rsidR="00503BE2">
        <w:t>. As for individuals,</w:t>
      </w:r>
      <w:r w:rsidR="004B0098">
        <w:t xml:space="preserve"> </w:t>
      </w:r>
      <w:r w:rsidR="009E07EC">
        <w:t>28.9</w:t>
      </w:r>
      <w:r w:rsidR="00085A99">
        <w:t xml:space="preserve">% of </w:t>
      </w:r>
      <w:r w:rsidR="00503BE2">
        <w:t xml:space="preserve">them </w:t>
      </w:r>
      <w:r w:rsidR="00085A99">
        <w:t xml:space="preserve">live in social houses, </w:t>
      </w:r>
      <w:r w:rsidR="009E07EC">
        <w:t>3</w:t>
      </w:r>
      <w:r w:rsidR="00085A99">
        <w:t>2</w:t>
      </w:r>
      <w:r w:rsidR="009E07EC">
        <w:t>.4</w:t>
      </w:r>
      <w:r w:rsidR="00085A99">
        <w:t>% in houses rented for ben</w:t>
      </w:r>
      <w:r w:rsidR="004B0098">
        <w:t xml:space="preserve">eficiaries by the </w:t>
      </w:r>
      <w:r w:rsidR="0010531E">
        <w:t>municipalities</w:t>
      </w:r>
      <w:r w:rsidR="00085A99">
        <w:t>, 2</w:t>
      </w:r>
      <w:r w:rsidR="009E07EC">
        <w:t>5.9</w:t>
      </w:r>
      <w:r w:rsidR="00085A99">
        <w:t xml:space="preserve">% </w:t>
      </w:r>
      <w:r w:rsidR="009E07EC">
        <w:t xml:space="preserve">in shelters, while </w:t>
      </w:r>
      <w:r w:rsidR="00085A99">
        <w:t>the lowest share</w:t>
      </w:r>
      <w:r w:rsidR="009E07EC">
        <w:t xml:space="preserve"> 3%</w:t>
      </w:r>
      <w:r w:rsidR="00085A99">
        <w:t xml:space="preserve"> come to not clearly defined so called living spaces</w:t>
      </w:r>
      <w:r w:rsidR="00503BE2">
        <w:t>.</w:t>
      </w:r>
    </w:p>
    <w:p w14:paraId="1A551E9A" w14:textId="338D3528" w:rsidR="00085A99" w:rsidRDefault="00131366" w:rsidP="00976D0B">
      <w:pPr>
        <w:pStyle w:val="Caption"/>
        <w:jc w:val="both"/>
      </w:pPr>
      <w:r>
        <w:rPr>
          <w:noProof/>
        </w:rPr>
        <w:lastRenderedPageBreak/>
        <w:drawing>
          <wp:anchor distT="0" distB="0" distL="114300" distR="114300" simplePos="0" relativeHeight="251721728" behindDoc="1" locked="0" layoutInCell="1" allowOverlap="1" wp14:anchorId="7D53026C" wp14:editId="5B4A3F2D">
            <wp:simplePos x="0" y="0"/>
            <wp:positionH relativeFrom="margin">
              <wp:align>left</wp:align>
            </wp:positionH>
            <wp:positionV relativeFrom="paragraph">
              <wp:posOffset>266700</wp:posOffset>
            </wp:positionV>
            <wp:extent cx="2867025" cy="2743200"/>
            <wp:effectExtent l="0" t="0" r="9525" b="0"/>
            <wp:wrapNone/>
            <wp:docPr id="40" name="Chart 40">
              <a:extLst xmlns:a="http://schemas.openxmlformats.org/drawingml/2006/main">
                <a:ext uri="{FF2B5EF4-FFF2-40B4-BE49-F238E27FC236}">
                  <a16:creationId xmlns:a16="http://schemas.microsoft.com/office/drawing/2014/main" id="{00000000-0008-0000-1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anchor>
        </w:drawing>
      </w:r>
      <w:r w:rsidR="00085A99">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19</w:t>
      </w:r>
      <w:r w:rsidR="006C3BD6">
        <w:rPr>
          <w:noProof/>
        </w:rPr>
        <w:fldChar w:fldCharType="end"/>
      </w:r>
      <w:r w:rsidR="00085A99">
        <w:t xml:space="preserve">: Distribution of </w:t>
      </w:r>
      <w:r w:rsidR="00F11557">
        <w:t>h</w:t>
      </w:r>
      <w:r w:rsidR="00D53B66">
        <w:t xml:space="preserve">omeless </w:t>
      </w:r>
      <w:r w:rsidR="00F11557">
        <w:t>h</w:t>
      </w:r>
      <w:r w:rsidR="00D53B66">
        <w:t>ouseholds</w:t>
      </w:r>
      <w:r>
        <w:t xml:space="preserve"> and </w:t>
      </w:r>
      <w:r w:rsidR="00F11557">
        <w:t>i</w:t>
      </w:r>
      <w:r>
        <w:t xml:space="preserve">ndividuals </w:t>
      </w:r>
      <w:r w:rsidR="00085A99">
        <w:t xml:space="preserve">in </w:t>
      </w:r>
      <w:r w:rsidR="00F11557">
        <w:t>t</w:t>
      </w:r>
      <w:r w:rsidR="00085A99">
        <w:t xml:space="preserve">emporary </w:t>
      </w:r>
      <w:r w:rsidR="00F11557">
        <w:t>a</w:t>
      </w:r>
      <w:r w:rsidR="00085A99">
        <w:t>ccommodations</w:t>
      </w:r>
    </w:p>
    <w:p w14:paraId="5D9C1119" w14:textId="770C6B9C" w:rsidR="00085A99" w:rsidRDefault="00131366" w:rsidP="00976D0B">
      <w:pPr>
        <w:jc w:val="both"/>
      </w:pPr>
      <w:r>
        <w:rPr>
          <w:noProof/>
        </w:rPr>
        <w:drawing>
          <wp:anchor distT="0" distB="0" distL="114300" distR="114300" simplePos="0" relativeHeight="251722752" behindDoc="1" locked="0" layoutInCell="1" allowOverlap="1" wp14:anchorId="0AFD15B5" wp14:editId="4A668869">
            <wp:simplePos x="0" y="0"/>
            <wp:positionH relativeFrom="margin">
              <wp:posOffset>2981325</wp:posOffset>
            </wp:positionH>
            <wp:positionV relativeFrom="paragraph">
              <wp:posOffset>9525</wp:posOffset>
            </wp:positionV>
            <wp:extent cx="2667000" cy="2705100"/>
            <wp:effectExtent l="0" t="0" r="0" b="0"/>
            <wp:wrapNone/>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13C99157" w14:textId="77777777" w:rsidR="00131366" w:rsidRDefault="00131366" w:rsidP="00976D0B">
      <w:pPr>
        <w:jc w:val="both"/>
        <w:rPr>
          <w:i/>
          <w:iCs/>
          <w:color w:val="44546A" w:themeColor="text2"/>
          <w:sz w:val="18"/>
          <w:szCs w:val="18"/>
        </w:rPr>
      </w:pPr>
    </w:p>
    <w:p w14:paraId="36D96330" w14:textId="77777777" w:rsidR="00131366" w:rsidRDefault="00131366" w:rsidP="00976D0B">
      <w:pPr>
        <w:jc w:val="both"/>
        <w:rPr>
          <w:i/>
          <w:iCs/>
          <w:color w:val="44546A" w:themeColor="text2"/>
          <w:sz w:val="18"/>
          <w:szCs w:val="18"/>
        </w:rPr>
      </w:pPr>
    </w:p>
    <w:p w14:paraId="4CBF0533" w14:textId="77777777" w:rsidR="00131366" w:rsidRDefault="00131366" w:rsidP="00976D0B">
      <w:pPr>
        <w:jc w:val="both"/>
        <w:rPr>
          <w:i/>
          <w:iCs/>
          <w:color w:val="44546A" w:themeColor="text2"/>
          <w:sz w:val="18"/>
          <w:szCs w:val="18"/>
        </w:rPr>
      </w:pPr>
    </w:p>
    <w:p w14:paraId="57374A6C" w14:textId="77777777" w:rsidR="00131366" w:rsidRDefault="00131366" w:rsidP="00976D0B">
      <w:pPr>
        <w:jc w:val="both"/>
        <w:rPr>
          <w:i/>
          <w:iCs/>
          <w:color w:val="44546A" w:themeColor="text2"/>
          <w:sz w:val="18"/>
          <w:szCs w:val="18"/>
        </w:rPr>
      </w:pPr>
    </w:p>
    <w:p w14:paraId="7F2EE35A" w14:textId="77777777" w:rsidR="00131366" w:rsidRDefault="00131366" w:rsidP="00976D0B">
      <w:pPr>
        <w:jc w:val="both"/>
        <w:rPr>
          <w:i/>
          <w:iCs/>
          <w:color w:val="44546A" w:themeColor="text2"/>
          <w:sz w:val="18"/>
          <w:szCs w:val="18"/>
        </w:rPr>
      </w:pPr>
    </w:p>
    <w:p w14:paraId="44D4F6E5" w14:textId="77777777" w:rsidR="00131366" w:rsidRDefault="00131366" w:rsidP="00976D0B">
      <w:pPr>
        <w:jc w:val="both"/>
        <w:rPr>
          <w:i/>
          <w:iCs/>
          <w:color w:val="44546A" w:themeColor="text2"/>
          <w:sz w:val="18"/>
          <w:szCs w:val="18"/>
        </w:rPr>
      </w:pPr>
    </w:p>
    <w:p w14:paraId="39108B21" w14:textId="77777777" w:rsidR="00131366" w:rsidRDefault="00131366" w:rsidP="00976D0B">
      <w:pPr>
        <w:jc w:val="both"/>
        <w:rPr>
          <w:i/>
          <w:iCs/>
          <w:color w:val="44546A" w:themeColor="text2"/>
          <w:sz w:val="18"/>
          <w:szCs w:val="18"/>
        </w:rPr>
      </w:pPr>
    </w:p>
    <w:p w14:paraId="4AB645F5" w14:textId="77777777" w:rsidR="00131366" w:rsidRDefault="00131366" w:rsidP="00976D0B">
      <w:pPr>
        <w:jc w:val="both"/>
        <w:rPr>
          <w:i/>
          <w:iCs/>
          <w:color w:val="44546A" w:themeColor="text2"/>
          <w:sz w:val="18"/>
          <w:szCs w:val="18"/>
        </w:rPr>
      </w:pPr>
    </w:p>
    <w:p w14:paraId="4DA6A118" w14:textId="77777777" w:rsidR="00131366" w:rsidRDefault="00131366" w:rsidP="00976D0B">
      <w:pPr>
        <w:jc w:val="both"/>
        <w:rPr>
          <w:i/>
          <w:iCs/>
          <w:color w:val="44546A" w:themeColor="text2"/>
          <w:sz w:val="18"/>
          <w:szCs w:val="18"/>
        </w:rPr>
      </w:pPr>
    </w:p>
    <w:p w14:paraId="0C7EEE70" w14:textId="77777777" w:rsidR="00131366" w:rsidRDefault="00131366" w:rsidP="00976D0B">
      <w:pPr>
        <w:jc w:val="both"/>
        <w:rPr>
          <w:i/>
          <w:iCs/>
          <w:color w:val="44546A" w:themeColor="text2"/>
          <w:sz w:val="18"/>
          <w:szCs w:val="18"/>
        </w:rPr>
      </w:pPr>
    </w:p>
    <w:p w14:paraId="53FAA9B2" w14:textId="55C4D6CA" w:rsidR="00181FF5" w:rsidRPr="00C510FB" w:rsidRDefault="00181FF5" w:rsidP="00976D0B">
      <w:pPr>
        <w:jc w:val="both"/>
        <w:rPr>
          <w:i/>
          <w:iCs/>
          <w:color w:val="44546A" w:themeColor="text2"/>
          <w:sz w:val="18"/>
          <w:szCs w:val="18"/>
        </w:rPr>
      </w:pPr>
      <w:r w:rsidRPr="00C510FB">
        <w:rPr>
          <w:i/>
          <w:iCs/>
          <w:color w:val="44546A" w:themeColor="text2"/>
          <w:sz w:val="18"/>
          <w:szCs w:val="18"/>
        </w:rPr>
        <w:t xml:space="preserve">Source: </w:t>
      </w:r>
      <w:r w:rsidR="004360B9">
        <w:rPr>
          <w:i/>
          <w:iCs/>
          <w:color w:val="44546A" w:themeColor="text2"/>
          <w:sz w:val="18"/>
          <w:szCs w:val="18"/>
        </w:rPr>
        <w:t xml:space="preserve">Local </w:t>
      </w:r>
      <w:r w:rsidRPr="00C510FB">
        <w:rPr>
          <w:i/>
          <w:iCs/>
          <w:color w:val="44546A" w:themeColor="text2"/>
          <w:sz w:val="18"/>
          <w:szCs w:val="18"/>
        </w:rPr>
        <w:t>Municipalities</w:t>
      </w:r>
    </w:p>
    <w:p w14:paraId="79DD834D" w14:textId="69E45D4E" w:rsidR="00AC52BB" w:rsidRDefault="004B26FC" w:rsidP="00976D0B">
      <w:pPr>
        <w:jc w:val="both"/>
      </w:pPr>
      <w:r>
        <w:t>D</w:t>
      </w:r>
      <w:r w:rsidR="004B0098">
        <w:t xml:space="preserve">istribution of </w:t>
      </w:r>
      <w:r w:rsidR="000402EC">
        <w:t>beneficiar</w:t>
      </w:r>
      <w:r>
        <w:t xml:space="preserve">y households and individuals </w:t>
      </w:r>
      <w:r w:rsidR="004B0098">
        <w:t>in temporary accommodations according to municipalities</w:t>
      </w:r>
      <w:r>
        <w:t xml:space="preserve"> can be seen in Figure 2</w:t>
      </w:r>
      <w:r w:rsidR="002702A9">
        <w:t>0</w:t>
      </w:r>
      <w:r>
        <w:t>.</w:t>
      </w:r>
    </w:p>
    <w:p w14:paraId="44378913" w14:textId="120ECAF8" w:rsidR="00D42603" w:rsidRDefault="00D53B66" w:rsidP="00D74D8C">
      <w:pPr>
        <w:pStyle w:val="Caption"/>
      </w:pPr>
      <w:r>
        <w:rPr>
          <w:noProof/>
        </w:rPr>
        <w:drawing>
          <wp:anchor distT="0" distB="0" distL="114300" distR="114300" simplePos="0" relativeHeight="251724800" behindDoc="1" locked="0" layoutInCell="1" allowOverlap="1" wp14:anchorId="72011944" wp14:editId="166F03D0">
            <wp:simplePos x="0" y="0"/>
            <wp:positionH relativeFrom="margin">
              <wp:posOffset>3076575</wp:posOffset>
            </wp:positionH>
            <wp:positionV relativeFrom="paragraph">
              <wp:posOffset>242570</wp:posOffset>
            </wp:positionV>
            <wp:extent cx="2581275" cy="3512185"/>
            <wp:effectExtent l="0" t="0" r="9525" b="12065"/>
            <wp:wrapNone/>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4B26FC">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20</w:t>
      </w:r>
      <w:r w:rsidR="00D656F6">
        <w:rPr>
          <w:noProof/>
        </w:rPr>
        <w:fldChar w:fldCharType="end"/>
      </w:r>
      <w:r w:rsidR="00D42603">
        <w:t xml:space="preserve">: </w:t>
      </w:r>
      <w:r w:rsidR="00D34144">
        <w:t>Distribution</w:t>
      </w:r>
      <w:r w:rsidR="00D42603">
        <w:t xml:space="preserve"> of </w:t>
      </w:r>
      <w:r w:rsidR="00F11557">
        <w:t>h</w:t>
      </w:r>
      <w:r w:rsidR="0023289B">
        <w:t xml:space="preserve">omeless </w:t>
      </w:r>
      <w:r w:rsidR="00F11557">
        <w:t>h</w:t>
      </w:r>
      <w:r w:rsidR="00D42603">
        <w:t>ouseholds</w:t>
      </w:r>
      <w:r w:rsidR="00C91DD4">
        <w:t xml:space="preserve"> and </w:t>
      </w:r>
      <w:r w:rsidR="00F11557">
        <w:t>i</w:t>
      </w:r>
      <w:r w:rsidR="00C91DD4">
        <w:t xml:space="preserve">ndividuals </w:t>
      </w:r>
      <w:r w:rsidR="00F11557">
        <w:t>a</w:t>
      </w:r>
      <w:r w:rsidR="00D42603">
        <w:t xml:space="preserve">ccording to </w:t>
      </w:r>
      <w:r w:rsidR="00F11557">
        <w:t>m</w:t>
      </w:r>
      <w:r w:rsidR="00D42603">
        <w:t>unicipalities</w:t>
      </w:r>
    </w:p>
    <w:p w14:paraId="0C86872F" w14:textId="63B58C1F" w:rsidR="00AC52BB" w:rsidRPr="00AC52BB" w:rsidRDefault="00D53B66" w:rsidP="00AC52BB">
      <w:r>
        <w:rPr>
          <w:noProof/>
        </w:rPr>
        <w:drawing>
          <wp:anchor distT="0" distB="0" distL="114300" distR="114300" simplePos="0" relativeHeight="251723776" behindDoc="1" locked="0" layoutInCell="1" allowOverlap="1" wp14:anchorId="0D55F93A" wp14:editId="16ADC933">
            <wp:simplePos x="0" y="0"/>
            <wp:positionH relativeFrom="margin">
              <wp:align>left</wp:align>
            </wp:positionH>
            <wp:positionV relativeFrom="paragraph">
              <wp:posOffset>5080</wp:posOffset>
            </wp:positionV>
            <wp:extent cx="2886075" cy="3483610"/>
            <wp:effectExtent l="0" t="0" r="9525" b="2540"/>
            <wp:wrapNone/>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3CB6053C" w14:textId="77777777" w:rsidR="004B26FC" w:rsidRDefault="004B26FC" w:rsidP="00976D0B">
      <w:pPr>
        <w:jc w:val="both"/>
        <w:rPr>
          <w:i/>
          <w:iCs/>
          <w:color w:val="44546A" w:themeColor="text2"/>
          <w:sz w:val="18"/>
          <w:szCs w:val="18"/>
        </w:rPr>
      </w:pPr>
    </w:p>
    <w:p w14:paraId="2DF3A484" w14:textId="77777777" w:rsidR="004B26FC" w:rsidRDefault="004B26FC" w:rsidP="00976D0B">
      <w:pPr>
        <w:jc w:val="both"/>
        <w:rPr>
          <w:i/>
          <w:iCs/>
          <w:color w:val="44546A" w:themeColor="text2"/>
          <w:sz w:val="18"/>
          <w:szCs w:val="18"/>
        </w:rPr>
      </w:pPr>
    </w:p>
    <w:p w14:paraId="76FB2DFF" w14:textId="77777777" w:rsidR="004B26FC" w:rsidRDefault="004B26FC" w:rsidP="00976D0B">
      <w:pPr>
        <w:jc w:val="both"/>
        <w:rPr>
          <w:i/>
          <w:iCs/>
          <w:color w:val="44546A" w:themeColor="text2"/>
          <w:sz w:val="18"/>
          <w:szCs w:val="18"/>
        </w:rPr>
      </w:pPr>
    </w:p>
    <w:p w14:paraId="1D208BDF" w14:textId="77777777" w:rsidR="004B26FC" w:rsidRDefault="004B26FC" w:rsidP="00976D0B">
      <w:pPr>
        <w:jc w:val="both"/>
        <w:rPr>
          <w:i/>
          <w:iCs/>
          <w:color w:val="44546A" w:themeColor="text2"/>
          <w:sz w:val="18"/>
          <w:szCs w:val="18"/>
        </w:rPr>
      </w:pPr>
    </w:p>
    <w:p w14:paraId="04A2A3C9" w14:textId="77777777" w:rsidR="004B26FC" w:rsidRDefault="004B26FC" w:rsidP="00976D0B">
      <w:pPr>
        <w:jc w:val="both"/>
        <w:rPr>
          <w:i/>
          <w:iCs/>
          <w:color w:val="44546A" w:themeColor="text2"/>
          <w:sz w:val="18"/>
          <w:szCs w:val="18"/>
        </w:rPr>
      </w:pPr>
    </w:p>
    <w:p w14:paraId="6E720B37" w14:textId="77777777" w:rsidR="004B26FC" w:rsidRDefault="004B26FC" w:rsidP="00976D0B">
      <w:pPr>
        <w:jc w:val="both"/>
        <w:rPr>
          <w:i/>
          <w:iCs/>
          <w:color w:val="44546A" w:themeColor="text2"/>
          <w:sz w:val="18"/>
          <w:szCs w:val="18"/>
        </w:rPr>
      </w:pPr>
    </w:p>
    <w:p w14:paraId="28253BD6" w14:textId="77777777" w:rsidR="004B26FC" w:rsidRDefault="004B26FC" w:rsidP="00976D0B">
      <w:pPr>
        <w:jc w:val="both"/>
        <w:rPr>
          <w:i/>
          <w:iCs/>
          <w:color w:val="44546A" w:themeColor="text2"/>
          <w:sz w:val="18"/>
          <w:szCs w:val="18"/>
        </w:rPr>
      </w:pPr>
    </w:p>
    <w:p w14:paraId="60D468D1" w14:textId="77777777" w:rsidR="007E51F6" w:rsidRDefault="007E51F6" w:rsidP="00976D0B">
      <w:pPr>
        <w:jc w:val="both"/>
        <w:rPr>
          <w:i/>
          <w:iCs/>
          <w:color w:val="44546A" w:themeColor="text2"/>
          <w:sz w:val="18"/>
          <w:szCs w:val="18"/>
        </w:rPr>
      </w:pPr>
    </w:p>
    <w:p w14:paraId="7A338035" w14:textId="77777777" w:rsidR="007E51F6" w:rsidRDefault="007E51F6" w:rsidP="00976D0B">
      <w:pPr>
        <w:jc w:val="both"/>
        <w:rPr>
          <w:i/>
          <w:iCs/>
          <w:color w:val="44546A" w:themeColor="text2"/>
          <w:sz w:val="18"/>
          <w:szCs w:val="18"/>
        </w:rPr>
      </w:pPr>
    </w:p>
    <w:p w14:paraId="0195738A" w14:textId="77777777" w:rsidR="007E51F6" w:rsidRDefault="007E51F6" w:rsidP="00976D0B">
      <w:pPr>
        <w:jc w:val="both"/>
        <w:rPr>
          <w:i/>
          <w:iCs/>
          <w:color w:val="44546A" w:themeColor="text2"/>
          <w:sz w:val="18"/>
          <w:szCs w:val="18"/>
        </w:rPr>
      </w:pPr>
    </w:p>
    <w:p w14:paraId="4AF46556" w14:textId="77777777" w:rsidR="007E51F6" w:rsidRDefault="007E51F6" w:rsidP="00976D0B">
      <w:pPr>
        <w:jc w:val="both"/>
        <w:rPr>
          <w:i/>
          <w:iCs/>
          <w:color w:val="44546A" w:themeColor="text2"/>
          <w:sz w:val="18"/>
          <w:szCs w:val="18"/>
        </w:rPr>
      </w:pPr>
    </w:p>
    <w:p w14:paraId="6B53119F" w14:textId="77777777" w:rsidR="007E51F6" w:rsidRDefault="007E51F6" w:rsidP="00976D0B">
      <w:pPr>
        <w:jc w:val="both"/>
        <w:rPr>
          <w:i/>
          <w:iCs/>
          <w:color w:val="44546A" w:themeColor="text2"/>
          <w:sz w:val="18"/>
          <w:szCs w:val="18"/>
        </w:rPr>
      </w:pPr>
    </w:p>
    <w:p w14:paraId="35A9D57A" w14:textId="77777777" w:rsidR="007E51F6" w:rsidRDefault="007E51F6" w:rsidP="00976D0B">
      <w:pPr>
        <w:jc w:val="both"/>
        <w:rPr>
          <w:i/>
          <w:iCs/>
          <w:color w:val="44546A" w:themeColor="text2"/>
          <w:sz w:val="18"/>
          <w:szCs w:val="18"/>
        </w:rPr>
      </w:pPr>
    </w:p>
    <w:p w14:paraId="3B301F29" w14:textId="1078A348" w:rsidR="00892D5E" w:rsidRDefault="00181FF5" w:rsidP="00976D0B">
      <w:pPr>
        <w:jc w:val="both"/>
        <w:rPr>
          <w:i/>
          <w:iCs/>
          <w:color w:val="44546A" w:themeColor="text2"/>
          <w:sz w:val="18"/>
          <w:szCs w:val="18"/>
        </w:rPr>
      </w:pPr>
      <w:r w:rsidRPr="00414DE6">
        <w:rPr>
          <w:i/>
          <w:iCs/>
          <w:color w:val="44546A" w:themeColor="text2"/>
          <w:sz w:val="18"/>
          <w:szCs w:val="18"/>
        </w:rPr>
        <w:t xml:space="preserve">Source: </w:t>
      </w:r>
      <w:r w:rsidR="004360B9">
        <w:rPr>
          <w:i/>
          <w:iCs/>
          <w:color w:val="44546A" w:themeColor="text2"/>
          <w:sz w:val="18"/>
          <w:szCs w:val="18"/>
        </w:rPr>
        <w:t xml:space="preserve">Local </w:t>
      </w:r>
      <w:r w:rsidRPr="00414DE6">
        <w:rPr>
          <w:i/>
          <w:iCs/>
          <w:color w:val="44546A" w:themeColor="text2"/>
          <w:sz w:val="18"/>
          <w:szCs w:val="18"/>
        </w:rPr>
        <w:t>Municipalities</w:t>
      </w:r>
    </w:p>
    <w:p w14:paraId="28A0997C" w14:textId="3C1B8138" w:rsidR="0023289B" w:rsidRPr="004D20F0" w:rsidRDefault="0023289B" w:rsidP="00976D0B">
      <w:pPr>
        <w:jc w:val="both"/>
      </w:pPr>
      <w:r w:rsidRPr="004D20F0">
        <w:lastRenderedPageBreak/>
        <w:t xml:space="preserve">Furthermore, assuming the average size of households in Georgia, homeless individuals from the observed municipalities are distributed accordingly (Table </w:t>
      </w:r>
      <w:r w:rsidR="002702A9">
        <w:t>5</w:t>
      </w:r>
      <w:r w:rsidRPr="004D20F0">
        <w:t>):</w:t>
      </w:r>
    </w:p>
    <w:p w14:paraId="2D2F9A89" w14:textId="359D79C7" w:rsidR="0023289B" w:rsidRDefault="0023289B" w:rsidP="0023289B">
      <w:pPr>
        <w:pStyle w:val="Caption"/>
        <w:rPr>
          <w:i w:val="0"/>
          <w:iCs w:val="0"/>
        </w:rPr>
      </w:pPr>
      <w:r>
        <w:t xml:space="preserve">Table </w:t>
      </w:r>
      <w:r w:rsidR="009C48A0">
        <w:rPr>
          <w:noProof/>
        </w:rPr>
        <w:fldChar w:fldCharType="begin"/>
      </w:r>
      <w:r w:rsidR="009C48A0">
        <w:rPr>
          <w:noProof/>
        </w:rPr>
        <w:instrText xml:space="preserve"> SEQ Table \* ARABIC </w:instrText>
      </w:r>
      <w:r w:rsidR="009C48A0">
        <w:rPr>
          <w:noProof/>
        </w:rPr>
        <w:fldChar w:fldCharType="separate"/>
      </w:r>
      <w:r w:rsidR="008F3E6B">
        <w:rPr>
          <w:noProof/>
        </w:rPr>
        <w:t>5</w:t>
      </w:r>
      <w:r w:rsidR="009C48A0">
        <w:rPr>
          <w:noProof/>
        </w:rPr>
        <w:fldChar w:fldCharType="end"/>
      </w:r>
      <w:r>
        <w:t xml:space="preserve"> : Distribution of </w:t>
      </w:r>
      <w:r w:rsidR="00F11557">
        <w:t>h</w:t>
      </w:r>
      <w:r>
        <w:t xml:space="preserve">omeless </w:t>
      </w:r>
      <w:r w:rsidR="00F11557">
        <w:t>i</w:t>
      </w:r>
      <w:r>
        <w:t xml:space="preserve">ndividuals </w:t>
      </w:r>
      <w:r w:rsidR="00F11557">
        <w:t>a</w:t>
      </w:r>
      <w:r>
        <w:t xml:space="preserve">ccording to </w:t>
      </w:r>
      <w:r w:rsidR="00F11557">
        <w:t>m</w:t>
      </w:r>
      <w:r>
        <w:t>unicipalities</w:t>
      </w:r>
      <w:r w:rsidR="004360B9">
        <w:t xml:space="preserve"> (</w:t>
      </w:r>
      <w:r w:rsidR="004360B9">
        <w:rPr>
          <w:rFonts w:cstheme="minorHAnsi"/>
        </w:rPr>
        <w:t>data for Tbilisi not available yet)</w:t>
      </w:r>
    </w:p>
    <w:tbl>
      <w:tblPr>
        <w:tblStyle w:val="GridTable1Light-Accent1"/>
        <w:tblW w:w="8922" w:type="dxa"/>
        <w:tblLook w:val="04A0" w:firstRow="1" w:lastRow="0" w:firstColumn="1" w:lastColumn="0" w:noHBand="0" w:noVBand="1"/>
      </w:tblPr>
      <w:tblGrid>
        <w:gridCol w:w="6374"/>
        <w:gridCol w:w="2548"/>
      </w:tblGrid>
      <w:tr w:rsidR="0023289B" w:rsidRPr="0023289B" w14:paraId="07D7F4E2" w14:textId="77777777" w:rsidTr="009C75E6">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E971479" w14:textId="77777777" w:rsidR="0023289B" w:rsidRPr="009C75E6" w:rsidRDefault="0023289B" w:rsidP="004D20F0">
            <w:pPr>
              <w:jc w:val="center"/>
              <w:rPr>
                <w:rFonts w:ascii="Calibri" w:eastAsia="Times New Roman" w:hAnsi="Calibri" w:cs="Calibri"/>
                <w:bCs w:val="0"/>
                <w:sz w:val="20"/>
                <w:szCs w:val="20"/>
              </w:rPr>
            </w:pPr>
            <w:r w:rsidRPr="009C75E6">
              <w:rPr>
                <w:rFonts w:ascii="Calibri" w:eastAsia="Times New Roman" w:hAnsi="Calibri" w:cs="Calibri"/>
                <w:bCs w:val="0"/>
                <w:sz w:val="20"/>
                <w:szCs w:val="20"/>
              </w:rPr>
              <w:t>Municipalities</w:t>
            </w:r>
          </w:p>
        </w:tc>
        <w:tc>
          <w:tcPr>
            <w:tcW w:w="2548" w:type="dxa"/>
            <w:noWrap/>
            <w:hideMark/>
          </w:tcPr>
          <w:p w14:paraId="24F937A1" w14:textId="3CF8EC03" w:rsidR="0023289B" w:rsidRPr="009C75E6" w:rsidRDefault="0023289B" w:rsidP="004D20F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sz w:val="20"/>
                <w:szCs w:val="20"/>
              </w:rPr>
            </w:pPr>
            <w:r w:rsidRPr="009C75E6">
              <w:rPr>
                <w:rFonts w:ascii="Calibri" w:eastAsia="Times New Roman" w:hAnsi="Calibri" w:cs="Calibri"/>
                <w:bCs w:val="0"/>
                <w:sz w:val="20"/>
                <w:szCs w:val="20"/>
              </w:rPr>
              <w:t>Share</w:t>
            </w:r>
            <w:r w:rsidR="009C75E6" w:rsidRPr="009C75E6">
              <w:rPr>
                <w:rFonts w:ascii="Calibri" w:eastAsia="Times New Roman" w:hAnsi="Calibri" w:cs="Calibri"/>
                <w:bCs w:val="0"/>
                <w:sz w:val="20"/>
                <w:szCs w:val="20"/>
              </w:rPr>
              <w:t xml:space="preserve"> of Homeless Individuals</w:t>
            </w:r>
          </w:p>
        </w:tc>
      </w:tr>
      <w:tr w:rsidR="0023289B" w:rsidRPr="0023289B" w14:paraId="4580C507"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02DA29F8" w14:textId="7B041904"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 xml:space="preserve">Ozurgeti </w:t>
            </w:r>
          </w:p>
        </w:tc>
        <w:tc>
          <w:tcPr>
            <w:tcW w:w="2548" w:type="dxa"/>
            <w:noWrap/>
            <w:hideMark/>
          </w:tcPr>
          <w:p w14:paraId="0688B47D"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13.2%</w:t>
            </w:r>
          </w:p>
        </w:tc>
      </w:tr>
      <w:tr w:rsidR="0023289B" w:rsidRPr="0023289B" w14:paraId="1A0CD7D8"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8136F0D" w14:textId="6740B0E7"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Samtredia</w:t>
            </w:r>
            <w:proofErr w:type="spellEnd"/>
            <w:r w:rsidRPr="009C75E6">
              <w:rPr>
                <w:rFonts w:ascii="Calibri" w:eastAsia="Times New Roman" w:hAnsi="Calibri" w:cs="Calibri"/>
                <w:b w:val="0"/>
                <w:color w:val="000000"/>
              </w:rPr>
              <w:t xml:space="preserve"> </w:t>
            </w:r>
          </w:p>
        </w:tc>
        <w:tc>
          <w:tcPr>
            <w:tcW w:w="2548" w:type="dxa"/>
            <w:noWrap/>
            <w:hideMark/>
          </w:tcPr>
          <w:p w14:paraId="1C984E9E"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13.0%</w:t>
            </w:r>
          </w:p>
        </w:tc>
      </w:tr>
      <w:tr w:rsidR="0023289B" w:rsidRPr="0023289B" w14:paraId="2D15A745"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9C14824" w14:textId="77777777"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Zugdidi</w:t>
            </w:r>
          </w:p>
        </w:tc>
        <w:tc>
          <w:tcPr>
            <w:tcW w:w="2548" w:type="dxa"/>
            <w:noWrap/>
            <w:hideMark/>
          </w:tcPr>
          <w:p w14:paraId="06F982A5"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10.5%</w:t>
            </w:r>
          </w:p>
        </w:tc>
      </w:tr>
      <w:tr w:rsidR="0023289B" w:rsidRPr="0023289B" w14:paraId="1CFD7849"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32BEC5CD" w14:textId="37CF70E6"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 xml:space="preserve">Kutaisi </w:t>
            </w:r>
          </w:p>
        </w:tc>
        <w:tc>
          <w:tcPr>
            <w:tcW w:w="2548" w:type="dxa"/>
            <w:noWrap/>
            <w:hideMark/>
          </w:tcPr>
          <w:p w14:paraId="5BB72B1A"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8.3%</w:t>
            </w:r>
          </w:p>
        </w:tc>
      </w:tr>
      <w:tr w:rsidR="0023289B" w:rsidRPr="0023289B" w14:paraId="7364D162"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42FC5B51" w14:textId="2C2AFF5F"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 xml:space="preserve">Telavi </w:t>
            </w:r>
          </w:p>
        </w:tc>
        <w:tc>
          <w:tcPr>
            <w:tcW w:w="2548" w:type="dxa"/>
            <w:noWrap/>
            <w:hideMark/>
          </w:tcPr>
          <w:p w14:paraId="66480140"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7.6%</w:t>
            </w:r>
          </w:p>
        </w:tc>
      </w:tr>
      <w:tr w:rsidR="0023289B" w:rsidRPr="0023289B" w14:paraId="5A3FC2C9"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DC19455" w14:textId="0893B4DC"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Sagarejo</w:t>
            </w:r>
            <w:proofErr w:type="spellEnd"/>
            <w:r w:rsidRPr="009C75E6">
              <w:rPr>
                <w:rFonts w:ascii="Calibri" w:eastAsia="Times New Roman" w:hAnsi="Calibri" w:cs="Calibri"/>
                <w:b w:val="0"/>
                <w:color w:val="000000"/>
              </w:rPr>
              <w:t xml:space="preserve"> </w:t>
            </w:r>
          </w:p>
        </w:tc>
        <w:tc>
          <w:tcPr>
            <w:tcW w:w="2548" w:type="dxa"/>
            <w:noWrap/>
            <w:hideMark/>
          </w:tcPr>
          <w:p w14:paraId="06648B46"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6.2%</w:t>
            </w:r>
          </w:p>
        </w:tc>
      </w:tr>
      <w:tr w:rsidR="0023289B" w:rsidRPr="0023289B" w14:paraId="762FDE3A"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B20885D" w14:textId="2B26E984"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Gori</w:t>
            </w:r>
          </w:p>
        </w:tc>
        <w:tc>
          <w:tcPr>
            <w:tcW w:w="2548" w:type="dxa"/>
            <w:noWrap/>
            <w:hideMark/>
          </w:tcPr>
          <w:p w14:paraId="0A1C2E7B"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6.2%</w:t>
            </w:r>
          </w:p>
        </w:tc>
      </w:tr>
      <w:tr w:rsidR="0023289B" w:rsidRPr="0023289B" w14:paraId="26EFBCB3"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256D4418" w14:textId="258E0B21"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Lanchkhuti</w:t>
            </w:r>
            <w:proofErr w:type="spellEnd"/>
            <w:r w:rsidRPr="009C75E6">
              <w:rPr>
                <w:rFonts w:ascii="Calibri" w:eastAsia="Times New Roman" w:hAnsi="Calibri" w:cs="Calibri"/>
                <w:b w:val="0"/>
                <w:color w:val="000000"/>
              </w:rPr>
              <w:t xml:space="preserve"> </w:t>
            </w:r>
          </w:p>
        </w:tc>
        <w:tc>
          <w:tcPr>
            <w:tcW w:w="2548" w:type="dxa"/>
            <w:noWrap/>
            <w:hideMark/>
          </w:tcPr>
          <w:p w14:paraId="6BDA0B48"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6.0%</w:t>
            </w:r>
          </w:p>
        </w:tc>
      </w:tr>
      <w:tr w:rsidR="0023289B" w:rsidRPr="0023289B" w14:paraId="642BEBE9"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626D619" w14:textId="0ED93304"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Batumi</w:t>
            </w:r>
          </w:p>
        </w:tc>
        <w:tc>
          <w:tcPr>
            <w:tcW w:w="2548" w:type="dxa"/>
            <w:noWrap/>
            <w:hideMark/>
          </w:tcPr>
          <w:p w14:paraId="2AF06A54"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5.3%</w:t>
            </w:r>
          </w:p>
        </w:tc>
      </w:tr>
      <w:tr w:rsidR="0023289B" w:rsidRPr="0023289B" w14:paraId="09BE1DF1"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040629DB" w14:textId="3D86CD8F"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Batumi</w:t>
            </w:r>
          </w:p>
        </w:tc>
        <w:tc>
          <w:tcPr>
            <w:tcW w:w="2548" w:type="dxa"/>
            <w:noWrap/>
            <w:hideMark/>
          </w:tcPr>
          <w:p w14:paraId="7B8072B9"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4.4%</w:t>
            </w:r>
          </w:p>
        </w:tc>
      </w:tr>
      <w:tr w:rsidR="0023289B" w:rsidRPr="0023289B" w14:paraId="19E2E9A2"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D8F6E68" w14:textId="7788CE1F"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Bagdati</w:t>
            </w:r>
            <w:proofErr w:type="spellEnd"/>
          </w:p>
        </w:tc>
        <w:tc>
          <w:tcPr>
            <w:tcW w:w="2548" w:type="dxa"/>
            <w:noWrap/>
            <w:hideMark/>
          </w:tcPr>
          <w:p w14:paraId="628B6D09"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3.0%</w:t>
            </w:r>
          </w:p>
        </w:tc>
      </w:tr>
      <w:tr w:rsidR="0023289B" w:rsidRPr="0023289B" w14:paraId="2598880A"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3129ACE4" w14:textId="554DB519"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Gurjaani</w:t>
            </w:r>
            <w:proofErr w:type="spellEnd"/>
            <w:r w:rsidRPr="009C75E6">
              <w:rPr>
                <w:rFonts w:ascii="Calibri" w:eastAsia="Times New Roman" w:hAnsi="Calibri" w:cs="Calibri"/>
                <w:b w:val="0"/>
                <w:color w:val="000000"/>
              </w:rPr>
              <w:t xml:space="preserve"> </w:t>
            </w:r>
          </w:p>
        </w:tc>
        <w:tc>
          <w:tcPr>
            <w:tcW w:w="2548" w:type="dxa"/>
            <w:noWrap/>
            <w:hideMark/>
          </w:tcPr>
          <w:p w14:paraId="26DA73C8"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2.3%</w:t>
            </w:r>
          </w:p>
        </w:tc>
      </w:tr>
      <w:tr w:rsidR="0023289B" w:rsidRPr="0023289B" w14:paraId="414B73D6"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67A7ACF0" w14:textId="21295E32"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Dedoflistskharo</w:t>
            </w:r>
            <w:proofErr w:type="spellEnd"/>
            <w:r w:rsidRPr="009C75E6">
              <w:rPr>
                <w:rFonts w:ascii="Calibri" w:eastAsia="Times New Roman" w:hAnsi="Calibri" w:cs="Calibri"/>
                <w:b w:val="0"/>
                <w:color w:val="000000"/>
              </w:rPr>
              <w:t xml:space="preserve"> </w:t>
            </w:r>
          </w:p>
        </w:tc>
        <w:tc>
          <w:tcPr>
            <w:tcW w:w="2548" w:type="dxa"/>
            <w:noWrap/>
            <w:hideMark/>
          </w:tcPr>
          <w:p w14:paraId="26A27411"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2.3%</w:t>
            </w:r>
          </w:p>
        </w:tc>
      </w:tr>
      <w:tr w:rsidR="0023289B" w:rsidRPr="0023289B" w14:paraId="418951A9"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06A7B369" w14:textId="56588009"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Zestafoni</w:t>
            </w:r>
            <w:proofErr w:type="spellEnd"/>
          </w:p>
        </w:tc>
        <w:tc>
          <w:tcPr>
            <w:tcW w:w="2548" w:type="dxa"/>
            <w:noWrap/>
            <w:hideMark/>
          </w:tcPr>
          <w:p w14:paraId="6A9A6E60"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2.2%</w:t>
            </w:r>
          </w:p>
        </w:tc>
      </w:tr>
      <w:tr w:rsidR="0023289B" w:rsidRPr="0023289B" w14:paraId="006C94EC"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4C0E92BE" w14:textId="4B0F5D09"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Khashuri</w:t>
            </w:r>
            <w:proofErr w:type="spellEnd"/>
            <w:r w:rsidRPr="009C75E6">
              <w:rPr>
                <w:rFonts w:ascii="Calibri" w:eastAsia="Times New Roman" w:hAnsi="Calibri" w:cs="Calibri"/>
                <w:b w:val="0"/>
                <w:color w:val="000000"/>
              </w:rPr>
              <w:t xml:space="preserve"> </w:t>
            </w:r>
          </w:p>
        </w:tc>
        <w:tc>
          <w:tcPr>
            <w:tcW w:w="2548" w:type="dxa"/>
            <w:noWrap/>
            <w:hideMark/>
          </w:tcPr>
          <w:p w14:paraId="66204E66"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2.1%</w:t>
            </w:r>
          </w:p>
        </w:tc>
      </w:tr>
      <w:tr w:rsidR="0023289B" w:rsidRPr="0023289B" w14:paraId="48FAB75F"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6099CA7E" w14:textId="1C34AE04"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Tskhaltubo</w:t>
            </w:r>
            <w:proofErr w:type="spellEnd"/>
          </w:p>
        </w:tc>
        <w:tc>
          <w:tcPr>
            <w:tcW w:w="2548" w:type="dxa"/>
            <w:noWrap/>
            <w:hideMark/>
          </w:tcPr>
          <w:p w14:paraId="06FA3CCA"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1.9%</w:t>
            </w:r>
          </w:p>
        </w:tc>
      </w:tr>
      <w:tr w:rsidR="0023289B" w:rsidRPr="0023289B" w14:paraId="6C8A8F66"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55994DF" w14:textId="2770F6F1"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Dmanisi</w:t>
            </w:r>
            <w:proofErr w:type="spellEnd"/>
            <w:r w:rsidRPr="009C75E6">
              <w:rPr>
                <w:rFonts w:ascii="Calibri" w:eastAsia="Times New Roman" w:hAnsi="Calibri" w:cs="Calibri"/>
                <w:b w:val="0"/>
                <w:color w:val="000000"/>
              </w:rPr>
              <w:t xml:space="preserve"> </w:t>
            </w:r>
          </w:p>
        </w:tc>
        <w:tc>
          <w:tcPr>
            <w:tcW w:w="2548" w:type="dxa"/>
            <w:noWrap/>
            <w:hideMark/>
          </w:tcPr>
          <w:p w14:paraId="68B11549"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1.7%</w:t>
            </w:r>
          </w:p>
        </w:tc>
      </w:tr>
      <w:tr w:rsidR="0023289B" w:rsidRPr="0023289B" w14:paraId="17FAC5CD"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AAC1BE4" w14:textId="33BE38C5"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Sighnaghi</w:t>
            </w:r>
            <w:proofErr w:type="spellEnd"/>
            <w:r w:rsidRPr="009C75E6">
              <w:rPr>
                <w:rFonts w:ascii="Calibri" w:eastAsia="Times New Roman" w:hAnsi="Calibri" w:cs="Calibri"/>
                <w:b w:val="0"/>
                <w:color w:val="000000"/>
              </w:rPr>
              <w:t xml:space="preserve"> </w:t>
            </w:r>
          </w:p>
        </w:tc>
        <w:tc>
          <w:tcPr>
            <w:tcW w:w="2548" w:type="dxa"/>
            <w:noWrap/>
            <w:hideMark/>
          </w:tcPr>
          <w:p w14:paraId="57B6B997"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1.5%</w:t>
            </w:r>
          </w:p>
        </w:tc>
      </w:tr>
      <w:tr w:rsidR="0023289B" w:rsidRPr="0023289B" w14:paraId="1BFC25E5"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0A830B30" w14:textId="2C0493A4"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Senaki</w:t>
            </w:r>
            <w:proofErr w:type="spellEnd"/>
          </w:p>
        </w:tc>
        <w:tc>
          <w:tcPr>
            <w:tcW w:w="2548" w:type="dxa"/>
            <w:noWrap/>
            <w:hideMark/>
          </w:tcPr>
          <w:p w14:paraId="6050EF60"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0.9%</w:t>
            </w:r>
          </w:p>
        </w:tc>
      </w:tr>
      <w:tr w:rsidR="0023289B" w:rsidRPr="0023289B" w14:paraId="26723E32"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33468ADF" w14:textId="46A0B94B"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Chkorotskhu</w:t>
            </w:r>
            <w:proofErr w:type="spellEnd"/>
          </w:p>
        </w:tc>
        <w:tc>
          <w:tcPr>
            <w:tcW w:w="2548" w:type="dxa"/>
            <w:noWrap/>
            <w:hideMark/>
          </w:tcPr>
          <w:p w14:paraId="344A6E32"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0.8%</w:t>
            </w:r>
          </w:p>
        </w:tc>
      </w:tr>
      <w:tr w:rsidR="0023289B" w:rsidRPr="0023289B" w14:paraId="02466ED7"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07C8C954" w14:textId="1EF14D5C"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Khoni</w:t>
            </w:r>
            <w:proofErr w:type="spellEnd"/>
          </w:p>
        </w:tc>
        <w:tc>
          <w:tcPr>
            <w:tcW w:w="2548" w:type="dxa"/>
            <w:noWrap/>
            <w:hideMark/>
          </w:tcPr>
          <w:p w14:paraId="3CE041BB"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0.6%</w:t>
            </w:r>
          </w:p>
        </w:tc>
      </w:tr>
      <w:tr w:rsidR="0023289B" w:rsidRPr="0023289B" w14:paraId="2CC82CC2"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6316E1A8" w14:textId="2394A068"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Sachkhere</w:t>
            </w:r>
            <w:proofErr w:type="spellEnd"/>
            <w:r w:rsidRPr="009C75E6">
              <w:rPr>
                <w:rFonts w:ascii="Calibri" w:eastAsia="Times New Roman" w:hAnsi="Calibri" w:cs="Calibri"/>
                <w:b w:val="0"/>
                <w:color w:val="000000"/>
              </w:rPr>
              <w:t xml:space="preserve"> </w:t>
            </w:r>
          </w:p>
        </w:tc>
        <w:tc>
          <w:tcPr>
            <w:tcW w:w="2548" w:type="dxa"/>
            <w:noWrap/>
            <w:hideMark/>
          </w:tcPr>
          <w:p w14:paraId="7FDBC2AC"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0.5%</w:t>
            </w:r>
          </w:p>
        </w:tc>
      </w:tr>
      <w:tr w:rsidR="0023289B" w:rsidRPr="0023289B" w14:paraId="3AAB12FE"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669D416" w14:textId="2A319778"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Martvili</w:t>
            </w:r>
            <w:proofErr w:type="spellEnd"/>
          </w:p>
        </w:tc>
        <w:tc>
          <w:tcPr>
            <w:tcW w:w="2548" w:type="dxa"/>
            <w:noWrap/>
            <w:hideMark/>
          </w:tcPr>
          <w:p w14:paraId="74FA2003"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0.4%</w:t>
            </w:r>
          </w:p>
        </w:tc>
      </w:tr>
      <w:tr w:rsidR="0023289B" w:rsidRPr="0023289B" w14:paraId="6E7D5D24"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0047682" w14:textId="77777777"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Kutaisi</w:t>
            </w:r>
          </w:p>
        </w:tc>
        <w:tc>
          <w:tcPr>
            <w:tcW w:w="2548" w:type="dxa"/>
            <w:noWrap/>
            <w:hideMark/>
          </w:tcPr>
          <w:p w14:paraId="56434A11"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0.3%</w:t>
            </w:r>
          </w:p>
        </w:tc>
      </w:tr>
      <w:tr w:rsidR="0023289B" w:rsidRPr="0023289B" w14:paraId="0C3F1CDD"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A6B2EA7" w14:textId="4B8C904A"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Marneuli</w:t>
            </w:r>
          </w:p>
        </w:tc>
        <w:tc>
          <w:tcPr>
            <w:tcW w:w="2548" w:type="dxa"/>
            <w:noWrap/>
            <w:hideMark/>
          </w:tcPr>
          <w:p w14:paraId="5CE9B12E"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0.1%</w:t>
            </w:r>
          </w:p>
        </w:tc>
      </w:tr>
      <w:tr w:rsidR="0023289B" w:rsidRPr="0023289B" w14:paraId="6F81FC31"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6C42F405" w14:textId="6A883B79"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Tetri</w:t>
            </w:r>
            <w:proofErr w:type="spellEnd"/>
            <w:r w:rsidRPr="009C75E6">
              <w:rPr>
                <w:rFonts w:ascii="Calibri" w:eastAsia="Times New Roman" w:hAnsi="Calibri" w:cs="Calibri"/>
                <w:b w:val="0"/>
                <w:color w:val="000000"/>
              </w:rPr>
              <w:t xml:space="preserve"> </w:t>
            </w:r>
            <w:proofErr w:type="spellStart"/>
            <w:r w:rsidRPr="009C75E6">
              <w:rPr>
                <w:rFonts w:ascii="Calibri" w:eastAsia="Times New Roman" w:hAnsi="Calibri" w:cs="Calibri"/>
                <w:b w:val="0"/>
                <w:color w:val="000000"/>
              </w:rPr>
              <w:t>Tskharo</w:t>
            </w:r>
            <w:proofErr w:type="spellEnd"/>
          </w:p>
        </w:tc>
        <w:tc>
          <w:tcPr>
            <w:tcW w:w="2548" w:type="dxa"/>
            <w:noWrap/>
            <w:hideMark/>
          </w:tcPr>
          <w:p w14:paraId="5F984453"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0.1%</w:t>
            </w:r>
          </w:p>
        </w:tc>
      </w:tr>
      <w:tr w:rsidR="0023289B" w:rsidRPr="0023289B" w14:paraId="035DDC71"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68B4CE0C" w14:textId="075E93EF"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Akhalkalaki</w:t>
            </w:r>
          </w:p>
        </w:tc>
        <w:tc>
          <w:tcPr>
            <w:tcW w:w="2548" w:type="dxa"/>
            <w:noWrap/>
            <w:hideMark/>
          </w:tcPr>
          <w:p w14:paraId="7B519213"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0.1%</w:t>
            </w:r>
          </w:p>
        </w:tc>
      </w:tr>
      <w:tr w:rsidR="0023289B" w:rsidRPr="0023289B" w14:paraId="6AB5B4DC"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42DE8024" w14:textId="525DFEC8" w:rsidR="0023289B" w:rsidRPr="009C75E6" w:rsidRDefault="0023289B" w:rsidP="004D20F0">
            <w:pPr>
              <w:jc w:val="center"/>
              <w:rPr>
                <w:rFonts w:ascii="Calibri" w:eastAsia="Times New Roman" w:hAnsi="Calibri" w:cs="Calibri"/>
                <w:b w:val="0"/>
                <w:color w:val="000000"/>
              </w:rPr>
            </w:pPr>
            <w:proofErr w:type="spellStart"/>
            <w:r w:rsidRPr="009C75E6">
              <w:rPr>
                <w:rFonts w:ascii="Calibri" w:eastAsia="Times New Roman" w:hAnsi="Calibri" w:cs="Calibri"/>
                <w:b w:val="0"/>
                <w:color w:val="000000"/>
              </w:rPr>
              <w:t>Kharagauli</w:t>
            </w:r>
            <w:proofErr w:type="spellEnd"/>
          </w:p>
        </w:tc>
        <w:tc>
          <w:tcPr>
            <w:tcW w:w="2548" w:type="dxa"/>
            <w:noWrap/>
            <w:hideMark/>
          </w:tcPr>
          <w:p w14:paraId="6CE6BB8B"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0.0%</w:t>
            </w:r>
          </w:p>
        </w:tc>
      </w:tr>
      <w:tr w:rsidR="0023289B" w:rsidRPr="0023289B" w14:paraId="7E6747D6" w14:textId="77777777" w:rsidTr="009C75E6">
        <w:trPr>
          <w:trHeight w:val="227"/>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7E85561" w14:textId="17DA6A29" w:rsidR="0023289B" w:rsidRPr="009C75E6" w:rsidRDefault="0023289B" w:rsidP="004D20F0">
            <w:pPr>
              <w:jc w:val="center"/>
              <w:rPr>
                <w:rFonts w:ascii="Calibri" w:eastAsia="Times New Roman" w:hAnsi="Calibri" w:cs="Calibri"/>
                <w:b w:val="0"/>
                <w:color w:val="000000"/>
              </w:rPr>
            </w:pPr>
            <w:r w:rsidRPr="009C75E6">
              <w:rPr>
                <w:rFonts w:ascii="Calibri" w:eastAsia="Times New Roman" w:hAnsi="Calibri" w:cs="Calibri"/>
                <w:b w:val="0"/>
                <w:color w:val="000000"/>
              </w:rPr>
              <w:t xml:space="preserve">Bolnisi </w:t>
            </w:r>
          </w:p>
        </w:tc>
        <w:tc>
          <w:tcPr>
            <w:tcW w:w="2548" w:type="dxa"/>
            <w:noWrap/>
            <w:hideMark/>
          </w:tcPr>
          <w:p w14:paraId="072054F1" w14:textId="77777777" w:rsidR="0023289B" w:rsidRPr="0023289B" w:rsidRDefault="0023289B" w:rsidP="004D20F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3289B">
              <w:rPr>
                <w:rFonts w:ascii="Calibri" w:eastAsia="Times New Roman" w:hAnsi="Calibri" w:cs="Calibri"/>
                <w:color w:val="000000"/>
              </w:rPr>
              <w:t>0.0%</w:t>
            </w:r>
          </w:p>
        </w:tc>
      </w:tr>
    </w:tbl>
    <w:p w14:paraId="3F8D9D5F" w14:textId="49FCA89E" w:rsidR="00AC52BB" w:rsidRPr="009E6455" w:rsidRDefault="006B1DDE" w:rsidP="00976D0B">
      <w:pPr>
        <w:jc w:val="both"/>
        <w:rPr>
          <w:rFonts w:cstheme="minorHAnsi"/>
        </w:rPr>
      </w:pPr>
      <w:r w:rsidRPr="00C510FB">
        <w:rPr>
          <w:i/>
          <w:iCs/>
          <w:color w:val="44546A" w:themeColor="text2"/>
          <w:sz w:val="18"/>
          <w:szCs w:val="18"/>
        </w:rPr>
        <w:t xml:space="preserve">Source: </w:t>
      </w:r>
      <w:r w:rsidR="004360B9">
        <w:rPr>
          <w:i/>
          <w:iCs/>
          <w:color w:val="44546A" w:themeColor="text2"/>
          <w:sz w:val="18"/>
          <w:szCs w:val="18"/>
        </w:rPr>
        <w:t xml:space="preserve">Local </w:t>
      </w:r>
      <w:r w:rsidRPr="00C510FB">
        <w:rPr>
          <w:i/>
          <w:iCs/>
          <w:color w:val="44546A" w:themeColor="text2"/>
          <w:sz w:val="18"/>
          <w:szCs w:val="18"/>
        </w:rPr>
        <w:t>Municipalities</w:t>
      </w:r>
    </w:p>
    <w:p w14:paraId="507EB7C3" w14:textId="47B61EB8" w:rsidR="003874DF" w:rsidRPr="00D34144" w:rsidRDefault="00B67373" w:rsidP="00976D0B">
      <w:pPr>
        <w:jc w:val="both"/>
      </w:pPr>
      <w:r>
        <w:t>The group of internal migrants includes both</w:t>
      </w:r>
      <w:r w:rsidR="003874DF">
        <w:t xml:space="preserve"> internally displaced people</w:t>
      </w:r>
      <w:r w:rsidR="00D34144">
        <w:t xml:space="preserve"> and ecomigrants</w:t>
      </w:r>
      <w:r w:rsidR="002702A9">
        <w:t>.</w:t>
      </w:r>
      <w:r w:rsidR="00D34144">
        <w:t xml:space="preserve"> </w:t>
      </w:r>
    </w:p>
    <w:p w14:paraId="48AC441B" w14:textId="60E87DAB" w:rsidR="00F70B54" w:rsidRDefault="004330B2" w:rsidP="00976D0B">
      <w:pPr>
        <w:jc w:val="both"/>
        <w:rPr>
          <w:rFonts w:cstheme="minorHAnsi"/>
        </w:rPr>
      </w:pPr>
      <w:r w:rsidRPr="00C510FB">
        <w:rPr>
          <w:rFonts w:cstheme="minorHAnsi"/>
        </w:rPr>
        <w:t>According to the</w:t>
      </w:r>
      <w:r w:rsidR="00840F80">
        <w:rPr>
          <w:rFonts w:cstheme="minorHAnsi"/>
        </w:rPr>
        <w:t xml:space="preserve"> </w:t>
      </w:r>
      <w:r w:rsidRPr="00C510FB">
        <w:rPr>
          <w:rFonts w:cstheme="minorHAnsi"/>
        </w:rPr>
        <w:t xml:space="preserve"> data</w:t>
      </w:r>
      <w:r w:rsidR="00D34144">
        <w:rPr>
          <w:rFonts w:cstheme="minorHAnsi"/>
        </w:rPr>
        <w:t xml:space="preserve"> provided by</w:t>
      </w:r>
      <w:r w:rsidR="00F16C12">
        <w:rPr>
          <w:rFonts w:cstheme="minorHAnsi"/>
        </w:rPr>
        <w:t xml:space="preserve"> </w:t>
      </w:r>
      <w:r w:rsidR="00F16C12" w:rsidRPr="00840F80">
        <w:rPr>
          <w:rFonts w:cstheme="minorHAnsi"/>
        </w:rPr>
        <w:t xml:space="preserve">Ministry of Internally Displaced Persons from the Occupied Territories, </w:t>
      </w:r>
      <w:proofErr w:type="spellStart"/>
      <w:r w:rsidR="00F16C12" w:rsidRPr="00840F80">
        <w:rPr>
          <w:rFonts w:cstheme="minorHAnsi"/>
        </w:rPr>
        <w:t>Labour</w:t>
      </w:r>
      <w:proofErr w:type="spellEnd"/>
      <w:r w:rsidR="00F16C12" w:rsidRPr="00840F80">
        <w:rPr>
          <w:rFonts w:cstheme="minorHAnsi"/>
        </w:rPr>
        <w:t>, Health and Social Affairs of Georgia</w:t>
      </w:r>
      <w:r w:rsidR="00840F80">
        <w:rPr>
          <w:rFonts w:cstheme="minorHAnsi"/>
        </w:rPr>
        <w:t>,</w:t>
      </w:r>
      <w:r w:rsidRPr="00C510FB">
        <w:rPr>
          <w:rFonts w:cstheme="minorHAnsi"/>
        </w:rPr>
        <w:t xml:space="preserve"> there </w:t>
      </w:r>
      <w:r w:rsidR="00F16C12">
        <w:rPr>
          <w:rFonts w:cstheme="minorHAnsi"/>
        </w:rPr>
        <w:t>were</w:t>
      </w:r>
      <w:r w:rsidRPr="00C510FB">
        <w:rPr>
          <w:rFonts w:cstheme="minorHAnsi"/>
        </w:rPr>
        <w:t xml:space="preserve"> overall </w:t>
      </w:r>
      <w:r w:rsidR="00F16C12">
        <w:rPr>
          <w:rFonts w:cstheme="minorHAnsi"/>
        </w:rPr>
        <w:t xml:space="preserve">5457 </w:t>
      </w:r>
      <w:r w:rsidR="00F16C12" w:rsidRPr="00C510FB" w:rsidDel="00751374">
        <w:rPr>
          <w:rFonts w:cstheme="minorHAnsi"/>
        </w:rPr>
        <w:t xml:space="preserve"> </w:t>
      </w:r>
      <w:r w:rsidRPr="006066AB">
        <w:rPr>
          <w:rFonts w:cstheme="minorHAnsi"/>
          <w:b/>
          <w:bCs/>
          <w:i/>
          <w:iCs/>
        </w:rPr>
        <w:t>eco-migrant families</w:t>
      </w:r>
      <w:r w:rsidR="00F16C12">
        <w:rPr>
          <w:rFonts w:cstheme="minorHAnsi"/>
        </w:rPr>
        <w:t xml:space="preserve"> in 2018, </w:t>
      </w:r>
      <w:r w:rsidRPr="00C510FB">
        <w:rPr>
          <w:rFonts w:cstheme="minorHAnsi"/>
        </w:rPr>
        <w:t xml:space="preserve"> which represent</w:t>
      </w:r>
      <w:r w:rsidR="00751374">
        <w:rPr>
          <w:rFonts w:cstheme="minorHAnsi"/>
        </w:rPr>
        <w:t xml:space="preserve"> </w:t>
      </w:r>
      <w:r w:rsidR="00F16C12">
        <w:rPr>
          <w:rFonts w:cstheme="minorHAnsi"/>
        </w:rPr>
        <w:t xml:space="preserve"> 0</w:t>
      </w:r>
      <w:r w:rsidR="004D176A">
        <w:rPr>
          <w:rFonts w:cstheme="minorHAnsi"/>
        </w:rPr>
        <w:t>.</w:t>
      </w:r>
      <w:r w:rsidR="00F16C12">
        <w:rPr>
          <w:rFonts w:cstheme="minorHAnsi"/>
        </w:rPr>
        <w:t xml:space="preserve">5% </w:t>
      </w:r>
      <w:r w:rsidRPr="00C510FB">
        <w:rPr>
          <w:rFonts w:cstheme="minorHAnsi"/>
        </w:rPr>
        <w:t>of the total number of households</w:t>
      </w:r>
      <w:r w:rsidR="00185C7C" w:rsidRPr="00C510FB">
        <w:rPr>
          <w:rFonts w:cstheme="minorHAnsi"/>
        </w:rPr>
        <w:t xml:space="preserve"> in Georgia</w:t>
      </w:r>
      <w:r w:rsidR="002702A9">
        <w:rPr>
          <w:rFonts w:cstheme="minorHAnsi"/>
        </w:rPr>
        <w:t>.</w:t>
      </w:r>
      <w:r w:rsidR="00D34144">
        <w:rPr>
          <w:rStyle w:val="FootnoteReference"/>
          <w:rFonts w:cstheme="minorHAnsi"/>
        </w:rPr>
        <w:footnoteReference w:id="28"/>
      </w:r>
      <w:r w:rsidR="00751374">
        <w:rPr>
          <w:rFonts w:cstheme="minorHAnsi"/>
        </w:rPr>
        <w:t xml:space="preserve"> </w:t>
      </w:r>
      <w:r w:rsidR="00F16C12">
        <w:rPr>
          <w:rFonts w:cstheme="minorHAnsi"/>
        </w:rPr>
        <w:t>Even though, the total cumulative number of registered eco-migrant families is increasing over years, it</w:t>
      </w:r>
      <w:r w:rsidR="00751374">
        <w:rPr>
          <w:rFonts w:cstheme="minorHAnsi"/>
        </w:rPr>
        <w:t xml:space="preserve"> </w:t>
      </w:r>
      <w:r w:rsidR="00F16C12">
        <w:rPr>
          <w:rFonts w:cstheme="minorHAnsi"/>
        </w:rPr>
        <w:t>is obvious</w:t>
      </w:r>
      <w:r w:rsidR="00751374">
        <w:rPr>
          <w:rFonts w:cstheme="minorHAnsi"/>
        </w:rPr>
        <w:t xml:space="preserve"> from Figure </w:t>
      </w:r>
      <w:r w:rsidR="002702A9">
        <w:rPr>
          <w:rFonts w:cstheme="minorHAnsi"/>
        </w:rPr>
        <w:lastRenderedPageBreak/>
        <w:t>21</w:t>
      </w:r>
      <w:r w:rsidR="00751374">
        <w:rPr>
          <w:rFonts w:cstheme="minorHAnsi"/>
        </w:rPr>
        <w:t xml:space="preserve"> that the number </w:t>
      </w:r>
      <w:r w:rsidR="009C75E6">
        <w:rPr>
          <w:rFonts w:cstheme="minorHAnsi"/>
        </w:rPr>
        <w:t xml:space="preserve"> </w:t>
      </w:r>
      <w:r w:rsidR="00751374">
        <w:rPr>
          <w:rFonts w:cstheme="minorHAnsi"/>
        </w:rPr>
        <w:t xml:space="preserve">of eco-migrant families applying for accommodation is decreasing over </w:t>
      </w:r>
      <w:r w:rsidR="00642DA0">
        <w:rPr>
          <w:rFonts w:cstheme="minorHAnsi"/>
        </w:rPr>
        <w:t>the same observation period</w:t>
      </w:r>
      <w:r w:rsidR="002702A9">
        <w:rPr>
          <w:rFonts w:cstheme="minorHAnsi"/>
        </w:rPr>
        <w:t>.</w:t>
      </w:r>
    </w:p>
    <w:p w14:paraId="74B7BA3B" w14:textId="400A9F69" w:rsidR="004330B2" w:rsidRDefault="00F70B54" w:rsidP="00976D0B">
      <w:pPr>
        <w:pStyle w:val="Caption"/>
        <w:jc w:val="both"/>
      </w:pPr>
      <w:r>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21</w:t>
      </w:r>
      <w:r w:rsidR="006C3BD6">
        <w:rPr>
          <w:noProof/>
        </w:rPr>
        <w:fldChar w:fldCharType="end"/>
      </w:r>
      <w:r>
        <w:t xml:space="preserve">: The </w:t>
      </w:r>
      <w:r w:rsidR="00751374">
        <w:t xml:space="preserve">number of </w:t>
      </w:r>
      <w:r w:rsidR="004360B9">
        <w:t>e</w:t>
      </w:r>
      <w:r w:rsidR="00751374">
        <w:t>co-migrant families refereeing to the ministry for accommodation each year</w:t>
      </w:r>
      <w:r w:rsidR="00751374">
        <w:rPr>
          <w:rStyle w:val="FootnoteReference"/>
        </w:rPr>
        <w:footnoteReference w:id="29"/>
      </w:r>
    </w:p>
    <w:p w14:paraId="78BF07DD" w14:textId="09D7B0D9" w:rsidR="00840F80" w:rsidRDefault="00751374" w:rsidP="00976D0B">
      <w:pPr>
        <w:jc w:val="both"/>
        <w:rPr>
          <w:rFonts w:cstheme="minorHAnsi"/>
          <w:b/>
          <w:color w:val="FF0000"/>
        </w:rPr>
      </w:pPr>
      <w:r>
        <w:rPr>
          <w:noProof/>
        </w:rPr>
        <w:drawing>
          <wp:inline distT="0" distB="0" distL="0" distR="0" wp14:anchorId="3D924583" wp14:editId="02B4194E">
            <wp:extent cx="5762625" cy="2362200"/>
            <wp:effectExtent l="0" t="0" r="9525" b="0"/>
            <wp:docPr id="46" name="Chart 46">
              <a:extLst xmlns:a="http://schemas.openxmlformats.org/drawingml/2006/main">
                <a:ext uri="{FF2B5EF4-FFF2-40B4-BE49-F238E27FC236}">
                  <a16:creationId xmlns:a16="http://schemas.microsoft.com/office/drawing/2014/main" id="{E137EC37-9837-4E99-A838-834D01DF0B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28DED8D" w14:textId="744143A5" w:rsidR="003874DF" w:rsidRDefault="005D4A8D" w:rsidP="00976D0B">
      <w:pPr>
        <w:jc w:val="both"/>
        <w:rPr>
          <w:i/>
          <w:iCs/>
          <w:color w:val="44546A" w:themeColor="text2"/>
          <w:sz w:val="18"/>
          <w:szCs w:val="18"/>
        </w:rPr>
      </w:pPr>
      <w:r w:rsidRPr="00414DE6">
        <w:rPr>
          <w:i/>
          <w:iCs/>
          <w:color w:val="44546A" w:themeColor="text2"/>
          <w:sz w:val="18"/>
          <w:szCs w:val="18"/>
        </w:rPr>
        <w:t>Source:</w:t>
      </w:r>
      <w:r w:rsidR="00642DA0">
        <w:rPr>
          <w:i/>
          <w:iCs/>
          <w:color w:val="44546A" w:themeColor="text2"/>
          <w:sz w:val="18"/>
          <w:szCs w:val="18"/>
        </w:rPr>
        <w:t xml:space="preserve"> </w:t>
      </w:r>
      <w:r w:rsidR="00642DA0" w:rsidRPr="000B6BA6">
        <w:rPr>
          <w:i/>
          <w:iCs/>
          <w:color w:val="44546A" w:themeColor="text2"/>
          <w:sz w:val="18"/>
          <w:szCs w:val="18"/>
        </w:rPr>
        <w:t xml:space="preserve">Ministry of Internally Displaced Persons from the Occupied Territories, </w:t>
      </w:r>
      <w:proofErr w:type="spellStart"/>
      <w:r w:rsidR="00642DA0" w:rsidRPr="000B6BA6">
        <w:rPr>
          <w:i/>
          <w:iCs/>
          <w:color w:val="44546A" w:themeColor="text2"/>
          <w:sz w:val="18"/>
          <w:szCs w:val="18"/>
        </w:rPr>
        <w:t>Labour</w:t>
      </w:r>
      <w:proofErr w:type="spellEnd"/>
      <w:r w:rsidR="00642DA0" w:rsidRPr="000B6BA6">
        <w:rPr>
          <w:i/>
          <w:iCs/>
          <w:color w:val="44546A" w:themeColor="text2"/>
          <w:sz w:val="18"/>
          <w:szCs w:val="18"/>
        </w:rPr>
        <w:t>, Health and Social Affairs of Georgia</w:t>
      </w:r>
      <w:r w:rsidR="007A0171">
        <w:rPr>
          <w:i/>
          <w:iCs/>
          <w:color w:val="44546A" w:themeColor="text2"/>
          <w:sz w:val="18"/>
          <w:szCs w:val="18"/>
        </w:rPr>
        <w:t xml:space="preserve"> (</w:t>
      </w:r>
      <w:proofErr w:type="spellStart"/>
      <w:r w:rsidR="007A0171">
        <w:rPr>
          <w:i/>
          <w:iCs/>
          <w:color w:val="44546A" w:themeColor="text2"/>
          <w:sz w:val="18"/>
          <w:szCs w:val="18"/>
        </w:rPr>
        <w:t>M</w:t>
      </w:r>
      <w:r w:rsidR="004360B9">
        <w:rPr>
          <w:i/>
          <w:iCs/>
          <w:color w:val="44546A" w:themeColor="text2"/>
          <w:sz w:val="18"/>
          <w:szCs w:val="18"/>
        </w:rPr>
        <w:t>o</w:t>
      </w:r>
      <w:r w:rsidR="007A0171">
        <w:rPr>
          <w:i/>
          <w:iCs/>
          <w:color w:val="44546A" w:themeColor="text2"/>
          <w:sz w:val="18"/>
          <w:szCs w:val="18"/>
        </w:rPr>
        <w:t>LSHA</w:t>
      </w:r>
      <w:proofErr w:type="spellEnd"/>
      <w:r w:rsidR="007A0171">
        <w:rPr>
          <w:i/>
          <w:iCs/>
          <w:color w:val="44546A" w:themeColor="text2"/>
          <w:sz w:val="18"/>
          <w:szCs w:val="18"/>
        </w:rPr>
        <w:t>)</w:t>
      </w:r>
    </w:p>
    <w:p w14:paraId="20C4D48B" w14:textId="15476043" w:rsidR="00840F80" w:rsidRDefault="00F70B54" w:rsidP="00976D0B">
      <w:pPr>
        <w:jc w:val="both"/>
        <w:rPr>
          <w:rFonts w:cstheme="minorHAnsi"/>
        </w:rPr>
      </w:pPr>
      <w:r>
        <w:rPr>
          <w:rFonts w:cstheme="minorHAnsi"/>
        </w:rPr>
        <w:t>Looking</w:t>
      </w:r>
      <w:r w:rsidR="00840F80">
        <w:rPr>
          <w:rFonts w:cstheme="minorHAnsi"/>
        </w:rPr>
        <w:t xml:space="preserve"> at t</w:t>
      </w:r>
      <w:r w:rsidR="00840F80" w:rsidRPr="00840F80">
        <w:rPr>
          <w:rFonts w:cstheme="minorHAnsi"/>
        </w:rPr>
        <w:t xml:space="preserve">he most vulnerable groups </w:t>
      </w:r>
      <w:r w:rsidR="00B5456B">
        <w:rPr>
          <w:rFonts w:cstheme="minorHAnsi"/>
        </w:rPr>
        <w:t xml:space="preserve">among </w:t>
      </w:r>
      <w:r w:rsidR="00B5456B" w:rsidRPr="006066AB">
        <w:rPr>
          <w:rFonts w:cstheme="minorHAnsi"/>
          <w:b/>
          <w:bCs/>
          <w:i/>
          <w:iCs/>
        </w:rPr>
        <w:t xml:space="preserve">the </w:t>
      </w:r>
      <w:r w:rsidR="00840F80" w:rsidRPr="006066AB">
        <w:rPr>
          <w:rFonts w:cstheme="minorHAnsi"/>
          <w:b/>
          <w:bCs/>
          <w:i/>
          <w:iCs/>
        </w:rPr>
        <w:t>internally displaced people</w:t>
      </w:r>
      <w:r w:rsidRPr="006066AB">
        <w:rPr>
          <w:rFonts w:cstheme="minorHAnsi"/>
          <w:b/>
          <w:bCs/>
          <w:i/>
          <w:iCs/>
        </w:rPr>
        <w:t xml:space="preserve"> (IDPs)</w:t>
      </w:r>
      <w:r>
        <w:rPr>
          <w:rFonts w:cstheme="minorHAnsi"/>
        </w:rPr>
        <w:t xml:space="preserve">, </w:t>
      </w:r>
      <w:r w:rsidR="00840F80" w:rsidRPr="00840F80">
        <w:rPr>
          <w:rFonts w:cstheme="minorHAnsi"/>
        </w:rPr>
        <w:t>those who get the social assistance over year</w:t>
      </w:r>
      <w:r>
        <w:rPr>
          <w:rFonts w:cstheme="minorHAnsi"/>
        </w:rPr>
        <w:t>s</w:t>
      </w:r>
      <w:r w:rsidR="00840F80" w:rsidRPr="00840F80">
        <w:rPr>
          <w:rFonts w:cstheme="minorHAnsi"/>
        </w:rPr>
        <w:t xml:space="preserve"> and the ones who still live in collective centers and do not have their own accommodation</w:t>
      </w:r>
      <w:r>
        <w:rPr>
          <w:rFonts w:cstheme="minorHAnsi"/>
        </w:rPr>
        <w:t>s, it can be seen that the number</w:t>
      </w:r>
      <w:r w:rsidR="000B1B7E">
        <w:rPr>
          <w:rFonts w:cstheme="minorHAnsi"/>
        </w:rPr>
        <w:t>s</w:t>
      </w:r>
      <w:r>
        <w:rPr>
          <w:rFonts w:cstheme="minorHAnsi"/>
        </w:rPr>
        <w:t xml:space="preserve"> </w:t>
      </w:r>
      <w:r w:rsidR="000B1B7E">
        <w:rPr>
          <w:rFonts w:cstheme="minorHAnsi"/>
        </w:rPr>
        <w:t>are</w:t>
      </w:r>
      <w:r>
        <w:rPr>
          <w:rFonts w:cstheme="minorHAnsi"/>
        </w:rPr>
        <w:t xml:space="preserve"> decreasing over the observed period </w:t>
      </w:r>
      <w:r w:rsidR="00C02A72">
        <w:rPr>
          <w:rFonts w:cstheme="minorHAnsi"/>
        </w:rPr>
        <w:t>(Figure</w:t>
      </w:r>
      <w:r w:rsidR="000B1B7E">
        <w:rPr>
          <w:rFonts w:cstheme="minorHAnsi"/>
        </w:rPr>
        <w:t>s</w:t>
      </w:r>
      <w:r w:rsidR="00C02A72">
        <w:rPr>
          <w:rFonts w:cstheme="minorHAnsi"/>
        </w:rPr>
        <w:t xml:space="preserve"> </w:t>
      </w:r>
      <w:r w:rsidR="00D55177">
        <w:rPr>
          <w:rFonts w:cstheme="minorHAnsi"/>
        </w:rPr>
        <w:t>2</w:t>
      </w:r>
      <w:r w:rsidR="002702A9">
        <w:rPr>
          <w:rFonts w:cstheme="minorHAnsi"/>
        </w:rPr>
        <w:t>2</w:t>
      </w:r>
      <w:r w:rsidR="000B1B7E">
        <w:rPr>
          <w:rFonts w:cstheme="minorHAnsi"/>
        </w:rPr>
        <w:t xml:space="preserve"> and </w:t>
      </w:r>
      <w:r w:rsidR="00D55177">
        <w:rPr>
          <w:rFonts w:cstheme="minorHAnsi"/>
        </w:rPr>
        <w:t>2</w:t>
      </w:r>
      <w:r w:rsidR="002702A9">
        <w:rPr>
          <w:rFonts w:cstheme="minorHAnsi"/>
        </w:rPr>
        <w:t>3</w:t>
      </w:r>
      <w:r w:rsidR="00C02A72">
        <w:rPr>
          <w:rFonts w:cstheme="minorHAnsi"/>
        </w:rPr>
        <w:t>)</w:t>
      </w:r>
      <w:r w:rsidR="00E12507">
        <w:rPr>
          <w:rFonts w:cstheme="minorHAnsi"/>
        </w:rPr>
        <w:t>.</w:t>
      </w:r>
      <w:r w:rsidR="00A96C8C">
        <w:rPr>
          <w:rFonts w:cstheme="minorHAnsi"/>
        </w:rPr>
        <w:t xml:space="preserve"> The decline in the number of</w:t>
      </w:r>
      <w:r>
        <w:rPr>
          <w:rFonts w:cstheme="minorHAnsi"/>
        </w:rPr>
        <w:t xml:space="preserve"> families living in compact settlement</w:t>
      </w:r>
      <w:r w:rsidR="00A96C8C">
        <w:rPr>
          <w:rFonts w:cstheme="minorHAnsi"/>
        </w:rPr>
        <w:t xml:space="preserve"> is</w:t>
      </w:r>
      <w:r w:rsidR="00CE0C5B">
        <w:rPr>
          <w:rFonts w:cstheme="minorHAnsi"/>
        </w:rPr>
        <w:t xml:space="preserve"> most likely </w:t>
      </w:r>
      <w:r>
        <w:rPr>
          <w:rFonts w:cstheme="minorHAnsi"/>
        </w:rPr>
        <w:t xml:space="preserve">due to multiple state programs which </w:t>
      </w:r>
      <w:r w:rsidR="00A96C8C">
        <w:rPr>
          <w:rFonts w:cstheme="minorHAnsi"/>
        </w:rPr>
        <w:t xml:space="preserve">have been </w:t>
      </w:r>
      <w:r>
        <w:rPr>
          <w:rFonts w:cstheme="minorHAnsi"/>
        </w:rPr>
        <w:t>address</w:t>
      </w:r>
      <w:r w:rsidR="00A96C8C">
        <w:rPr>
          <w:rFonts w:cstheme="minorHAnsi"/>
        </w:rPr>
        <w:t>ing</w:t>
      </w:r>
      <w:r>
        <w:rPr>
          <w:rFonts w:cstheme="minorHAnsi"/>
        </w:rPr>
        <w:t xml:space="preserve"> IDPs’ accommodation issues over years</w:t>
      </w:r>
      <w:r w:rsidR="007A0171">
        <w:rPr>
          <w:rFonts w:cstheme="minorHAnsi"/>
        </w:rPr>
        <w:t>.</w:t>
      </w:r>
      <w:r w:rsidR="00E12507">
        <w:rPr>
          <w:rFonts w:cstheme="minorHAnsi"/>
        </w:rPr>
        <w:t xml:space="preserve"> While the number of households remained high in 2013, we have a reason to believe that a picture might be significantly different now, as the efforts to address IDPs accommodation issues have continued since then.</w:t>
      </w:r>
    </w:p>
    <w:p w14:paraId="6E44AADA" w14:textId="5B5B5618" w:rsidR="00083474" w:rsidRDefault="00083474" w:rsidP="00976D0B">
      <w:pPr>
        <w:jc w:val="both"/>
        <w:rPr>
          <w:rFonts w:cstheme="minorHAnsi"/>
        </w:rPr>
      </w:pPr>
    </w:p>
    <w:p w14:paraId="5A02BBF2" w14:textId="35F11BF7" w:rsidR="00083474" w:rsidRDefault="00083474" w:rsidP="00976D0B">
      <w:pPr>
        <w:jc w:val="both"/>
        <w:rPr>
          <w:rFonts w:cstheme="minorHAnsi"/>
        </w:rPr>
      </w:pPr>
    </w:p>
    <w:p w14:paraId="7DCA9F87" w14:textId="61570536" w:rsidR="00083474" w:rsidRDefault="00083474" w:rsidP="00976D0B">
      <w:pPr>
        <w:jc w:val="both"/>
        <w:rPr>
          <w:rFonts w:cstheme="minorHAnsi"/>
        </w:rPr>
      </w:pPr>
    </w:p>
    <w:p w14:paraId="626FDC88" w14:textId="786C272B" w:rsidR="00083474" w:rsidRDefault="00083474" w:rsidP="00976D0B">
      <w:pPr>
        <w:jc w:val="both"/>
        <w:rPr>
          <w:rFonts w:cstheme="minorHAnsi"/>
        </w:rPr>
      </w:pPr>
    </w:p>
    <w:p w14:paraId="68278DB0" w14:textId="50737686" w:rsidR="00083474" w:rsidRDefault="00083474" w:rsidP="00976D0B">
      <w:pPr>
        <w:jc w:val="both"/>
        <w:rPr>
          <w:rFonts w:cstheme="minorHAnsi"/>
        </w:rPr>
      </w:pPr>
    </w:p>
    <w:p w14:paraId="7896C77F" w14:textId="4B7044A7" w:rsidR="00083474" w:rsidRDefault="00083474" w:rsidP="00976D0B">
      <w:pPr>
        <w:jc w:val="both"/>
        <w:rPr>
          <w:rFonts w:cstheme="minorHAnsi"/>
        </w:rPr>
      </w:pPr>
    </w:p>
    <w:p w14:paraId="2D069BB4" w14:textId="7190047B" w:rsidR="00083474" w:rsidRDefault="00083474" w:rsidP="00976D0B">
      <w:pPr>
        <w:jc w:val="both"/>
        <w:rPr>
          <w:rFonts w:cstheme="minorHAnsi"/>
        </w:rPr>
      </w:pPr>
    </w:p>
    <w:p w14:paraId="3D08D673" w14:textId="1717C5AF" w:rsidR="00083474" w:rsidRDefault="00083474" w:rsidP="00976D0B">
      <w:pPr>
        <w:jc w:val="both"/>
        <w:rPr>
          <w:rFonts w:cstheme="minorHAnsi"/>
        </w:rPr>
      </w:pPr>
    </w:p>
    <w:p w14:paraId="06077E21" w14:textId="687E6A43" w:rsidR="00083474" w:rsidRDefault="00083474" w:rsidP="00976D0B">
      <w:pPr>
        <w:jc w:val="both"/>
        <w:rPr>
          <w:rFonts w:cstheme="minorHAnsi"/>
        </w:rPr>
      </w:pPr>
    </w:p>
    <w:p w14:paraId="54BF87F8" w14:textId="77777777" w:rsidR="00083474" w:rsidRDefault="00083474" w:rsidP="00976D0B">
      <w:pPr>
        <w:jc w:val="both"/>
        <w:rPr>
          <w:rFonts w:cstheme="minorHAnsi"/>
        </w:rPr>
      </w:pPr>
    </w:p>
    <w:p w14:paraId="151F0651" w14:textId="17E70534" w:rsidR="00F70B54" w:rsidRPr="00454C26" w:rsidRDefault="00F70B54" w:rsidP="00454C26">
      <w:pPr>
        <w:pStyle w:val="Caption"/>
        <w:jc w:val="both"/>
      </w:pPr>
      <w:r>
        <w:lastRenderedPageBreak/>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22</w:t>
      </w:r>
      <w:r w:rsidR="009E6455">
        <w:rPr>
          <w:noProof/>
        </w:rPr>
        <w:fldChar w:fldCharType="end"/>
      </w:r>
      <w:r>
        <w:t>: The number of IDP families receiving social assistance</w:t>
      </w:r>
    </w:p>
    <w:p w14:paraId="787EC991" w14:textId="08D6C530" w:rsidR="00F70B54" w:rsidRDefault="00751374" w:rsidP="00976D0B">
      <w:pPr>
        <w:jc w:val="both"/>
        <w:rPr>
          <w:rFonts w:cstheme="minorHAnsi"/>
        </w:rPr>
      </w:pPr>
      <w:r w:rsidRPr="00751374">
        <w:rPr>
          <w:noProof/>
        </w:rPr>
        <w:t xml:space="preserve"> </w:t>
      </w:r>
      <w:r>
        <w:rPr>
          <w:noProof/>
        </w:rPr>
        <w:drawing>
          <wp:inline distT="0" distB="0" distL="0" distR="0" wp14:anchorId="6C5FA25C" wp14:editId="6FA48F87">
            <wp:extent cx="5715000" cy="2705100"/>
            <wp:effectExtent l="0" t="0" r="0" b="0"/>
            <wp:docPr id="43" name="Chart 43">
              <a:extLst xmlns:a="http://schemas.openxmlformats.org/drawingml/2006/main">
                <a:ext uri="{FF2B5EF4-FFF2-40B4-BE49-F238E27FC236}">
                  <a16:creationId xmlns:a16="http://schemas.microsoft.com/office/drawing/2014/main" id="{0B4069E2-2F51-4F36-ACF7-ABBEC0827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ED6F57B" w14:textId="71929295" w:rsidR="00F70B54" w:rsidRDefault="00F70B54" w:rsidP="00976D0B">
      <w:pPr>
        <w:jc w:val="both"/>
        <w:rPr>
          <w:i/>
          <w:iCs/>
          <w:color w:val="44546A" w:themeColor="text2"/>
          <w:sz w:val="18"/>
          <w:szCs w:val="18"/>
        </w:rPr>
      </w:pPr>
      <w:r w:rsidRPr="00414DE6">
        <w:rPr>
          <w:i/>
          <w:iCs/>
          <w:color w:val="44546A" w:themeColor="text2"/>
          <w:sz w:val="18"/>
          <w:szCs w:val="18"/>
        </w:rPr>
        <w:t xml:space="preserve">Source: </w:t>
      </w:r>
      <w:r>
        <w:rPr>
          <w:i/>
          <w:iCs/>
          <w:color w:val="44546A" w:themeColor="text2"/>
          <w:sz w:val="18"/>
          <w:szCs w:val="18"/>
        </w:rPr>
        <w:t>Social Service Agency (SSA)</w:t>
      </w:r>
    </w:p>
    <w:p w14:paraId="1F0E50B2" w14:textId="0F21D1D3" w:rsidR="00F70B54" w:rsidRDefault="00F70B54" w:rsidP="00976D0B">
      <w:pPr>
        <w:pStyle w:val="Caption"/>
        <w:jc w:val="both"/>
      </w:pPr>
      <w:r>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23</w:t>
      </w:r>
      <w:r w:rsidR="006C3BD6">
        <w:rPr>
          <w:noProof/>
        </w:rPr>
        <w:fldChar w:fldCharType="end"/>
      </w:r>
      <w:r>
        <w:t>: The number of families living in compact settlement</w:t>
      </w:r>
      <w:r w:rsidR="002E21DB">
        <w:t>s</w:t>
      </w:r>
    </w:p>
    <w:p w14:paraId="5CB5DC1A" w14:textId="0954C655" w:rsidR="00F70B54" w:rsidRDefault="00751374" w:rsidP="00976D0B">
      <w:pPr>
        <w:jc w:val="both"/>
        <w:rPr>
          <w:i/>
          <w:iCs/>
          <w:color w:val="44546A" w:themeColor="text2"/>
          <w:sz w:val="18"/>
          <w:szCs w:val="18"/>
        </w:rPr>
      </w:pPr>
      <w:r>
        <w:rPr>
          <w:noProof/>
        </w:rPr>
        <w:drawing>
          <wp:inline distT="0" distB="0" distL="0" distR="0" wp14:anchorId="1C5A5670" wp14:editId="04499F0A">
            <wp:extent cx="5800725" cy="2809875"/>
            <wp:effectExtent l="0" t="0" r="9525" b="9525"/>
            <wp:docPr id="44" name="Chart 44">
              <a:extLst xmlns:a="http://schemas.openxmlformats.org/drawingml/2006/main">
                <a:ext uri="{FF2B5EF4-FFF2-40B4-BE49-F238E27FC236}">
                  <a16:creationId xmlns:a16="http://schemas.microsoft.com/office/drawing/2014/main" id="{CF21D5D1-BE0C-4929-A300-86E761A6D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E36C558" w14:textId="77777777" w:rsidR="00AA67D3" w:rsidRPr="00454C26" w:rsidRDefault="00F70B54" w:rsidP="00454C26">
      <w:pPr>
        <w:jc w:val="both"/>
        <w:rPr>
          <w:i/>
          <w:iCs/>
          <w:color w:val="44546A" w:themeColor="text2"/>
          <w:sz w:val="18"/>
          <w:szCs w:val="18"/>
        </w:rPr>
      </w:pPr>
      <w:r w:rsidRPr="00454C26">
        <w:rPr>
          <w:i/>
          <w:iCs/>
          <w:color w:val="44546A" w:themeColor="text2"/>
          <w:sz w:val="18"/>
          <w:szCs w:val="18"/>
        </w:rPr>
        <w:t>Source: Social Service Agency (SSA)</w:t>
      </w:r>
    </w:p>
    <w:p w14:paraId="06095D38" w14:textId="351975F2" w:rsidR="00226191" w:rsidRDefault="00226191" w:rsidP="00226191">
      <w:pPr>
        <w:pStyle w:val="Caption"/>
        <w:jc w:val="both"/>
        <w:rPr>
          <w:rFonts w:cstheme="minorHAnsi"/>
          <w:i w:val="0"/>
          <w:iCs w:val="0"/>
          <w:color w:val="auto"/>
          <w:sz w:val="22"/>
          <w:szCs w:val="22"/>
        </w:rPr>
      </w:pPr>
      <w:r w:rsidRPr="00CE0C5B">
        <w:rPr>
          <w:rFonts w:cstheme="minorHAnsi"/>
          <w:i w:val="0"/>
          <w:iCs w:val="0"/>
          <w:color w:val="auto"/>
          <w:sz w:val="22"/>
          <w:szCs w:val="22"/>
        </w:rPr>
        <w:t xml:space="preserve">The next group entering these categories are </w:t>
      </w:r>
      <w:r w:rsidRPr="006066AB">
        <w:rPr>
          <w:rFonts w:cstheme="minorHAnsi"/>
          <w:b/>
          <w:bCs/>
          <w:color w:val="auto"/>
          <w:sz w:val="22"/>
          <w:szCs w:val="22"/>
        </w:rPr>
        <w:t>children, who live in children houses</w:t>
      </w:r>
      <w:r w:rsidRPr="00CE0C5B">
        <w:rPr>
          <w:rFonts w:cstheme="minorHAnsi"/>
          <w:i w:val="0"/>
          <w:iCs w:val="0"/>
          <w:color w:val="auto"/>
          <w:sz w:val="22"/>
          <w:szCs w:val="22"/>
        </w:rPr>
        <w:t xml:space="preserve">, </w:t>
      </w:r>
      <w:r>
        <w:rPr>
          <w:rFonts w:cstheme="minorHAnsi"/>
          <w:i w:val="0"/>
          <w:iCs w:val="0"/>
          <w:color w:val="auto"/>
          <w:sz w:val="22"/>
          <w:szCs w:val="22"/>
        </w:rPr>
        <w:t>Figure 2</w:t>
      </w:r>
      <w:r w:rsidR="002702A9">
        <w:rPr>
          <w:rFonts w:cstheme="minorHAnsi"/>
          <w:i w:val="0"/>
          <w:iCs w:val="0"/>
          <w:color w:val="auto"/>
          <w:sz w:val="22"/>
          <w:szCs w:val="22"/>
        </w:rPr>
        <w:t>4</w:t>
      </w:r>
      <w:r>
        <w:rPr>
          <w:rFonts w:cstheme="minorHAnsi"/>
          <w:i w:val="0"/>
          <w:iCs w:val="0"/>
          <w:color w:val="auto"/>
          <w:sz w:val="22"/>
          <w:szCs w:val="22"/>
        </w:rPr>
        <w:t xml:space="preserve"> </w:t>
      </w:r>
      <w:r w:rsidR="002702A9">
        <w:rPr>
          <w:rFonts w:cstheme="minorHAnsi"/>
          <w:i w:val="0"/>
          <w:iCs w:val="0"/>
          <w:color w:val="auto"/>
          <w:sz w:val="22"/>
          <w:szCs w:val="22"/>
        </w:rPr>
        <w:t xml:space="preserve">shows </w:t>
      </w:r>
      <w:r w:rsidRPr="00CE0C5B">
        <w:rPr>
          <w:rFonts w:cstheme="minorHAnsi"/>
          <w:i w:val="0"/>
          <w:iCs w:val="0"/>
          <w:color w:val="auto"/>
          <w:sz w:val="22"/>
          <w:szCs w:val="22"/>
        </w:rPr>
        <w:t>that the number of beneficiaries in the following institutions are declining over years, due to the existed state policies supporting alternative form</w:t>
      </w:r>
      <w:r>
        <w:rPr>
          <w:rFonts w:cstheme="minorHAnsi"/>
          <w:i w:val="0"/>
          <w:iCs w:val="0"/>
          <w:color w:val="auto"/>
          <w:sz w:val="22"/>
          <w:szCs w:val="22"/>
        </w:rPr>
        <w:t>s</w:t>
      </w:r>
      <w:r w:rsidRPr="00CE0C5B">
        <w:rPr>
          <w:rFonts w:cstheme="minorHAnsi"/>
          <w:i w:val="0"/>
          <w:iCs w:val="0"/>
          <w:color w:val="auto"/>
          <w:sz w:val="22"/>
          <w:szCs w:val="22"/>
        </w:rPr>
        <w:t xml:space="preserve"> of children </w:t>
      </w:r>
      <w:r w:rsidR="00FE17B6" w:rsidRPr="00CE0C5B">
        <w:rPr>
          <w:rFonts w:cstheme="minorHAnsi"/>
          <w:i w:val="0"/>
          <w:iCs w:val="0"/>
          <w:color w:val="auto"/>
          <w:sz w:val="22"/>
          <w:szCs w:val="22"/>
        </w:rPr>
        <w:t>care.</w:t>
      </w:r>
    </w:p>
    <w:p w14:paraId="2CCEA7AC" w14:textId="0F033466" w:rsidR="00083474" w:rsidRDefault="00083474" w:rsidP="00083474"/>
    <w:p w14:paraId="08FDE867" w14:textId="0FC96581" w:rsidR="00083474" w:rsidRDefault="00083474" w:rsidP="00083474"/>
    <w:p w14:paraId="3C47AE2D" w14:textId="77777777" w:rsidR="00083474" w:rsidRPr="00083474" w:rsidRDefault="00083474" w:rsidP="00083474"/>
    <w:p w14:paraId="4733B6A6" w14:textId="26480C9A" w:rsidR="00CE0C5B" w:rsidRPr="00CE0C5B" w:rsidRDefault="00CE0C5B" w:rsidP="00976D0B">
      <w:pPr>
        <w:pStyle w:val="Caption"/>
        <w:jc w:val="both"/>
        <w:rPr>
          <w:rFonts w:cstheme="minorHAnsi"/>
          <w:color w:val="auto"/>
          <w:sz w:val="22"/>
          <w:szCs w:val="22"/>
        </w:rPr>
      </w:pPr>
      <w:r>
        <w:lastRenderedPageBreak/>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24</w:t>
      </w:r>
      <w:r w:rsidR="006C3BD6">
        <w:rPr>
          <w:noProof/>
        </w:rPr>
        <w:fldChar w:fldCharType="end"/>
      </w:r>
      <w:r>
        <w:t>: The number of children living in children houses</w:t>
      </w:r>
    </w:p>
    <w:p w14:paraId="4DBEF2A6" w14:textId="773C76E6" w:rsidR="00CE0C5B" w:rsidRDefault="00751374" w:rsidP="00976D0B">
      <w:pPr>
        <w:jc w:val="both"/>
        <w:rPr>
          <w:rFonts w:cstheme="minorHAnsi"/>
        </w:rPr>
      </w:pPr>
      <w:r>
        <w:rPr>
          <w:noProof/>
        </w:rPr>
        <w:drawing>
          <wp:inline distT="0" distB="0" distL="0" distR="0" wp14:anchorId="1FF72777" wp14:editId="4ACC2877">
            <wp:extent cx="5800725" cy="2743200"/>
            <wp:effectExtent l="0" t="0" r="9525" b="0"/>
            <wp:docPr id="27" name="Chart 27">
              <a:extLst xmlns:a="http://schemas.openxmlformats.org/drawingml/2006/main">
                <a:ext uri="{FF2B5EF4-FFF2-40B4-BE49-F238E27FC236}">
                  <a16:creationId xmlns:a16="http://schemas.microsoft.com/office/drawing/2014/main" id="{5490BBF8-E247-40E1-9963-BEC9275CD2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09901D7" w14:textId="73461003" w:rsidR="00C02A72" w:rsidRDefault="0041763E" w:rsidP="00976D0B">
      <w:pPr>
        <w:jc w:val="both"/>
        <w:rPr>
          <w:i/>
          <w:iCs/>
          <w:color w:val="44546A" w:themeColor="text2"/>
          <w:sz w:val="18"/>
          <w:szCs w:val="18"/>
        </w:rPr>
      </w:pPr>
      <w:r w:rsidRPr="00414DE6">
        <w:rPr>
          <w:i/>
          <w:iCs/>
          <w:color w:val="44546A" w:themeColor="text2"/>
          <w:sz w:val="18"/>
          <w:szCs w:val="18"/>
        </w:rPr>
        <w:t xml:space="preserve">Source: </w:t>
      </w:r>
      <w:hyperlink r:id="rId39" w:history="1">
        <w:r w:rsidRPr="003B0BC4">
          <w:rPr>
            <w:i/>
            <w:iCs/>
            <w:color w:val="44546A" w:themeColor="text2"/>
            <w:sz w:val="18"/>
            <w:szCs w:val="18"/>
          </w:rPr>
          <w:t>State Fund for Protection and Assistance of (Statutory) Victims of Human Trafficking</w:t>
        </w:r>
      </w:hyperlink>
      <w:r w:rsidRPr="003B0BC4">
        <w:rPr>
          <w:i/>
          <w:iCs/>
          <w:color w:val="44546A" w:themeColor="text2"/>
          <w:sz w:val="18"/>
          <w:szCs w:val="18"/>
        </w:rPr>
        <w:t xml:space="preserve"> (</w:t>
      </w:r>
      <w:proofErr w:type="spellStart"/>
      <w:r w:rsidRPr="003B0BC4">
        <w:rPr>
          <w:i/>
          <w:iCs/>
          <w:color w:val="44546A" w:themeColor="text2"/>
          <w:sz w:val="18"/>
          <w:szCs w:val="18"/>
        </w:rPr>
        <w:t>Atipfund</w:t>
      </w:r>
      <w:proofErr w:type="spellEnd"/>
      <w:r w:rsidRPr="003B0BC4">
        <w:rPr>
          <w:i/>
          <w:iCs/>
          <w:color w:val="44546A" w:themeColor="text2"/>
          <w:sz w:val="18"/>
          <w:szCs w:val="18"/>
        </w:rPr>
        <w:t>)</w:t>
      </w:r>
    </w:p>
    <w:p w14:paraId="61E149F6" w14:textId="7EC808E5" w:rsidR="00163982" w:rsidRPr="00454C26" w:rsidRDefault="00163982" w:rsidP="00976D0B">
      <w:pPr>
        <w:jc w:val="both"/>
        <w:rPr>
          <w:rFonts w:cstheme="minorHAnsi"/>
        </w:rPr>
      </w:pPr>
      <w:r w:rsidRPr="00454C26">
        <w:rPr>
          <w:rFonts w:cstheme="minorHAnsi"/>
        </w:rPr>
        <w:t xml:space="preserve">Having talked to some of stakeholders, it appeared that they consider </w:t>
      </w:r>
      <w:r w:rsidRPr="00454C26">
        <w:rPr>
          <w:rFonts w:cstheme="minorHAnsi"/>
          <w:b/>
          <w:i/>
        </w:rPr>
        <w:t>children offered for adoption</w:t>
      </w:r>
      <w:r w:rsidRPr="00454C26">
        <w:rPr>
          <w:rFonts w:cstheme="minorHAnsi"/>
        </w:rPr>
        <w:t xml:space="preserve"> to be one of the most vulnerable groups exposed to the risk of homelessness</w:t>
      </w:r>
      <w:r w:rsidRPr="00454C26">
        <w:rPr>
          <w:rFonts w:cstheme="minorHAnsi"/>
          <w:b/>
          <w:i/>
        </w:rPr>
        <w:t xml:space="preserve">, especially </w:t>
      </w:r>
      <w:r w:rsidR="005C6868" w:rsidRPr="00454C26">
        <w:rPr>
          <w:rFonts w:cstheme="minorHAnsi"/>
          <w:b/>
          <w:i/>
        </w:rPr>
        <w:t xml:space="preserve">the ones </w:t>
      </w:r>
      <w:r w:rsidRPr="00454C26">
        <w:rPr>
          <w:rFonts w:cstheme="minorHAnsi"/>
          <w:b/>
          <w:i/>
        </w:rPr>
        <w:t>from 16-18 age group</w:t>
      </w:r>
      <w:r w:rsidRPr="00454C26">
        <w:rPr>
          <w:rFonts w:cstheme="minorHAnsi"/>
        </w:rPr>
        <w:t xml:space="preserve">. According to SSA data, starting from 2013 only </w:t>
      </w:r>
      <w:r w:rsidR="00581CD8" w:rsidRPr="00454C26">
        <w:rPr>
          <w:rFonts w:cstheme="minorHAnsi"/>
        </w:rPr>
        <w:t>negligible number of th</w:t>
      </w:r>
      <w:r w:rsidR="002702A9">
        <w:rPr>
          <w:rFonts w:cstheme="minorHAnsi"/>
        </w:rPr>
        <w:t>ese</w:t>
      </w:r>
      <w:r w:rsidR="00581CD8" w:rsidRPr="00454C26">
        <w:rPr>
          <w:rFonts w:cstheme="minorHAnsi"/>
        </w:rPr>
        <w:t xml:space="preserve"> children got adopted, meaning that the rest of them remained ownerless</w:t>
      </w:r>
      <w:r w:rsidR="002702A9">
        <w:rPr>
          <w:rFonts w:cstheme="minorHAnsi"/>
        </w:rPr>
        <w:t xml:space="preserve"> (Figure 25)</w:t>
      </w:r>
      <w:r w:rsidR="00581CD8" w:rsidRPr="00454C26">
        <w:rPr>
          <w:rFonts w:cstheme="minorHAnsi"/>
        </w:rPr>
        <w:t xml:space="preserve">. </w:t>
      </w:r>
    </w:p>
    <w:p w14:paraId="063BCE50" w14:textId="642E3304" w:rsidR="00581CD8" w:rsidRDefault="00581CD8" w:rsidP="00454C26">
      <w:pPr>
        <w:pStyle w:val="Caption"/>
        <w:rPr>
          <w:iCs w:val="0"/>
        </w:rPr>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25</w:t>
      </w:r>
      <w:r w:rsidR="009E6455">
        <w:rPr>
          <w:noProof/>
        </w:rPr>
        <w:fldChar w:fldCharType="end"/>
      </w:r>
      <w:r>
        <w:t xml:space="preserve">: The number of </w:t>
      </w:r>
      <w:r w:rsidR="005C6868">
        <w:t>16-18-year-old</w:t>
      </w:r>
      <w:r>
        <w:t xml:space="preserve"> </w:t>
      </w:r>
      <w:r w:rsidR="005C6868">
        <w:t xml:space="preserve">ownerless </w:t>
      </w:r>
      <w:r>
        <w:t xml:space="preserve">children </w:t>
      </w:r>
    </w:p>
    <w:p w14:paraId="00D09209" w14:textId="24F1C38D" w:rsidR="00163982" w:rsidRDefault="00581CD8" w:rsidP="00976D0B">
      <w:pPr>
        <w:jc w:val="both"/>
        <w:rPr>
          <w:iCs/>
          <w:color w:val="44546A" w:themeColor="text2"/>
          <w:sz w:val="18"/>
          <w:szCs w:val="18"/>
        </w:rPr>
      </w:pPr>
      <w:r>
        <w:rPr>
          <w:noProof/>
        </w:rPr>
        <w:drawing>
          <wp:inline distT="0" distB="0" distL="0" distR="0" wp14:anchorId="6B7336F0" wp14:editId="560D520C">
            <wp:extent cx="5800725" cy="3038475"/>
            <wp:effectExtent l="0" t="0" r="9525" b="9525"/>
            <wp:docPr id="114" name="Chart 114">
              <a:extLst xmlns:a="http://schemas.openxmlformats.org/drawingml/2006/main">
                <a:ext uri="{FF2B5EF4-FFF2-40B4-BE49-F238E27FC236}">
                  <a16:creationId xmlns:a16="http://schemas.microsoft.com/office/drawing/2014/main" id="{DAFED5B2-B816-41C4-A211-821CB04C6B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9E7AB79" w14:textId="226A3993" w:rsidR="00083474" w:rsidRPr="00083474" w:rsidRDefault="00083474" w:rsidP="00976D0B">
      <w:pPr>
        <w:jc w:val="both"/>
        <w:rPr>
          <w:i/>
          <w:iCs/>
          <w:color w:val="44546A" w:themeColor="text2"/>
          <w:sz w:val="18"/>
          <w:szCs w:val="18"/>
        </w:rPr>
      </w:pPr>
      <w:r w:rsidRPr="00083474">
        <w:rPr>
          <w:i/>
          <w:iCs/>
          <w:color w:val="44546A" w:themeColor="text2"/>
          <w:sz w:val="18"/>
          <w:szCs w:val="18"/>
        </w:rPr>
        <w:t>Source: Social Service Agency (SSA)</w:t>
      </w:r>
    </w:p>
    <w:p w14:paraId="7F850276" w14:textId="77777777" w:rsidR="002702A9" w:rsidRPr="00454C26" w:rsidRDefault="002702A9" w:rsidP="00976D0B">
      <w:pPr>
        <w:jc w:val="both"/>
        <w:rPr>
          <w:iCs/>
          <w:color w:val="44546A" w:themeColor="text2"/>
          <w:sz w:val="18"/>
          <w:szCs w:val="18"/>
        </w:rPr>
      </w:pPr>
    </w:p>
    <w:p w14:paraId="065F4F3D" w14:textId="689FE450" w:rsidR="00CE0C5B" w:rsidRPr="00840F80" w:rsidRDefault="00C02A72" w:rsidP="00976D0B">
      <w:pPr>
        <w:jc w:val="both"/>
        <w:rPr>
          <w:rFonts w:cstheme="minorHAnsi"/>
        </w:rPr>
      </w:pPr>
      <w:r>
        <w:rPr>
          <w:rFonts w:cstheme="minorHAnsi"/>
        </w:rPr>
        <w:lastRenderedPageBreak/>
        <w:t>The next in the category are people with disabilities</w:t>
      </w:r>
      <w:r w:rsidR="007A0171">
        <w:rPr>
          <w:rFonts w:cstheme="minorHAnsi"/>
        </w:rPr>
        <w:t>.</w:t>
      </w:r>
      <w:r w:rsidR="0041763E">
        <w:rPr>
          <w:rFonts w:cstheme="minorHAnsi"/>
        </w:rPr>
        <w:t xml:space="preserve"> </w:t>
      </w:r>
      <w:r w:rsidR="006C0927">
        <w:rPr>
          <w:rFonts w:cstheme="minorHAnsi"/>
        </w:rPr>
        <w:t xml:space="preserve">There does not seem to be a clear trend characterizing the last </w:t>
      </w:r>
      <w:r w:rsidR="00107A27">
        <w:rPr>
          <w:rFonts w:cstheme="minorHAnsi"/>
        </w:rPr>
        <w:t>8 years</w:t>
      </w:r>
      <w:r w:rsidR="007A0171">
        <w:rPr>
          <w:rFonts w:cstheme="minorHAnsi"/>
        </w:rPr>
        <w:t xml:space="preserve"> </w:t>
      </w:r>
      <w:proofErr w:type="spellStart"/>
      <w:r w:rsidR="007A0171">
        <w:rPr>
          <w:rFonts w:cstheme="minorHAnsi"/>
        </w:rPr>
        <w:t>Atipfund</w:t>
      </w:r>
      <w:proofErr w:type="spellEnd"/>
      <w:r w:rsidR="007A0171">
        <w:rPr>
          <w:rFonts w:cstheme="minorHAnsi"/>
        </w:rPr>
        <w:t xml:space="preserve"> administered houses</w:t>
      </w:r>
      <w:r w:rsidR="00107A27">
        <w:rPr>
          <w:rFonts w:cstheme="minorHAnsi"/>
        </w:rPr>
        <w:t xml:space="preserve"> (</w:t>
      </w:r>
      <w:r w:rsidR="0041763E">
        <w:rPr>
          <w:rFonts w:cstheme="minorHAnsi"/>
        </w:rPr>
        <w:t xml:space="preserve">Figure </w:t>
      </w:r>
      <w:r w:rsidR="00CB4060">
        <w:rPr>
          <w:rFonts w:cstheme="minorHAnsi"/>
        </w:rPr>
        <w:t>26</w:t>
      </w:r>
      <w:r w:rsidR="00107A27">
        <w:rPr>
          <w:rFonts w:cstheme="minorHAnsi"/>
        </w:rPr>
        <w:t>)</w:t>
      </w:r>
      <w:r w:rsidR="007A0171">
        <w:rPr>
          <w:rFonts w:cstheme="minorHAnsi"/>
        </w:rPr>
        <w:t xml:space="preserve">, however the number of beneficiaries </w:t>
      </w:r>
      <w:r w:rsidR="0054139F">
        <w:rPr>
          <w:rFonts w:cstheme="minorHAnsi"/>
        </w:rPr>
        <w:t>is</w:t>
      </w:r>
      <w:r w:rsidR="007A0171">
        <w:rPr>
          <w:rFonts w:cstheme="minorHAnsi"/>
        </w:rPr>
        <w:t xml:space="preserve"> increasing substantially in community organizations</w:t>
      </w:r>
      <w:r w:rsidR="00CB4060">
        <w:rPr>
          <w:rFonts w:cstheme="minorHAnsi"/>
        </w:rPr>
        <w:t xml:space="preserve"> (Figure 27)</w:t>
      </w:r>
      <w:r w:rsidR="007A0171">
        <w:rPr>
          <w:rFonts w:cstheme="minorHAnsi"/>
        </w:rPr>
        <w:t>.</w:t>
      </w:r>
      <w:r w:rsidR="00107A27">
        <w:rPr>
          <w:rFonts w:cstheme="minorHAnsi"/>
        </w:rPr>
        <w:t xml:space="preserve"> </w:t>
      </w:r>
    </w:p>
    <w:p w14:paraId="7C1FA7BB" w14:textId="03469115" w:rsidR="007A0171" w:rsidRDefault="009522B1" w:rsidP="00976D0B">
      <w:pPr>
        <w:pStyle w:val="Caption"/>
        <w:jc w:val="both"/>
      </w:pPr>
      <w:r>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26</w:t>
      </w:r>
      <w:r w:rsidR="006C3BD6">
        <w:rPr>
          <w:noProof/>
        </w:rPr>
        <w:fldChar w:fldCharType="end"/>
      </w:r>
      <w:r>
        <w:t xml:space="preserve">: The number of </w:t>
      </w:r>
      <w:r w:rsidR="0041763E">
        <w:t xml:space="preserve">beneficiaries in </w:t>
      </w:r>
      <w:r>
        <w:t xml:space="preserve">for </w:t>
      </w:r>
      <w:r w:rsidR="002E21DB">
        <w:t>c</w:t>
      </w:r>
      <w:r>
        <w:t>hildren</w:t>
      </w:r>
      <w:r w:rsidR="00CE0C5B">
        <w:t xml:space="preserve"> and </w:t>
      </w:r>
      <w:r w:rsidR="00083474">
        <w:t>adults’</w:t>
      </w:r>
      <w:r w:rsidR="00CE0C5B">
        <w:t xml:space="preserve"> </w:t>
      </w:r>
      <w:r w:rsidR="0041763E">
        <w:t xml:space="preserve">houses </w:t>
      </w:r>
      <w:r>
        <w:t>with disabilities</w:t>
      </w:r>
    </w:p>
    <w:p w14:paraId="64F81957" w14:textId="6572B987" w:rsidR="000745BD" w:rsidRDefault="009522B1" w:rsidP="00976D0B">
      <w:pPr>
        <w:pStyle w:val="Caption"/>
        <w:jc w:val="both"/>
      </w:pPr>
      <w:r>
        <w:rPr>
          <w:noProof/>
        </w:rPr>
        <w:drawing>
          <wp:inline distT="0" distB="0" distL="0" distR="0" wp14:anchorId="6F72FE8C" wp14:editId="4F3FD78E">
            <wp:extent cx="5724525" cy="3333750"/>
            <wp:effectExtent l="0" t="0" r="9525" b="0"/>
            <wp:docPr id="60" name="Chart 60">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31053AE" w14:textId="5BDD04FB" w:rsidR="002702A9" w:rsidRPr="00454C26" w:rsidRDefault="008A624B" w:rsidP="00454C26">
      <w:r w:rsidRPr="00414DE6">
        <w:rPr>
          <w:i/>
          <w:iCs/>
          <w:color w:val="44546A" w:themeColor="text2"/>
          <w:sz w:val="18"/>
          <w:szCs w:val="18"/>
        </w:rPr>
        <w:t xml:space="preserve">Source: </w:t>
      </w:r>
      <w:hyperlink r:id="rId42" w:history="1">
        <w:r w:rsidRPr="003B0BC4">
          <w:rPr>
            <w:i/>
            <w:iCs/>
            <w:color w:val="44546A" w:themeColor="text2"/>
            <w:sz w:val="18"/>
            <w:szCs w:val="18"/>
          </w:rPr>
          <w:t>State Fund for Protection and Assistance of (Statutory) Victims of Human Trafficking</w:t>
        </w:r>
      </w:hyperlink>
      <w:r w:rsidRPr="003B0BC4">
        <w:rPr>
          <w:i/>
          <w:iCs/>
          <w:color w:val="44546A" w:themeColor="text2"/>
          <w:sz w:val="18"/>
          <w:szCs w:val="18"/>
        </w:rPr>
        <w:t xml:space="preserve"> (</w:t>
      </w:r>
      <w:proofErr w:type="spellStart"/>
      <w:r w:rsidRPr="003B0BC4">
        <w:rPr>
          <w:i/>
          <w:iCs/>
          <w:color w:val="44546A" w:themeColor="text2"/>
          <w:sz w:val="18"/>
          <w:szCs w:val="18"/>
        </w:rPr>
        <w:t>Atipfund</w:t>
      </w:r>
      <w:proofErr w:type="spellEnd"/>
      <w:r w:rsidRPr="003B0BC4">
        <w:rPr>
          <w:i/>
          <w:iCs/>
          <w:color w:val="44546A" w:themeColor="text2"/>
          <w:sz w:val="18"/>
          <w:szCs w:val="18"/>
        </w:rPr>
        <w:t>)</w:t>
      </w:r>
    </w:p>
    <w:p w14:paraId="702B628D" w14:textId="11A602A8" w:rsidR="007A0171" w:rsidRDefault="007A0171" w:rsidP="00D74D8C">
      <w:pPr>
        <w:pStyle w:val="Caption"/>
      </w:pPr>
      <w:r>
        <w:t xml:space="preserve">Figure </w:t>
      </w:r>
      <w:r w:rsidR="00D656F6">
        <w:rPr>
          <w:noProof/>
        </w:rPr>
        <w:fldChar w:fldCharType="begin"/>
      </w:r>
      <w:r w:rsidR="00D656F6">
        <w:rPr>
          <w:noProof/>
        </w:rPr>
        <w:instrText xml:space="preserve"> SEQ Figure \* ARABIC </w:instrText>
      </w:r>
      <w:r w:rsidR="00D656F6">
        <w:rPr>
          <w:noProof/>
        </w:rPr>
        <w:fldChar w:fldCharType="separate"/>
      </w:r>
      <w:r w:rsidR="006B5103">
        <w:rPr>
          <w:noProof/>
        </w:rPr>
        <w:t>27</w:t>
      </w:r>
      <w:r w:rsidR="00D656F6">
        <w:rPr>
          <w:noProof/>
        </w:rPr>
        <w:fldChar w:fldCharType="end"/>
      </w:r>
      <w:r>
        <w:t xml:space="preserve">: Number of </w:t>
      </w:r>
      <w:r w:rsidR="002E21DB">
        <w:t>d</w:t>
      </w:r>
      <w:r>
        <w:t xml:space="preserve">isabled </w:t>
      </w:r>
      <w:r w:rsidR="002E21DB">
        <w:t>p</w:t>
      </w:r>
      <w:r>
        <w:t xml:space="preserve">eople in </w:t>
      </w:r>
      <w:r w:rsidR="002E21DB">
        <w:t>c</w:t>
      </w:r>
      <w:r>
        <w:t xml:space="preserve">ommunity </w:t>
      </w:r>
      <w:r w:rsidR="002E21DB">
        <w:t>o</w:t>
      </w:r>
      <w:r>
        <w:t>rganizations</w:t>
      </w:r>
    </w:p>
    <w:p w14:paraId="614A7522" w14:textId="1AAFDFED" w:rsidR="007A0171" w:rsidRDefault="007A0171" w:rsidP="00976D0B">
      <w:pPr>
        <w:jc w:val="both"/>
        <w:rPr>
          <w:i/>
          <w:iCs/>
          <w:color w:val="44546A" w:themeColor="text2"/>
          <w:sz w:val="18"/>
          <w:szCs w:val="18"/>
        </w:rPr>
      </w:pPr>
      <w:r>
        <w:rPr>
          <w:noProof/>
        </w:rPr>
        <w:drawing>
          <wp:inline distT="0" distB="0" distL="0" distR="0" wp14:anchorId="682E3780" wp14:editId="65ED5366">
            <wp:extent cx="5762625" cy="2743200"/>
            <wp:effectExtent l="0" t="0" r="9525" b="0"/>
            <wp:docPr id="36" name="Chart 36">
              <a:extLst xmlns:a="http://schemas.openxmlformats.org/drawingml/2006/main">
                <a:ext uri="{FF2B5EF4-FFF2-40B4-BE49-F238E27FC236}">
                  <a16:creationId xmlns:a16="http://schemas.microsoft.com/office/drawing/2014/main" id="{CA335494-3D75-4D49-8771-76BC4830C2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CC4A8A" w14:textId="619D906E" w:rsidR="007A0171" w:rsidRDefault="007A0171" w:rsidP="00976D0B">
      <w:pPr>
        <w:jc w:val="both"/>
        <w:rPr>
          <w:i/>
          <w:iCs/>
          <w:color w:val="44546A" w:themeColor="text2"/>
          <w:sz w:val="18"/>
          <w:szCs w:val="18"/>
        </w:rPr>
      </w:pPr>
      <w:r>
        <w:rPr>
          <w:i/>
          <w:iCs/>
          <w:color w:val="44546A" w:themeColor="text2"/>
          <w:sz w:val="18"/>
          <w:szCs w:val="18"/>
        </w:rPr>
        <w:t xml:space="preserve">Source: </w:t>
      </w:r>
      <w:r w:rsidRPr="000B6BA6">
        <w:rPr>
          <w:i/>
          <w:iCs/>
          <w:color w:val="44546A" w:themeColor="text2"/>
          <w:sz w:val="18"/>
          <w:szCs w:val="18"/>
        </w:rPr>
        <w:t xml:space="preserve">Ministry of Internally Displaced Persons from the Occupied Territories, </w:t>
      </w:r>
      <w:proofErr w:type="spellStart"/>
      <w:r w:rsidRPr="000B6BA6">
        <w:rPr>
          <w:i/>
          <w:iCs/>
          <w:color w:val="44546A" w:themeColor="text2"/>
          <w:sz w:val="18"/>
          <w:szCs w:val="18"/>
        </w:rPr>
        <w:t>Labour</w:t>
      </w:r>
      <w:proofErr w:type="spellEnd"/>
      <w:r w:rsidRPr="000B6BA6">
        <w:rPr>
          <w:i/>
          <w:iCs/>
          <w:color w:val="44546A" w:themeColor="text2"/>
          <w:sz w:val="18"/>
          <w:szCs w:val="18"/>
        </w:rPr>
        <w:t>, Health and Social Affairs of Georgia</w:t>
      </w:r>
      <w:r>
        <w:rPr>
          <w:i/>
          <w:iCs/>
          <w:color w:val="44546A" w:themeColor="text2"/>
          <w:sz w:val="18"/>
          <w:szCs w:val="18"/>
        </w:rPr>
        <w:t xml:space="preserve"> (</w:t>
      </w:r>
      <w:proofErr w:type="spellStart"/>
      <w:r>
        <w:rPr>
          <w:i/>
          <w:iCs/>
          <w:color w:val="44546A" w:themeColor="text2"/>
          <w:sz w:val="18"/>
          <w:szCs w:val="18"/>
        </w:rPr>
        <w:t>M</w:t>
      </w:r>
      <w:r w:rsidR="00083474">
        <w:rPr>
          <w:i/>
          <w:iCs/>
          <w:color w:val="44546A" w:themeColor="text2"/>
          <w:sz w:val="18"/>
          <w:szCs w:val="18"/>
        </w:rPr>
        <w:t>o</w:t>
      </w:r>
      <w:r>
        <w:rPr>
          <w:i/>
          <w:iCs/>
          <w:color w:val="44546A" w:themeColor="text2"/>
          <w:sz w:val="18"/>
          <w:szCs w:val="18"/>
        </w:rPr>
        <w:t>LSHA</w:t>
      </w:r>
      <w:proofErr w:type="spellEnd"/>
      <w:r>
        <w:rPr>
          <w:i/>
          <w:iCs/>
          <w:color w:val="44546A" w:themeColor="text2"/>
          <w:sz w:val="18"/>
          <w:szCs w:val="18"/>
        </w:rPr>
        <w:t>)</w:t>
      </w:r>
    </w:p>
    <w:p w14:paraId="28EC3A45" w14:textId="3E060ADB" w:rsidR="00843912" w:rsidRPr="005359D0" w:rsidRDefault="00495B10" w:rsidP="00976D0B">
      <w:pPr>
        <w:jc w:val="both"/>
        <w:rPr>
          <w:rFonts w:cstheme="minorHAnsi"/>
        </w:rPr>
      </w:pPr>
      <w:r w:rsidRPr="00495B10">
        <w:rPr>
          <w:rFonts w:cstheme="minorHAnsi"/>
        </w:rPr>
        <w:lastRenderedPageBreak/>
        <w:t xml:space="preserve">As for the number of beneficiaries in </w:t>
      </w:r>
      <w:r w:rsidRPr="006066AB">
        <w:rPr>
          <w:rFonts w:cstheme="minorHAnsi"/>
          <w:b/>
          <w:bCs/>
          <w:i/>
          <w:iCs/>
        </w:rPr>
        <w:t xml:space="preserve">elderly houses and community </w:t>
      </w:r>
      <w:r w:rsidR="00083474" w:rsidRPr="006066AB">
        <w:rPr>
          <w:rFonts w:cstheme="minorHAnsi"/>
          <w:b/>
          <w:bCs/>
          <w:i/>
          <w:iCs/>
        </w:rPr>
        <w:t>organizations</w:t>
      </w:r>
      <w:r w:rsidR="00083474">
        <w:rPr>
          <w:rFonts w:cstheme="minorHAnsi"/>
          <w:b/>
          <w:bCs/>
          <w:i/>
          <w:iCs/>
        </w:rPr>
        <w:t xml:space="preserve">, </w:t>
      </w:r>
      <w:r w:rsidR="004360B9">
        <w:rPr>
          <w:rFonts w:cstheme="minorHAnsi"/>
        </w:rPr>
        <w:t>i</w:t>
      </w:r>
      <w:r w:rsidR="00083474" w:rsidRPr="00495B10">
        <w:rPr>
          <w:rFonts w:cstheme="minorHAnsi"/>
        </w:rPr>
        <w:t>t</w:t>
      </w:r>
      <w:r w:rsidRPr="00495B10">
        <w:rPr>
          <w:rFonts w:cstheme="minorHAnsi"/>
        </w:rPr>
        <w:t xml:space="preserve"> can be seen</w:t>
      </w:r>
      <w:r>
        <w:rPr>
          <w:rFonts w:cstheme="minorHAnsi"/>
        </w:rPr>
        <w:t xml:space="preserve"> in Figure</w:t>
      </w:r>
      <w:r w:rsidR="004E09CD">
        <w:rPr>
          <w:rFonts w:cstheme="minorHAnsi"/>
        </w:rPr>
        <w:t xml:space="preserve"> </w:t>
      </w:r>
      <w:r w:rsidR="004360B9">
        <w:rPr>
          <w:rFonts w:cstheme="minorHAnsi"/>
        </w:rPr>
        <w:t>28 that</w:t>
      </w:r>
      <w:r w:rsidRPr="00495B10">
        <w:rPr>
          <w:rFonts w:cstheme="minorHAnsi"/>
        </w:rPr>
        <w:t xml:space="preserve"> </w:t>
      </w:r>
      <w:r w:rsidR="00D73774">
        <w:rPr>
          <w:rFonts w:cstheme="minorHAnsi"/>
        </w:rPr>
        <w:t xml:space="preserve">the </w:t>
      </w:r>
      <w:r w:rsidRPr="00C510FB">
        <w:rPr>
          <w:rFonts w:cstheme="minorHAnsi"/>
        </w:rPr>
        <w:t xml:space="preserve">number of beneficiaries of the </w:t>
      </w:r>
      <w:r w:rsidR="006B38AF">
        <w:rPr>
          <w:rFonts w:cstheme="minorHAnsi"/>
        </w:rPr>
        <w:t xml:space="preserve">two </w:t>
      </w:r>
      <w:r w:rsidR="009D13A4">
        <w:rPr>
          <w:rFonts w:cstheme="minorHAnsi"/>
        </w:rPr>
        <w:t xml:space="preserve">existing </w:t>
      </w:r>
      <w:r w:rsidRPr="00C510FB">
        <w:rPr>
          <w:rFonts w:cstheme="minorHAnsi"/>
        </w:rPr>
        <w:t>Boarding Houses for Elderly people</w:t>
      </w:r>
      <w:r w:rsidR="009D13A4">
        <w:rPr>
          <w:rFonts w:cstheme="minorHAnsi"/>
        </w:rPr>
        <w:t xml:space="preserve"> (one in Tbilisi and one in Kutaisi)</w:t>
      </w:r>
      <w:r w:rsidRPr="00C510FB">
        <w:rPr>
          <w:rFonts w:cstheme="minorHAnsi"/>
        </w:rPr>
        <w:t xml:space="preserve"> is decreasing over the years</w:t>
      </w:r>
      <w:r w:rsidR="00CD3B20">
        <w:rPr>
          <w:rFonts w:cstheme="minorHAnsi"/>
        </w:rPr>
        <w:t xml:space="preserve"> (Figure 28)</w:t>
      </w:r>
      <w:r w:rsidR="008A5B96">
        <w:rPr>
          <w:rFonts w:cstheme="minorHAnsi"/>
        </w:rPr>
        <w:t>.</w:t>
      </w:r>
      <w:r w:rsidR="006C0CBD">
        <w:rPr>
          <w:rFonts w:cstheme="minorHAnsi"/>
        </w:rPr>
        <w:t xml:space="preserve"> According t</w:t>
      </w:r>
      <w:r w:rsidR="008A5B96">
        <w:rPr>
          <w:rFonts w:cstheme="minorHAnsi"/>
        </w:rPr>
        <w:t xml:space="preserve">o the representatives of </w:t>
      </w:r>
      <w:proofErr w:type="spellStart"/>
      <w:r w:rsidR="008A5B96">
        <w:rPr>
          <w:rFonts w:cstheme="minorHAnsi"/>
        </w:rPr>
        <w:t>M</w:t>
      </w:r>
      <w:r w:rsidR="004360B9">
        <w:rPr>
          <w:rFonts w:cstheme="minorHAnsi"/>
        </w:rPr>
        <w:t>o</w:t>
      </w:r>
      <w:r w:rsidR="008A5B96">
        <w:rPr>
          <w:rFonts w:cstheme="minorHAnsi"/>
        </w:rPr>
        <w:t>LSHA</w:t>
      </w:r>
      <w:proofErr w:type="spellEnd"/>
      <w:r w:rsidR="008A5B96">
        <w:rPr>
          <w:rFonts w:cstheme="minorHAnsi"/>
        </w:rPr>
        <w:t xml:space="preserve">, </w:t>
      </w:r>
      <w:r w:rsidR="006C0CBD">
        <w:rPr>
          <w:rFonts w:cstheme="minorHAnsi"/>
        </w:rPr>
        <w:t>this is due to</w:t>
      </w:r>
      <w:r w:rsidR="006C0CBD" w:rsidRPr="00C510FB">
        <w:rPr>
          <w:rFonts w:cstheme="minorHAnsi"/>
        </w:rPr>
        <w:t xml:space="preserve"> the</w:t>
      </w:r>
      <w:r w:rsidR="006C0CBD">
        <w:rPr>
          <w:rFonts w:cstheme="minorHAnsi"/>
        </w:rPr>
        <w:t xml:space="preserve"> fact that </w:t>
      </w:r>
      <w:r w:rsidR="00D73774">
        <w:rPr>
          <w:rFonts w:cstheme="minorHAnsi"/>
        </w:rPr>
        <w:t xml:space="preserve">the </w:t>
      </w:r>
      <w:r w:rsidR="006C0CBD" w:rsidRPr="00C510FB">
        <w:rPr>
          <w:rFonts w:cstheme="minorHAnsi"/>
        </w:rPr>
        <w:t>lack of f</w:t>
      </w:r>
      <w:r w:rsidR="00D73774">
        <w:rPr>
          <w:rFonts w:cstheme="minorHAnsi"/>
        </w:rPr>
        <w:t>unds</w:t>
      </w:r>
      <w:r w:rsidR="006C0CBD" w:rsidRPr="00C510FB">
        <w:rPr>
          <w:rFonts w:cstheme="minorHAnsi"/>
        </w:rPr>
        <w:t xml:space="preserve"> </w:t>
      </w:r>
      <w:r w:rsidR="006C0CBD">
        <w:rPr>
          <w:rFonts w:cstheme="minorHAnsi"/>
        </w:rPr>
        <w:t>is limit</w:t>
      </w:r>
      <w:r w:rsidR="00D73774">
        <w:rPr>
          <w:rFonts w:cstheme="minorHAnsi"/>
        </w:rPr>
        <w:t xml:space="preserve">ing the </w:t>
      </w:r>
      <w:r w:rsidR="006C0CBD" w:rsidRPr="00C510FB">
        <w:rPr>
          <w:rFonts w:cstheme="minorHAnsi"/>
        </w:rPr>
        <w:t>accept</w:t>
      </w:r>
      <w:r w:rsidR="00D73774">
        <w:rPr>
          <w:rFonts w:cstheme="minorHAnsi"/>
        </w:rPr>
        <w:t xml:space="preserve">ance of potential </w:t>
      </w:r>
      <w:r w:rsidR="006C0CBD" w:rsidRPr="00C510FB">
        <w:rPr>
          <w:rFonts w:cstheme="minorHAnsi"/>
        </w:rPr>
        <w:t>beneficiaries</w:t>
      </w:r>
      <w:r w:rsidR="00CD3B20">
        <w:rPr>
          <w:rFonts w:cstheme="minorHAnsi"/>
        </w:rPr>
        <w:t>.</w:t>
      </w:r>
    </w:p>
    <w:p w14:paraId="2D252836" w14:textId="62EF3680" w:rsidR="00843912" w:rsidRDefault="00495B10" w:rsidP="00976D0B">
      <w:pPr>
        <w:pStyle w:val="Caption"/>
        <w:jc w:val="both"/>
        <w:rPr>
          <w:rFonts w:cstheme="minorHAnsi"/>
          <w:i w:val="0"/>
          <w:iCs w:val="0"/>
          <w:color w:val="auto"/>
          <w:sz w:val="22"/>
          <w:szCs w:val="22"/>
        </w:rPr>
      </w:pPr>
      <w:r>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28</w:t>
      </w:r>
      <w:r w:rsidR="006C3BD6">
        <w:rPr>
          <w:noProof/>
        </w:rPr>
        <w:fldChar w:fldCharType="end"/>
      </w:r>
      <w:r>
        <w:t xml:space="preserve"> </w:t>
      </w:r>
      <w:r>
        <w:rPr>
          <w:rFonts w:cstheme="minorHAnsi"/>
          <w:i w:val="0"/>
          <w:iCs w:val="0"/>
          <w:color w:val="auto"/>
          <w:sz w:val="22"/>
          <w:szCs w:val="22"/>
        </w:rPr>
        <w:t xml:space="preserve">: </w:t>
      </w:r>
      <w:r w:rsidRPr="00495B10">
        <w:t xml:space="preserve">Number of </w:t>
      </w:r>
      <w:r w:rsidR="00083474">
        <w:t>b</w:t>
      </w:r>
      <w:r w:rsidRPr="00495B10">
        <w:t xml:space="preserve">eneficiaries in Tbilisi and Kutaisi </w:t>
      </w:r>
      <w:r w:rsidR="00083474">
        <w:t>b</w:t>
      </w:r>
      <w:r w:rsidRPr="00495B10">
        <w:t>oarding</w:t>
      </w:r>
      <w:r w:rsidR="00083474">
        <w:t xml:space="preserve"> h</w:t>
      </w:r>
      <w:r w:rsidRPr="00495B10">
        <w:t xml:space="preserve">ouses for </w:t>
      </w:r>
      <w:r w:rsidR="00083474">
        <w:t>e</w:t>
      </w:r>
      <w:r w:rsidRPr="00495B10">
        <w:t>lderly people</w:t>
      </w:r>
      <w:r>
        <w:rPr>
          <w:rFonts w:cstheme="minorHAnsi"/>
          <w:i w:val="0"/>
          <w:iCs w:val="0"/>
          <w:color w:val="auto"/>
          <w:sz w:val="22"/>
          <w:szCs w:val="22"/>
        </w:rPr>
        <w:t xml:space="preserve"> </w:t>
      </w:r>
      <w:r w:rsidR="00843912" w:rsidRPr="00C510FB">
        <w:rPr>
          <w:rFonts w:cstheme="minorHAnsi"/>
          <w:i w:val="0"/>
          <w:iCs w:val="0"/>
          <w:color w:val="auto"/>
          <w:sz w:val="22"/>
          <w:szCs w:val="22"/>
        </w:rPr>
        <w:t xml:space="preserve"> </w:t>
      </w:r>
    </w:p>
    <w:p w14:paraId="1CC687F7" w14:textId="77777777" w:rsidR="00083474" w:rsidRDefault="00495B10" w:rsidP="00083474">
      <w:pPr>
        <w:spacing w:before="240"/>
        <w:jc w:val="both"/>
        <w:rPr>
          <w:i/>
          <w:iCs/>
          <w:color w:val="44546A" w:themeColor="text2"/>
          <w:sz w:val="18"/>
          <w:szCs w:val="18"/>
        </w:rPr>
      </w:pPr>
      <w:r>
        <w:rPr>
          <w:noProof/>
        </w:rPr>
        <w:drawing>
          <wp:inline distT="0" distB="0" distL="0" distR="0" wp14:anchorId="1F94FA2F" wp14:editId="7FCDEDBC">
            <wp:extent cx="5819775" cy="3038475"/>
            <wp:effectExtent l="0" t="0" r="9525" b="9525"/>
            <wp:docPr id="71" name="Chart 7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49381EE" w14:textId="41921899" w:rsidR="00843912" w:rsidRPr="008A624B" w:rsidRDefault="00843912" w:rsidP="00083474">
      <w:pPr>
        <w:spacing w:before="240"/>
        <w:jc w:val="both"/>
        <w:rPr>
          <w:i/>
          <w:iCs/>
          <w:color w:val="44546A" w:themeColor="text2"/>
          <w:sz w:val="18"/>
          <w:szCs w:val="18"/>
        </w:rPr>
      </w:pPr>
      <w:r w:rsidRPr="0029516D">
        <w:rPr>
          <w:i/>
          <w:iCs/>
          <w:color w:val="44546A" w:themeColor="text2"/>
          <w:sz w:val="18"/>
          <w:szCs w:val="18"/>
        </w:rPr>
        <w:t xml:space="preserve">Source: </w:t>
      </w:r>
      <w:hyperlink r:id="rId45" w:history="1">
        <w:r w:rsidRPr="008A624B">
          <w:rPr>
            <w:i/>
            <w:iCs/>
            <w:color w:val="44546A" w:themeColor="text2"/>
            <w:sz w:val="18"/>
            <w:szCs w:val="18"/>
          </w:rPr>
          <w:t>State Fund for Protection and Assistance of (Statutory) Victims of Human Trafficking</w:t>
        </w:r>
      </w:hyperlink>
      <w:r w:rsidRPr="008A624B">
        <w:rPr>
          <w:i/>
          <w:iCs/>
          <w:color w:val="44546A" w:themeColor="text2"/>
          <w:sz w:val="18"/>
          <w:szCs w:val="18"/>
        </w:rPr>
        <w:t xml:space="preserve"> (</w:t>
      </w:r>
      <w:proofErr w:type="spellStart"/>
      <w:r w:rsidRPr="008A624B">
        <w:rPr>
          <w:i/>
          <w:iCs/>
          <w:color w:val="44546A" w:themeColor="text2"/>
          <w:sz w:val="18"/>
          <w:szCs w:val="18"/>
        </w:rPr>
        <w:t>Atipfund</w:t>
      </w:r>
      <w:proofErr w:type="spellEnd"/>
      <w:r w:rsidRPr="008A624B">
        <w:rPr>
          <w:i/>
          <w:iCs/>
          <w:color w:val="44546A" w:themeColor="text2"/>
          <w:sz w:val="18"/>
          <w:szCs w:val="18"/>
        </w:rPr>
        <w:t>)</w:t>
      </w:r>
    </w:p>
    <w:p w14:paraId="69EC5097" w14:textId="00251CB4" w:rsidR="00843912" w:rsidRPr="00C510FB" w:rsidRDefault="00843912" w:rsidP="00976D0B">
      <w:pPr>
        <w:jc w:val="both"/>
        <w:rPr>
          <w:rFonts w:cstheme="minorHAnsi"/>
        </w:rPr>
      </w:pPr>
      <w:r w:rsidRPr="00C510FB">
        <w:rPr>
          <w:rFonts w:cstheme="minorHAnsi"/>
        </w:rPr>
        <w:t xml:space="preserve">In </w:t>
      </w:r>
      <w:r w:rsidR="005359D0" w:rsidRPr="00C510FB">
        <w:rPr>
          <w:rFonts w:cstheme="minorHAnsi"/>
        </w:rPr>
        <w:t>addition to</w:t>
      </w:r>
      <w:r w:rsidRPr="00C510FB">
        <w:rPr>
          <w:rFonts w:cstheme="minorHAnsi"/>
        </w:rPr>
        <w:t xml:space="preserve"> the big boarding houses</w:t>
      </w:r>
      <w:r w:rsidR="005359D0">
        <w:rPr>
          <w:rFonts w:cstheme="minorHAnsi"/>
        </w:rPr>
        <w:t>, as it was mentioned above,</w:t>
      </w:r>
      <w:r w:rsidR="005359D0" w:rsidRPr="00C510FB">
        <w:rPr>
          <w:rFonts w:cstheme="minorHAnsi"/>
        </w:rPr>
        <w:t xml:space="preserve"> </w:t>
      </w:r>
      <w:r w:rsidRPr="00C510FB">
        <w:rPr>
          <w:rFonts w:cstheme="minorHAnsi"/>
        </w:rPr>
        <w:t xml:space="preserve">there are community organizations for elderly people that are functioning under the supervision of Social Service Agency (SSA) since </w:t>
      </w:r>
      <w:r w:rsidR="00FE17B6" w:rsidRPr="00C510FB">
        <w:rPr>
          <w:rFonts w:cstheme="minorHAnsi"/>
        </w:rPr>
        <w:t xml:space="preserve">2012 </w:t>
      </w:r>
      <w:r w:rsidR="00FE17B6">
        <w:rPr>
          <w:rFonts w:cstheme="minorHAnsi"/>
        </w:rPr>
        <w:t>the</w:t>
      </w:r>
      <w:r w:rsidR="005359D0">
        <w:rPr>
          <w:rFonts w:cstheme="minorHAnsi"/>
        </w:rPr>
        <w:t xml:space="preserve"> number of elderly people in the community organizations </w:t>
      </w:r>
      <w:r w:rsidR="00E57522">
        <w:rPr>
          <w:rFonts w:cstheme="minorHAnsi"/>
        </w:rPr>
        <w:t xml:space="preserve">has been </w:t>
      </w:r>
      <w:r w:rsidR="005359D0">
        <w:rPr>
          <w:rFonts w:cstheme="minorHAnsi"/>
        </w:rPr>
        <w:t xml:space="preserve">increasing </w:t>
      </w:r>
      <w:r w:rsidR="00E57522">
        <w:rPr>
          <w:rFonts w:cstheme="minorHAnsi"/>
        </w:rPr>
        <w:t>significantly since 2012</w:t>
      </w:r>
      <w:r w:rsidR="005359D0">
        <w:rPr>
          <w:rFonts w:cstheme="minorHAnsi"/>
        </w:rPr>
        <w:t xml:space="preserve">, </w:t>
      </w:r>
      <w:r w:rsidR="005C2A94">
        <w:rPr>
          <w:rFonts w:cstheme="minorHAnsi"/>
        </w:rPr>
        <w:t xml:space="preserve">with the number </w:t>
      </w:r>
      <w:r w:rsidR="00D93C0C">
        <w:rPr>
          <w:rFonts w:cstheme="minorHAnsi"/>
        </w:rPr>
        <w:t>stabilizing after 2016</w:t>
      </w:r>
      <w:r w:rsidR="00CD3B20">
        <w:rPr>
          <w:rFonts w:cstheme="minorHAnsi"/>
        </w:rPr>
        <w:t xml:space="preserve"> (Figure 29).</w:t>
      </w:r>
    </w:p>
    <w:p w14:paraId="567966CB" w14:textId="3C4E5C4D" w:rsidR="007A0171" w:rsidRDefault="00495B10" w:rsidP="00976D0B">
      <w:pPr>
        <w:pStyle w:val="Caption"/>
        <w:jc w:val="both"/>
      </w:pPr>
      <w:r>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29</w:t>
      </w:r>
      <w:r w:rsidR="006C3BD6">
        <w:rPr>
          <w:noProof/>
        </w:rPr>
        <w:fldChar w:fldCharType="end"/>
      </w:r>
      <w:r>
        <w:t>:</w:t>
      </w:r>
      <w:r w:rsidRPr="00495B10">
        <w:t xml:space="preserve"> Number of </w:t>
      </w:r>
      <w:r w:rsidR="00083474">
        <w:t>e</w:t>
      </w:r>
      <w:r w:rsidRPr="00495B10">
        <w:t>lderly</w:t>
      </w:r>
      <w:r w:rsidR="00083474">
        <w:t xml:space="preserve"> b</w:t>
      </w:r>
      <w:r w:rsidRPr="00495B10">
        <w:t>eneficiaries in community organizations for elderly people in Georgia</w:t>
      </w:r>
    </w:p>
    <w:p w14:paraId="0E5F8DB7" w14:textId="0A69523D" w:rsidR="00843912" w:rsidRPr="00C510FB" w:rsidRDefault="005359D0" w:rsidP="00976D0B">
      <w:pPr>
        <w:pStyle w:val="Caption"/>
        <w:jc w:val="both"/>
      </w:pPr>
      <w:r>
        <w:rPr>
          <w:noProof/>
        </w:rPr>
        <w:drawing>
          <wp:inline distT="0" distB="0" distL="0" distR="0" wp14:anchorId="197EF748" wp14:editId="2010E05F">
            <wp:extent cx="5810250" cy="2038350"/>
            <wp:effectExtent l="0" t="0" r="0" b="0"/>
            <wp:docPr id="72" name="Chart 72">
              <a:extLst xmlns:a="http://schemas.openxmlformats.org/drawingml/2006/main">
                <a:ext uri="{FF2B5EF4-FFF2-40B4-BE49-F238E27FC236}">
                  <a16:creationId xmlns:a16="http://schemas.microsoft.com/office/drawing/2014/main" id="{FA6F9697-79C8-4841-8F8F-29A22A6BF4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2CC6CE4" w14:textId="54FB01EA" w:rsidR="00843912" w:rsidRPr="0029516D" w:rsidRDefault="00843912" w:rsidP="00976D0B">
      <w:pPr>
        <w:jc w:val="both"/>
        <w:rPr>
          <w:i/>
          <w:iCs/>
          <w:color w:val="44546A" w:themeColor="text2"/>
          <w:sz w:val="18"/>
          <w:szCs w:val="18"/>
        </w:rPr>
      </w:pPr>
      <w:r w:rsidRPr="0029516D">
        <w:rPr>
          <w:i/>
          <w:iCs/>
          <w:color w:val="44546A" w:themeColor="text2"/>
          <w:sz w:val="18"/>
          <w:szCs w:val="18"/>
        </w:rPr>
        <w:t xml:space="preserve">Source: Ministry of Internally Displaced Persons from the Occupied Territories, </w:t>
      </w:r>
      <w:proofErr w:type="spellStart"/>
      <w:r w:rsidRPr="0029516D">
        <w:rPr>
          <w:i/>
          <w:iCs/>
          <w:color w:val="44546A" w:themeColor="text2"/>
          <w:sz w:val="18"/>
          <w:szCs w:val="18"/>
        </w:rPr>
        <w:t>Labour</w:t>
      </w:r>
      <w:proofErr w:type="spellEnd"/>
      <w:r w:rsidRPr="0029516D">
        <w:rPr>
          <w:i/>
          <w:iCs/>
          <w:color w:val="44546A" w:themeColor="text2"/>
          <w:sz w:val="18"/>
          <w:szCs w:val="18"/>
        </w:rPr>
        <w:t>, Health and Social Affairs of Georgia</w:t>
      </w:r>
      <w:r w:rsidR="007A0171">
        <w:rPr>
          <w:i/>
          <w:iCs/>
          <w:color w:val="44546A" w:themeColor="text2"/>
          <w:sz w:val="18"/>
          <w:szCs w:val="18"/>
        </w:rPr>
        <w:t xml:space="preserve"> (</w:t>
      </w:r>
      <w:proofErr w:type="spellStart"/>
      <w:r w:rsidR="007A0171">
        <w:rPr>
          <w:i/>
          <w:iCs/>
          <w:color w:val="44546A" w:themeColor="text2"/>
          <w:sz w:val="18"/>
          <w:szCs w:val="18"/>
        </w:rPr>
        <w:t>MoL</w:t>
      </w:r>
      <w:r w:rsidR="00083474">
        <w:rPr>
          <w:i/>
          <w:iCs/>
          <w:color w:val="44546A" w:themeColor="text2"/>
          <w:sz w:val="18"/>
          <w:szCs w:val="18"/>
        </w:rPr>
        <w:t>SHA</w:t>
      </w:r>
      <w:proofErr w:type="spellEnd"/>
      <w:r w:rsidR="007A0171">
        <w:rPr>
          <w:i/>
          <w:iCs/>
          <w:color w:val="44546A" w:themeColor="text2"/>
          <w:sz w:val="18"/>
          <w:szCs w:val="18"/>
        </w:rPr>
        <w:t>)</w:t>
      </w:r>
    </w:p>
    <w:p w14:paraId="67CA87E6" w14:textId="7526D711" w:rsidR="00495B10" w:rsidRDefault="005359D0" w:rsidP="00976D0B">
      <w:pPr>
        <w:pStyle w:val="ListParagraph"/>
        <w:ind w:left="0"/>
        <w:jc w:val="both"/>
        <w:rPr>
          <w:rFonts w:cstheme="minorHAnsi"/>
        </w:rPr>
      </w:pPr>
      <w:r>
        <w:rPr>
          <w:rFonts w:cstheme="minorHAnsi"/>
        </w:rPr>
        <w:lastRenderedPageBreak/>
        <w:t xml:space="preserve">The last, but not the least important subcategory are the </w:t>
      </w:r>
      <w:r w:rsidRPr="006066AB">
        <w:rPr>
          <w:rFonts w:cstheme="minorHAnsi"/>
          <w:b/>
          <w:bCs/>
          <w:i/>
          <w:iCs/>
        </w:rPr>
        <w:t>people who are under the threat of domestic violence</w:t>
      </w:r>
      <w:r>
        <w:rPr>
          <w:rFonts w:cstheme="minorHAnsi"/>
        </w:rPr>
        <w:t>, which might be also exposed to the risk of housing exclusion</w:t>
      </w:r>
      <w:r w:rsidR="00C82E2A">
        <w:rPr>
          <w:rFonts w:cstheme="minorHAnsi"/>
        </w:rPr>
        <w:t>.</w:t>
      </w:r>
      <w:r>
        <w:rPr>
          <w:rFonts w:cstheme="minorHAnsi"/>
        </w:rPr>
        <w:t xml:space="preserve"> Looking at the data, </w:t>
      </w:r>
      <w:r w:rsidR="00C82E2A">
        <w:rPr>
          <w:rFonts w:cstheme="minorHAnsi"/>
        </w:rPr>
        <w:t xml:space="preserve">it is evident that </w:t>
      </w:r>
      <w:r w:rsidR="007E4A05">
        <w:rPr>
          <w:rFonts w:cstheme="minorHAnsi"/>
        </w:rPr>
        <w:t>the problem is</w:t>
      </w:r>
      <w:r w:rsidR="00080B8E">
        <w:rPr>
          <w:rFonts w:cstheme="minorHAnsi"/>
        </w:rPr>
        <w:t xml:space="preserve"> apparently</w:t>
      </w:r>
      <w:r w:rsidR="007E4A05">
        <w:rPr>
          <w:rFonts w:cstheme="minorHAnsi"/>
        </w:rPr>
        <w:t xml:space="preserve"> becoming more or more severe</w:t>
      </w:r>
      <w:r w:rsidR="00080B8E">
        <w:rPr>
          <w:rStyle w:val="FootnoteReference"/>
          <w:rFonts w:cstheme="minorHAnsi"/>
        </w:rPr>
        <w:footnoteReference w:id="30"/>
      </w:r>
      <w:r w:rsidR="007E4A05">
        <w:rPr>
          <w:rFonts w:cstheme="minorHAnsi"/>
        </w:rPr>
        <w:t>,</w:t>
      </w:r>
      <w:r w:rsidR="00080B8E">
        <w:rPr>
          <w:rFonts w:cstheme="minorHAnsi"/>
        </w:rPr>
        <w:t xml:space="preserve"> and</w:t>
      </w:r>
      <w:r w:rsidR="007E4A05">
        <w:rPr>
          <w:rFonts w:cstheme="minorHAnsi"/>
        </w:rPr>
        <w:t xml:space="preserve"> needs to be addressed in all vulnerable categories, adults, children and dependent people</w:t>
      </w:r>
      <w:r w:rsidR="000B2DD5">
        <w:rPr>
          <w:rFonts w:cstheme="minorHAnsi"/>
        </w:rPr>
        <w:t xml:space="preserve"> (Figure 30).</w:t>
      </w:r>
    </w:p>
    <w:p w14:paraId="5FCC7A37" w14:textId="6E159219" w:rsidR="00495B10" w:rsidRPr="00C510FB" w:rsidRDefault="00495B10" w:rsidP="00976D0B">
      <w:pPr>
        <w:pStyle w:val="Caption"/>
        <w:jc w:val="both"/>
        <w:rPr>
          <w:rFonts w:cstheme="minorHAnsi"/>
          <w:b/>
          <w:color w:val="FF0000"/>
        </w:rPr>
      </w:pPr>
      <w:r>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30</w:t>
      </w:r>
      <w:r w:rsidR="006C3BD6">
        <w:rPr>
          <w:noProof/>
        </w:rPr>
        <w:fldChar w:fldCharType="end"/>
      </w:r>
      <w:r>
        <w:rPr>
          <w:lang w:val="ka-GE"/>
        </w:rPr>
        <w:t xml:space="preserve">: </w:t>
      </w:r>
      <w:r>
        <w:t>The number of beneficiaries in domestic violence centers (</w:t>
      </w:r>
      <w:r w:rsidR="00C82E2A">
        <w:t>24-hour</w:t>
      </w:r>
      <w:r>
        <w:t xml:space="preserve"> shelters)</w:t>
      </w:r>
    </w:p>
    <w:p w14:paraId="42796CE4" w14:textId="0C752533" w:rsidR="00495B10" w:rsidRDefault="00F140C0" w:rsidP="00976D0B">
      <w:pPr>
        <w:pStyle w:val="ListParagraph"/>
        <w:ind w:left="0"/>
        <w:jc w:val="both"/>
        <w:rPr>
          <w:rFonts w:cstheme="minorHAnsi"/>
          <w:b/>
          <w:i/>
          <w:color w:val="FF0000"/>
        </w:rPr>
      </w:pPr>
      <w:r w:rsidRPr="00F140C0">
        <w:rPr>
          <w:noProof/>
        </w:rPr>
        <w:t xml:space="preserve"> </w:t>
      </w:r>
      <w:r>
        <w:rPr>
          <w:noProof/>
        </w:rPr>
        <w:drawing>
          <wp:inline distT="0" distB="0" distL="0" distR="0" wp14:anchorId="7004A17F" wp14:editId="7E236D1E">
            <wp:extent cx="5705475" cy="2505075"/>
            <wp:effectExtent l="0" t="0" r="9525" b="9525"/>
            <wp:docPr id="25" name="Chart 25">
              <a:extLst xmlns:a="http://schemas.openxmlformats.org/drawingml/2006/main">
                <a:ext uri="{FF2B5EF4-FFF2-40B4-BE49-F238E27FC236}">
                  <a16:creationId xmlns:a16="http://schemas.microsoft.com/office/drawing/2014/main" id="{00000000-0008-0000-1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BC4F793" w14:textId="45AAD4E7" w:rsidR="00843912" w:rsidRPr="00694FEE" w:rsidRDefault="00495B10" w:rsidP="00D74D8C">
      <w:pPr>
        <w:jc w:val="both"/>
        <w:rPr>
          <w:rFonts w:cstheme="minorHAnsi"/>
        </w:rPr>
      </w:pPr>
      <w:r w:rsidRPr="00414DE6">
        <w:rPr>
          <w:i/>
          <w:iCs/>
          <w:color w:val="44546A" w:themeColor="text2"/>
          <w:sz w:val="18"/>
          <w:szCs w:val="18"/>
        </w:rPr>
        <w:t xml:space="preserve">Source: </w:t>
      </w:r>
      <w:hyperlink r:id="rId48" w:history="1">
        <w:r w:rsidRPr="003B0BC4">
          <w:rPr>
            <w:i/>
            <w:iCs/>
            <w:color w:val="44546A" w:themeColor="text2"/>
            <w:sz w:val="18"/>
            <w:szCs w:val="18"/>
          </w:rPr>
          <w:t>State Fund for Protection and Assistance of (Statutory) Victims of Human Trafficking</w:t>
        </w:r>
      </w:hyperlink>
      <w:r w:rsidRPr="003B0BC4">
        <w:rPr>
          <w:i/>
          <w:iCs/>
          <w:color w:val="44546A" w:themeColor="text2"/>
          <w:sz w:val="18"/>
          <w:szCs w:val="18"/>
        </w:rPr>
        <w:t xml:space="preserve"> (</w:t>
      </w:r>
      <w:proofErr w:type="spellStart"/>
      <w:r w:rsidRPr="003B0BC4">
        <w:rPr>
          <w:i/>
          <w:iCs/>
          <w:color w:val="44546A" w:themeColor="text2"/>
          <w:sz w:val="18"/>
          <w:szCs w:val="18"/>
        </w:rPr>
        <w:t>Atipfund</w:t>
      </w:r>
      <w:proofErr w:type="spellEnd"/>
      <w:r w:rsidRPr="003B0BC4">
        <w:rPr>
          <w:i/>
          <w:iCs/>
          <w:color w:val="44546A" w:themeColor="text2"/>
          <w:sz w:val="18"/>
          <w:szCs w:val="18"/>
        </w:rPr>
        <w:t>)</w:t>
      </w:r>
    </w:p>
    <w:p w14:paraId="24561EBD" w14:textId="77777777" w:rsidR="005A32A5" w:rsidRDefault="005A32A5" w:rsidP="005A32A5">
      <w:pPr>
        <w:jc w:val="both"/>
      </w:pPr>
      <w:r w:rsidRPr="006066AB">
        <w:rPr>
          <w:b/>
          <w:bCs/>
        </w:rPr>
        <w:t>People Living in Insecure Housing</w:t>
      </w:r>
    </w:p>
    <w:p w14:paraId="2BEBD117" w14:textId="07EDFFC0" w:rsidR="00082663" w:rsidRDefault="00082663" w:rsidP="00976D0B">
      <w:pPr>
        <w:jc w:val="both"/>
      </w:pPr>
      <w:r>
        <w:t xml:space="preserve">Considering the lack of available information about the duration of stays of each individual in a household and the fact that doubling-up is still quite </w:t>
      </w:r>
      <w:r w:rsidR="00636DEB">
        <w:t xml:space="preserve">a </w:t>
      </w:r>
      <w:r>
        <w:t>common phenomen</w:t>
      </w:r>
      <w:r w:rsidR="0034153B">
        <w:t>on</w:t>
      </w:r>
      <w:r>
        <w:t xml:space="preserve"> in Georgia, for the purpose</w:t>
      </w:r>
      <w:r w:rsidR="002B2B19">
        <w:t xml:space="preserve"> of this study we referred to the rules set by the </w:t>
      </w:r>
      <w:r>
        <w:t xml:space="preserve">inheritance law for distinguishing </w:t>
      </w:r>
      <w:r w:rsidRPr="00B66D18">
        <w:rPr>
          <w:b/>
          <w:bCs/>
          <w:i/>
          <w:iCs/>
        </w:rPr>
        <w:t>doubled-up families</w:t>
      </w:r>
      <w:r w:rsidR="006216B1">
        <w:t>.</w:t>
      </w:r>
      <w:r>
        <w:t xml:space="preserve"> This subcategory includes the households where people with </w:t>
      </w:r>
      <w:r w:rsidR="002B2B19">
        <w:t>a “</w:t>
      </w:r>
      <w:r>
        <w:t>distant</w:t>
      </w:r>
      <w:r w:rsidR="002B2B19">
        <w:t>”</w:t>
      </w:r>
      <w:r>
        <w:t xml:space="preserve"> relation status live together</w:t>
      </w:r>
      <w:r w:rsidR="006216B1">
        <w:t>.</w:t>
      </w:r>
      <w:r>
        <w:t xml:space="preserve"> The distant relatives were reckoned to be more than second class heirs, non-heirs and non-relatives of the head of household</w:t>
      </w:r>
      <w:r w:rsidR="00C82E2A">
        <w:t>.</w:t>
      </w:r>
      <w:r>
        <w:t xml:space="preserve"> </w:t>
      </w:r>
      <w:r w:rsidR="00410062">
        <w:t>U</w:t>
      </w:r>
      <w:r>
        <w:t>nder these categories came uncle, aunt, their children, other relatives and non-relatives of the head of the household or his/her spouse</w:t>
      </w:r>
      <w:r w:rsidR="006216B1">
        <w:t>.</w:t>
      </w:r>
      <w:r>
        <w:t xml:space="preserve"> </w:t>
      </w:r>
      <w:r w:rsidR="000C65FF">
        <w:t xml:space="preserve">We were able to identify </w:t>
      </w:r>
      <w:r w:rsidR="00337DC1">
        <w:t>such individuals from our</w:t>
      </w:r>
      <w:r w:rsidR="000C65FF">
        <w:t xml:space="preserve"> main data source</w:t>
      </w:r>
      <w:r w:rsidR="00337DC1">
        <w:t xml:space="preserve">, </w:t>
      </w:r>
      <w:r w:rsidR="000C65FF">
        <w:t>the Household Database Survey</w:t>
      </w:r>
      <w:r w:rsidR="006216B1">
        <w:t>.</w:t>
      </w:r>
    </w:p>
    <w:p w14:paraId="213112D8" w14:textId="3C1D859B" w:rsidR="000745BD" w:rsidRDefault="00082663" w:rsidP="00976D0B">
      <w:pPr>
        <w:jc w:val="both"/>
      </w:pPr>
      <w:r>
        <w:t xml:space="preserve">Looking at the twelve </w:t>
      </w:r>
      <w:r w:rsidR="007E4A05">
        <w:t>-</w:t>
      </w:r>
      <w:r>
        <w:t>year data coming from</w:t>
      </w:r>
      <w:r w:rsidR="00854EB2">
        <w:t xml:space="preserve"> the</w:t>
      </w:r>
      <w:r>
        <w:t xml:space="preserve"> Household Survey Database, it can be seen that</w:t>
      </w:r>
      <w:r w:rsidR="0002007F">
        <w:t>, over the long term</w:t>
      </w:r>
      <w:r>
        <w:t xml:space="preserve"> the indicator </w:t>
      </w:r>
      <w:r w:rsidR="00813176">
        <w:t>follows an</w:t>
      </w:r>
      <w:r>
        <w:t xml:space="preserve"> upward trend</w:t>
      </w:r>
      <w:r w:rsidR="00FA66C2">
        <w:t xml:space="preserve"> both in </w:t>
      </w:r>
      <w:r w:rsidR="006B1DDE">
        <w:t>u</w:t>
      </w:r>
      <w:r w:rsidR="0021680A">
        <w:t>rban</w:t>
      </w:r>
      <w:r w:rsidR="00FA66C2">
        <w:t xml:space="preserve"> and </w:t>
      </w:r>
      <w:r w:rsidR="006B1DDE">
        <w:t>r</w:t>
      </w:r>
      <w:r w:rsidR="0021680A">
        <w:t>ural</w:t>
      </w:r>
      <w:r w:rsidR="00FA66C2">
        <w:t xml:space="preserve"> areas (Figure </w:t>
      </w:r>
      <w:r w:rsidR="00DD3A27">
        <w:t>31</w:t>
      </w:r>
      <w:r w:rsidR="00FA66C2">
        <w:t>)</w:t>
      </w:r>
      <w:r w:rsidR="006216B1">
        <w:t>.</w:t>
      </w:r>
      <w:r>
        <w:t xml:space="preserve"> </w:t>
      </w:r>
      <w:r w:rsidR="008A624B">
        <w:t>T</w:t>
      </w:r>
      <w:r>
        <w:t xml:space="preserve">he indicator </w:t>
      </w:r>
      <w:r w:rsidR="008A624B">
        <w:t>for households</w:t>
      </w:r>
      <w:r w:rsidR="00C14743">
        <w:t xml:space="preserve"> </w:t>
      </w:r>
      <w:r>
        <w:t>varies between 2</w:t>
      </w:r>
      <w:r w:rsidR="00321448">
        <w:t>.</w:t>
      </w:r>
      <w:r>
        <w:t xml:space="preserve">6% and 5% </w:t>
      </w:r>
      <w:r w:rsidR="00C14743">
        <w:t>over years</w:t>
      </w:r>
      <w:r>
        <w:t xml:space="preserve"> for </w:t>
      </w:r>
      <w:r w:rsidR="0021680A">
        <w:t>urban</w:t>
      </w:r>
      <w:r>
        <w:t xml:space="preserve"> areas while in </w:t>
      </w:r>
      <w:r w:rsidR="0021680A">
        <w:t>rural</w:t>
      </w:r>
      <w:r>
        <w:t xml:space="preserve"> areas it is between 1</w:t>
      </w:r>
      <w:r w:rsidR="00321448">
        <w:t>.</w:t>
      </w:r>
      <w:r>
        <w:t>3% and 5</w:t>
      </w:r>
      <w:r w:rsidR="00321448">
        <w:t>.</w:t>
      </w:r>
      <w:r>
        <w:t xml:space="preserve">5% As for the share in total sample at the latest year, in 2018 on average 5% of the </w:t>
      </w:r>
      <w:r w:rsidR="00560BEE">
        <w:t>households live</w:t>
      </w:r>
      <w:r>
        <w:t xml:space="preserve"> doubled up</w:t>
      </w:r>
      <w:r w:rsidR="00C14743">
        <w:t xml:space="preserve"> in </w:t>
      </w:r>
      <w:r w:rsidR="0021680A">
        <w:t>urban</w:t>
      </w:r>
      <w:r w:rsidR="00C14743">
        <w:t xml:space="preserve"> areas, while for </w:t>
      </w:r>
      <w:r w:rsidR="0021680A">
        <w:t>rural</w:t>
      </w:r>
      <w:r w:rsidR="00C14743">
        <w:t xml:space="preserve"> it is 5</w:t>
      </w:r>
      <w:r w:rsidR="000B2DD5">
        <w:t>.</w:t>
      </w:r>
      <w:r w:rsidR="00C14743">
        <w:t>5%</w:t>
      </w:r>
      <w:r w:rsidR="00083474">
        <w:t>.</w:t>
      </w:r>
    </w:p>
    <w:p w14:paraId="539B5291" w14:textId="08BB548E" w:rsidR="00083474" w:rsidRDefault="00083474" w:rsidP="00976D0B">
      <w:pPr>
        <w:jc w:val="both"/>
      </w:pPr>
    </w:p>
    <w:p w14:paraId="15A770D4" w14:textId="53A0330E" w:rsidR="00083474" w:rsidRDefault="00083474" w:rsidP="00976D0B">
      <w:pPr>
        <w:jc w:val="both"/>
      </w:pPr>
    </w:p>
    <w:p w14:paraId="43D38936" w14:textId="77777777" w:rsidR="00083474" w:rsidRPr="00B33AB2" w:rsidRDefault="00083474" w:rsidP="00976D0B">
      <w:pPr>
        <w:jc w:val="both"/>
        <w:rPr>
          <w:rFonts w:ascii="Sylfaen" w:hAnsi="Sylfaen"/>
          <w:lang w:val="ka-GE"/>
        </w:rPr>
      </w:pPr>
    </w:p>
    <w:p w14:paraId="403E2390" w14:textId="15AB1C7E" w:rsidR="004C6D8D" w:rsidRDefault="005C251D" w:rsidP="004C6D8D">
      <w:pPr>
        <w:pStyle w:val="Caption"/>
      </w:pPr>
      <w:r>
        <w:rPr>
          <w:noProof/>
        </w:rPr>
        <w:lastRenderedPageBreak/>
        <w:drawing>
          <wp:anchor distT="0" distB="0" distL="114300" distR="114300" simplePos="0" relativeHeight="251680768" behindDoc="1" locked="0" layoutInCell="1" allowOverlap="1" wp14:anchorId="2A3CE54E" wp14:editId="6F3A24FB">
            <wp:simplePos x="0" y="0"/>
            <wp:positionH relativeFrom="column">
              <wp:posOffset>2847975</wp:posOffset>
            </wp:positionH>
            <wp:positionV relativeFrom="paragraph">
              <wp:posOffset>207010</wp:posOffset>
            </wp:positionV>
            <wp:extent cx="2971800" cy="2190750"/>
            <wp:effectExtent l="0" t="0" r="0" b="0"/>
            <wp:wrapNone/>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1" locked="0" layoutInCell="1" allowOverlap="1" wp14:anchorId="0C38DA20" wp14:editId="11A14319">
            <wp:simplePos x="0" y="0"/>
            <wp:positionH relativeFrom="margin">
              <wp:posOffset>0</wp:posOffset>
            </wp:positionH>
            <wp:positionV relativeFrom="paragraph">
              <wp:posOffset>207010</wp:posOffset>
            </wp:positionV>
            <wp:extent cx="2838450" cy="2228850"/>
            <wp:effectExtent l="0" t="0" r="0" b="0"/>
            <wp:wrapNone/>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00082663">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31</w:t>
      </w:r>
      <w:r w:rsidR="006C3BD6">
        <w:rPr>
          <w:noProof/>
        </w:rPr>
        <w:fldChar w:fldCharType="end"/>
      </w:r>
      <w:r w:rsidR="00082663">
        <w:t xml:space="preserve">: </w:t>
      </w:r>
      <w:r w:rsidR="000A6CC2">
        <w:t xml:space="preserve">The share of doubled up households in </w:t>
      </w:r>
      <w:r w:rsidR="004C6D8D">
        <w:t xml:space="preserve">urban and rural areas </w:t>
      </w:r>
    </w:p>
    <w:p w14:paraId="5BF3506B" w14:textId="2C4FF420" w:rsidR="00082663" w:rsidRDefault="00082663" w:rsidP="00976D0B">
      <w:pPr>
        <w:pStyle w:val="Caption"/>
        <w:jc w:val="both"/>
      </w:pPr>
    </w:p>
    <w:p w14:paraId="2060F9FB" w14:textId="41281C0B" w:rsidR="00082663" w:rsidRDefault="00082663" w:rsidP="00976D0B">
      <w:pPr>
        <w:jc w:val="both"/>
      </w:pPr>
    </w:p>
    <w:p w14:paraId="4362D53F" w14:textId="77777777" w:rsidR="00082663" w:rsidRDefault="00082663" w:rsidP="00D74D8C">
      <w:pPr>
        <w:jc w:val="center"/>
      </w:pPr>
    </w:p>
    <w:p w14:paraId="27BBFD6A" w14:textId="77777777" w:rsidR="005C251D" w:rsidRDefault="005C251D" w:rsidP="00976D0B">
      <w:pPr>
        <w:jc w:val="both"/>
        <w:rPr>
          <w:i/>
          <w:iCs/>
          <w:color w:val="44546A" w:themeColor="text2"/>
          <w:sz w:val="18"/>
          <w:szCs w:val="18"/>
        </w:rPr>
      </w:pPr>
    </w:p>
    <w:p w14:paraId="71F59409" w14:textId="77777777" w:rsidR="005C251D" w:rsidRDefault="005C251D" w:rsidP="00976D0B">
      <w:pPr>
        <w:jc w:val="both"/>
        <w:rPr>
          <w:i/>
          <w:iCs/>
          <w:color w:val="44546A" w:themeColor="text2"/>
          <w:sz w:val="18"/>
          <w:szCs w:val="18"/>
        </w:rPr>
      </w:pPr>
    </w:p>
    <w:p w14:paraId="753D2260" w14:textId="77777777" w:rsidR="005C251D" w:rsidRDefault="005C251D" w:rsidP="00976D0B">
      <w:pPr>
        <w:jc w:val="both"/>
        <w:rPr>
          <w:i/>
          <w:iCs/>
          <w:color w:val="44546A" w:themeColor="text2"/>
          <w:sz w:val="18"/>
          <w:szCs w:val="18"/>
        </w:rPr>
      </w:pPr>
    </w:p>
    <w:p w14:paraId="301E1D92" w14:textId="77777777" w:rsidR="005C251D" w:rsidRDefault="005C251D" w:rsidP="00976D0B">
      <w:pPr>
        <w:jc w:val="both"/>
        <w:rPr>
          <w:i/>
          <w:iCs/>
          <w:color w:val="44546A" w:themeColor="text2"/>
          <w:sz w:val="18"/>
          <w:szCs w:val="18"/>
        </w:rPr>
      </w:pPr>
    </w:p>
    <w:p w14:paraId="0E6145AE" w14:textId="77777777" w:rsidR="005C251D" w:rsidRDefault="005C251D" w:rsidP="00976D0B">
      <w:pPr>
        <w:jc w:val="both"/>
        <w:rPr>
          <w:i/>
          <w:iCs/>
          <w:color w:val="44546A" w:themeColor="text2"/>
          <w:sz w:val="18"/>
          <w:szCs w:val="18"/>
        </w:rPr>
      </w:pPr>
    </w:p>
    <w:p w14:paraId="4FC8E2E9" w14:textId="77777777" w:rsidR="005C251D" w:rsidRDefault="005C251D" w:rsidP="00976D0B">
      <w:pPr>
        <w:jc w:val="both"/>
        <w:rPr>
          <w:i/>
          <w:iCs/>
          <w:color w:val="44546A" w:themeColor="text2"/>
          <w:sz w:val="18"/>
          <w:szCs w:val="18"/>
        </w:rPr>
      </w:pPr>
    </w:p>
    <w:p w14:paraId="7571CC77" w14:textId="3F6691B0" w:rsidR="005C251D" w:rsidRDefault="008A624B" w:rsidP="00976D0B">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2ACB258" w14:textId="6A1BCC7D" w:rsidR="000745BD" w:rsidRPr="009F70F6" w:rsidRDefault="00932EED" w:rsidP="00976D0B">
      <w:pPr>
        <w:jc w:val="both"/>
      </w:pPr>
      <w:r>
        <w:t xml:space="preserve">Doubling-up, as it is defined by the given methodology, </w:t>
      </w:r>
      <w:r w:rsidR="009F70F6">
        <w:t>is quite common phenomena in the Georgian context, deriving from the cultural factors lots of people tolerate with living with their distant relatives</w:t>
      </w:r>
      <w:r w:rsidR="00560BEE">
        <w:t>.</w:t>
      </w:r>
      <w:r>
        <w:t xml:space="preserve"> Consequently, a decision to be doubled-up</w:t>
      </w:r>
      <w:r w:rsidR="009F70F6">
        <w:t xml:space="preserve"> might not be necessarily </w:t>
      </w:r>
      <w:r>
        <w:t xml:space="preserve">caused by </w:t>
      </w:r>
      <w:r w:rsidR="009F70F6">
        <w:t>unaffordability</w:t>
      </w:r>
      <w:r>
        <w:t xml:space="preserve"> problem</w:t>
      </w:r>
      <w:r w:rsidR="00750843">
        <w:t>.</w:t>
      </w:r>
      <w:r>
        <w:t xml:space="preserve"> As a result</w:t>
      </w:r>
      <w:r w:rsidR="009F70F6">
        <w:t xml:space="preserve">, defining </w:t>
      </w:r>
      <w:r w:rsidR="003E2D23">
        <w:t xml:space="preserve">all of </w:t>
      </w:r>
      <w:r w:rsidR="009F70F6">
        <w:t>those families</w:t>
      </w:r>
      <w:r>
        <w:t xml:space="preserve"> </w:t>
      </w:r>
      <w:r w:rsidR="009F70F6">
        <w:t>as vulnerable</w:t>
      </w:r>
      <w:r>
        <w:t xml:space="preserve"> </w:t>
      </w:r>
      <w:r w:rsidR="009F70F6">
        <w:t>groups</w:t>
      </w:r>
      <w:r w:rsidR="003E2D23">
        <w:t xml:space="preserve"> </w:t>
      </w:r>
      <w:r w:rsidR="009F70F6">
        <w:t>might</w:t>
      </w:r>
      <w:r w:rsidR="00C27377">
        <w:t xml:space="preserve"> lead to the</w:t>
      </w:r>
      <w:r w:rsidR="009F70F6">
        <w:t xml:space="preserve"> </w:t>
      </w:r>
      <w:r w:rsidR="00FA66C2">
        <w:t>misrepresent</w:t>
      </w:r>
      <w:r w:rsidR="00C27377">
        <w:t>ation of</w:t>
      </w:r>
      <w:r w:rsidR="00FA66C2">
        <w:t xml:space="preserve"> </w:t>
      </w:r>
      <w:r w:rsidR="009F70F6">
        <w:t xml:space="preserve">the </w:t>
      </w:r>
      <w:r>
        <w:t>scale of the housing exclusion problem in Georgia</w:t>
      </w:r>
      <w:r w:rsidR="00560BEE">
        <w:t>.</w:t>
      </w:r>
      <w:r>
        <w:t xml:space="preserve"> </w:t>
      </w:r>
      <w:r w:rsidR="000768C0">
        <w:t xml:space="preserve">Unfortunately, given </w:t>
      </w:r>
      <w:r w:rsidR="00AE5FC0">
        <w:t xml:space="preserve">limitation of </w:t>
      </w:r>
      <w:r w:rsidR="000768C0">
        <w:t>the available data it</w:t>
      </w:r>
      <w:r w:rsidR="00622646">
        <w:t xml:space="preserve"> </w:t>
      </w:r>
      <w:r w:rsidR="000768C0">
        <w:t xml:space="preserve">is impossible to determine the real motives </w:t>
      </w:r>
      <w:r w:rsidR="00AE5FC0">
        <w:t xml:space="preserve">leading to the </w:t>
      </w:r>
      <w:r w:rsidR="000768C0">
        <w:t xml:space="preserve">doubled-up </w:t>
      </w:r>
      <w:r w:rsidR="00AE5FC0">
        <w:t>phenomenon</w:t>
      </w:r>
      <w:r w:rsidR="00865F3B">
        <w:t xml:space="preserve"> and</w:t>
      </w:r>
      <w:r w:rsidR="00CB3AF0">
        <w:t xml:space="preserve">, correspondingly, it is hard to </w:t>
      </w:r>
      <w:r w:rsidR="00865F3B">
        <w:t>establish whether (and to what extent)</w:t>
      </w:r>
      <w:r w:rsidR="00CB3AF0">
        <w:t xml:space="preserve"> the problem needs to be addressed with help of government </w:t>
      </w:r>
      <w:r w:rsidR="00560BEE">
        <w:t>intervention.</w:t>
      </w:r>
    </w:p>
    <w:p w14:paraId="3E460B46" w14:textId="597C7FC0" w:rsidR="00082663" w:rsidRDefault="00082663" w:rsidP="00976D0B">
      <w:pPr>
        <w:jc w:val="both"/>
        <w:rPr>
          <w:rFonts w:cstheme="minorHAnsi"/>
        </w:rPr>
      </w:pPr>
      <w:r>
        <w:t xml:space="preserve">As it has been already mentioned, in </w:t>
      </w:r>
      <w:r w:rsidR="00712FA6">
        <w:t xml:space="preserve">the </w:t>
      </w:r>
      <w:r w:rsidR="00CB3AF0">
        <w:t xml:space="preserve">insecure housing </w:t>
      </w:r>
      <w:r>
        <w:t xml:space="preserve">subcategory also </w:t>
      </w:r>
      <w:r w:rsidR="009455F8">
        <w:t xml:space="preserve">enter </w:t>
      </w:r>
      <w:r w:rsidRPr="006066AB">
        <w:rPr>
          <w:b/>
          <w:bCs/>
          <w:i/>
          <w:iCs/>
        </w:rPr>
        <w:t>households who are illegal (sub) tenants and</w:t>
      </w:r>
      <w:r w:rsidR="00712FA6">
        <w:rPr>
          <w:b/>
          <w:bCs/>
          <w:i/>
          <w:iCs/>
        </w:rPr>
        <w:t>/or</w:t>
      </w:r>
      <w:r w:rsidRPr="006066AB">
        <w:rPr>
          <w:b/>
          <w:bCs/>
          <w:i/>
          <w:iCs/>
        </w:rPr>
        <w:t xml:space="preserve"> own land </w:t>
      </w:r>
      <w:r w:rsidR="00005342" w:rsidRPr="006066AB">
        <w:rPr>
          <w:b/>
          <w:bCs/>
          <w:i/>
          <w:iCs/>
        </w:rPr>
        <w:t>illegally</w:t>
      </w:r>
      <w:r w:rsidR="00005342">
        <w:rPr>
          <w:b/>
          <w:bCs/>
          <w:i/>
          <w:iCs/>
        </w:rPr>
        <w:t xml:space="preserve">. </w:t>
      </w:r>
      <w:r w:rsidR="004C3BCA">
        <w:t xml:space="preserve">The </w:t>
      </w:r>
      <w:r>
        <w:rPr>
          <w:rFonts w:cstheme="minorHAnsi"/>
        </w:rPr>
        <w:t xml:space="preserve">National Agency of State Property has provided </w:t>
      </w:r>
      <w:r w:rsidR="004C3BCA">
        <w:rPr>
          <w:rFonts w:cstheme="minorHAnsi"/>
        </w:rPr>
        <w:t xml:space="preserve">us </w:t>
      </w:r>
      <w:r>
        <w:rPr>
          <w:rFonts w:cstheme="minorHAnsi"/>
        </w:rPr>
        <w:t xml:space="preserve">the </w:t>
      </w:r>
      <w:r w:rsidRPr="002C2E90">
        <w:rPr>
          <w:rFonts w:cstheme="minorHAnsi"/>
        </w:rPr>
        <w:t>latest data</w:t>
      </w:r>
      <w:r w:rsidR="004C3BCA">
        <w:rPr>
          <w:rStyle w:val="FootnoteReference"/>
          <w:rFonts w:cstheme="minorHAnsi"/>
        </w:rPr>
        <w:t xml:space="preserve"> </w:t>
      </w:r>
      <w:r w:rsidR="004C3BCA">
        <w:rPr>
          <w:rFonts w:cstheme="minorHAnsi"/>
        </w:rPr>
        <w:t xml:space="preserve">(June 2019) </w:t>
      </w:r>
      <w:r>
        <w:rPr>
          <w:rFonts w:cstheme="minorHAnsi"/>
        </w:rPr>
        <w:t xml:space="preserve">about the </w:t>
      </w:r>
      <w:r w:rsidR="0028738D">
        <w:rPr>
          <w:rFonts w:cstheme="minorHAnsi"/>
        </w:rPr>
        <w:t xml:space="preserve">identified </w:t>
      </w:r>
      <w:r>
        <w:rPr>
          <w:rFonts w:cstheme="minorHAnsi"/>
        </w:rPr>
        <w:t>illegal tenants</w:t>
      </w:r>
      <w:r w:rsidR="0028738D">
        <w:rPr>
          <w:rFonts w:cstheme="minorHAnsi"/>
        </w:rPr>
        <w:t xml:space="preserve">, </w:t>
      </w:r>
      <w:r w:rsidR="0075701D">
        <w:rPr>
          <w:rFonts w:cstheme="minorHAnsi"/>
        </w:rPr>
        <w:t xml:space="preserve">amounting to </w:t>
      </w:r>
      <w:r w:rsidRPr="002C2E90">
        <w:rPr>
          <w:rFonts w:cstheme="minorHAnsi"/>
        </w:rPr>
        <w:t>95 households (</w:t>
      </w:r>
      <w:r w:rsidR="0075701D">
        <w:rPr>
          <w:rFonts w:cstheme="minorHAnsi"/>
        </w:rPr>
        <w:t>for a</w:t>
      </w:r>
      <w:r w:rsidRPr="002C2E90">
        <w:rPr>
          <w:rFonts w:cstheme="minorHAnsi"/>
        </w:rPr>
        <w:t xml:space="preserve"> total 169 individuals) </w:t>
      </w:r>
      <w:r w:rsidR="0075701D">
        <w:rPr>
          <w:rFonts w:cstheme="minorHAnsi"/>
        </w:rPr>
        <w:t>They</w:t>
      </w:r>
      <w:r>
        <w:rPr>
          <w:rFonts w:cstheme="minorHAnsi"/>
        </w:rPr>
        <w:t xml:space="preserve"> represent up to 0</w:t>
      </w:r>
      <w:r w:rsidR="000B2DD5">
        <w:rPr>
          <w:rFonts w:cstheme="minorHAnsi"/>
        </w:rPr>
        <w:t>.</w:t>
      </w:r>
      <w:r>
        <w:rPr>
          <w:rFonts w:cstheme="minorHAnsi"/>
        </w:rPr>
        <w:t>009% of the total number of households</w:t>
      </w:r>
      <w:r>
        <w:rPr>
          <w:rStyle w:val="FootnoteReference"/>
          <w:rFonts w:cstheme="minorHAnsi"/>
        </w:rPr>
        <w:footnoteReference w:id="31"/>
      </w:r>
      <w:r>
        <w:rPr>
          <w:rFonts w:cstheme="minorHAnsi"/>
        </w:rPr>
        <w:t xml:space="preserve"> in Georgia (up to 0</w:t>
      </w:r>
      <w:r w:rsidR="000B2DD5">
        <w:rPr>
          <w:rFonts w:cstheme="minorHAnsi"/>
        </w:rPr>
        <w:t>.</w:t>
      </w:r>
      <w:r>
        <w:rPr>
          <w:rFonts w:cstheme="minorHAnsi"/>
        </w:rPr>
        <w:t>0045% of total population)</w:t>
      </w:r>
      <w:r w:rsidR="00750843">
        <w:rPr>
          <w:rFonts w:cstheme="minorHAnsi"/>
        </w:rPr>
        <w:t>.</w:t>
      </w:r>
      <w:r>
        <w:rPr>
          <w:rFonts w:cstheme="minorHAnsi"/>
        </w:rPr>
        <w:t xml:space="preserve"> </w:t>
      </w:r>
      <w:r w:rsidR="000F15D3">
        <w:rPr>
          <w:rFonts w:cstheme="minorHAnsi"/>
        </w:rPr>
        <w:t xml:space="preserve">When we asked </w:t>
      </w:r>
      <w:r>
        <w:rPr>
          <w:rFonts w:cstheme="minorHAnsi"/>
        </w:rPr>
        <w:t xml:space="preserve">to the agency about time trend of the </w:t>
      </w:r>
      <w:r w:rsidR="00BB6043">
        <w:rPr>
          <w:rFonts w:cstheme="minorHAnsi"/>
        </w:rPr>
        <w:t xml:space="preserve">phenomenon, the answer was </w:t>
      </w:r>
      <w:r>
        <w:rPr>
          <w:rFonts w:cstheme="minorHAnsi"/>
        </w:rPr>
        <w:t xml:space="preserve">that the conditions of these households and individuals have not changed much over </w:t>
      </w:r>
      <w:r w:rsidR="00BB6043">
        <w:rPr>
          <w:rFonts w:cstheme="minorHAnsi"/>
        </w:rPr>
        <w:t xml:space="preserve">the </w:t>
      </w:r>
      <w:r>
        <w:rPr>
          <w:rFonts w:cstheme="minorHAnsi"/>
        </w:rPr>
        <w:t>years, but they could not provide exact numbers for the chosen period</w:t>
      </w:r>
      <w:r w:rsidR="00560BEE">
        <w:rPr>
          <w:rFonts w:cstheme="minorHAnsi"/>
        </w:rPr>
        <w:t>.</w:t>
      </w:r>
      <w:r w:rsidR="00CB3AF0">
        <w:rPr>
          <w:rFonts w:cstheme="minorHAnsi"/>
        </w:rPr>
        <w:t xml:space="preserve"> </w:t>
      </w:r>
    </w:p>
    <w:p w14:paraId="202B61A9" w14:textId="538A5A6B" w:rsidR="00082663" w:rsidRPr="007E4A05" w:rsidRDefault="00082663" w:rsidP="00976D0B">
      <w:pPr>
        <w:jc w:val="both"/>
        <w:rPr>
          <w:rFonts w:cstheme="minorHAnsi"/>
        </w:rPr>
      </w:pPr>
      <w:r>
        <w:rPr>
          <w:rFonts w:cstheme="minorHAnsi"/>
        </w:rPr>
        <w:t xml:space="preserve">In insecure category also include </w:t>
      </w:r>
      <w:r w:rsidRPr="006066AB">
        <w:rPr>
          <w:rFonts w:cstheme="minorHAnsi"/>
          <w:b/>
          <w:bCs/>
          <w:i/>
          <w:iCs/>
        </w:rPr>
        <w:t>people living under the threat of eviction</w:t>
      </w:r>
      <w:r>
        <w:rPr>
          <w:rFonts w:cstheme="minorHAnsi"/>
        </w:rPr>
        <w:t>, these are households to whom legal orders are enforced or re-posses</w:t>
      </w:r>
      <w:r w:rsidR="00DE4581">
        <w:rPr>
          <w:rFonts w:cstheme="minorHAnsi"/>
        </w:rPr>
        <w:t>s</w:t>
      </w:r>
      <w:r>
        <w:rPr>
          <w:rFonts w:cstheme="minorHAnsi"/>
        </w:rPr>
        <w:t>ed</w:t>
      </w:r>
      <w:r w:rsidR="00AB25EE">
        <w:rPr>
          <w:rFonts w:cstheme="minorHAnsi"/>
        </w:rPr>
        <w:t>.</w:t>
      </w:r>
      <w:r>
        <w:rPr>
          <w:rFonts w:cstheme="minorHAnsi"/>
        </w:rPr>
        <w:t xml:space="preserve"> </w:t>
      </w:r>
      <w:r w:rsidR="00407BCB">
        <w:rPr>
          <w:rFonts w:cstheme="minorHAnsi"/>
        </w:rPr>
        <w:t>In this case,</w:t>
      </w:r>
      <w:r w:rsidR="00C02A72">
        <w:rPr>
          <w:rFonts w:cstheme="minorHAnsi"/>
        </w:rPr>
        <w:t xml:space="preserve"> data </w:t>
      </w:r>
      <w:r w:rsidR="00407BCB">
        <w:rPr>
          <w:rFonts w:cstheme="minorHAnsi"/>
        </w:rPr>
        <w:t xml:space="preserve">were </w:t>
      </w:r>
      <w:r w:rsidR="00DE4581">
        <w:rPr>
          <w:rFonts w:cstheme="minorHAnsi"/>
        </w:rPr>
        <w:t>requested to</w:t>
      </w:r>
      <w:r w:rsidR="00C02A72">
        <w:rPr>
          <w:rFonts w:cstheme="minorHAnsi"/>
        </w:rPr>
        <w:t xml:space="preserve"> </w:t>
      </w:r>
      <w:r w:rsidR="00407BCB">
        <w:rPr>
          <w:rFonts w:cstheme="minorHAnsi"/>
        </w:rPr>
        <w:t xml:space="preserve">the </w:t>
      </w:r>
      <w:r>
        <w:rPr>
          <w:rFonts w:cstheme="minorHAnsi"/>
        </w:rPr>
        <w:t>National Bureau of Enforcement</w:t>
      </w:r>
      <w:r w:rsidR="00DE4581">
        <w:rPr>
          <w:rFonts w:cstheme="minorHAnsi"/>
        </w:rPr>
        <w:t xml:space="preserve"> Unfortunately, </w:t>
      </w:r>
      <w:r w:rsidR="00C02A72" w:rsidRPr="007E4A05">
        <w:rPr>
          <w:rFonts w:cstheme="minorHAnsi"/>
        </w:rPr>
        <w:t xml:space="preserve">so </w:t>
      </w:r>
      <w:r w:rsidR="007E4A05" w:rsidRPr="007E4A05">
        <w:rPr>
          <w:rFonts w:cstheme="minorHAnsi"/>
        </w:rPr>
        <w:t>far,</w:t>
      </w:r>
      <w:r w:rsidR="00C02A72" w:rsidRPr="007E4A05">
        <w:rPr>
          <w:rFonts w:cstheme="minorHAnsi"/>
        </w:rPr>
        <w:t xml:space="preserve"> we do not have the exact number of people</w:t>
      </w:r>
      <w:r w:rsidR="007E4A05" w:rsidRPr="007E4A05">
        <w:rPr>
          <w:rFonts w:cstheme="minorHAnsi"/>
        </w:rPr>
        <w:t xml:space="preserve"> or families, who have been evicted from their houses due to different reasons</w:t>
      </w:r>
      <w:r w:rsidR="007E4A05">
        <w:rPr>
          <w:rFonts w:cstheme="minorHAnsi"/>
        </w:rPr>
        <w:t xml:space="preserve"> over </w:t>
      </w:r>
      <w:r w:rsidR="00DE4581">
        <w:rPr>
          <w:rFonts w:cstheme="minorHAnsi"/>
        </w:rPr>
        <w:t xml:space="preserve">the </w:t>
      </w:r>
      <w:r w:rsidR="007E4A05">
        <w:rPr>
          <w:rFonts w:cstheme="minorHAnsi"/>
        </w:rPr>
        <w:t>years</w:t>
      </w:r>
      <w:r w:rsidR="00AB25EE">
        <w:rPr>
          <w:rFonts w:cstheme="minorHAnsi"/>
        </w:rPr>
        <w:t>.</w:t>
      </w:r>
    </w:p>
    <w:p w14:paraId="3B4E5315" w14:textId="7CB872D5" w:rsidR="00082663" w:rsidRDefault="00082663" w:rsidP="00976D0B">
      <w:pPr>
        <w:jc w:val="both"/>
        <w:rPr>
          <w:rFonts w:cstheme="minorHAnsi"/>
        </w:rPr>
      </w:pPr>
      <w:r>
        <w:rPr>
          <w:rFonts w:cstheme="minorHAnsi"/>
        </w:rPr>
        <w:t xml:space="preserve">In addition to that, this category might also include </w:t>
      </w:r>
      <w:r w:rsidRPr="006066AB">
        <w:rPr>
          <w:rFonts w:cstheme="minorHAnsi"/>
          <w:b/>
          <w:bCs/>
          <w:i/>
          <w:iCs/>
        </w:rPr>
        <w:t>people who suffer the problem of unaffordable housing and may be perceived as vulnerable and insecure</w:t>
      </w:r>
      <w:r w:rsidR="00560BEE">
        <w:rPr>
          <w:rFonts w:cstheme="minorHAnsi"/>
          <w:b/>
          <w:bCs/>
          <w:i/>
          <w:iCs/>
        </w:rPr>
        <w:t>.</w:t>
      </w:r>
      <w:r w:rsidR="00012027">
        <w:rPr>
          <w:rFonts w:cstheme="minorHAnsi"/>
        </w:rPr>
        <w:t xml:space="preserve"> </w:t>
      </w:r>
      <w:r w:rsidR="00263CBE">
        <w:rPr>
          <w:rFonts w:cstheme="minorHAnsi"/>
        </w:rPr>
        <w:t xml:space="preserve">As here the emphasis </w:t>
      </w:r>
      <w:r w:rsidR="00A967E0">
        <w:rPr>
          <w:rFonts w:cstheme="minorHAnsi"/>
        </w:rPr>
        <w:t xml:space="preserve">of our analysis </w:t>
      </w:r>
      <w:r w:rsidR="00263CBE">
        <w:rPr>
          <w:rFonts w:cstheme="minorHAnsi"/>
        </w:rPr>
        <w:t xml:space="preserve">is mostly on the probability of becoming housing excluded, </w:t>
      </w:r>
      <w:r w:rsidR="00A967E0">
        <w:rPr>
          <w:rFonts w:cstheme="minorHAnsi"/>
        </w:rPr>
        <w:t xml:space="preserve">we chose to focus our analysis on </w:t>
      </w:r>
      <w:r w:rsidR="00263CBE">
        <w:rPr>
          <w:rFonts w:cstheme="minorHAnsi"/>
        </w:rPr>
        <w:t>rent-to-income and housing cost-to-income ratios</w:t>
      </w:r>
      <w:r w:rsidR="00560BEE">
        <w:rPr>
          <w:rFonts w:cstheme="minorHAnsi"/>
        </w:rPr>
        <w:t>. A</w:t>
      </w:r>
      <w:r w:rsidR="00DF425F">
        <w:rPr>
          <w:rFonts w:cstheme="minorHAnsi"/>
        </w:rPr>
        <w:t>ccording to</w:t>
      </w:r>
      <w:r w:rsidR="00560BEE">
        <w:rPr>
          <w:rFonts w:cstheme="minorHAnsi"/>
        </w:rPr>
        <w:t xml:space="preserve"> aforementioned</w:t>
      </w:r>
      <w:r w:rsidR="00263CBE">
        <w:rPr>
          <w:rFonts w:cstheme="minorHAnsi"/>
        </w:rPr>
        <w:t xml:space="preserve"> UN habitat</w:t>
      </w:r>
      <w:r w:rsidR="00560BEE">
        <w:rPr>
          <w:rFonts w:cstheme="minorHAnsi"/>
        </w:rPr>
        <w:t xml:space="preserve"> methodology</w:t>
      </w:r>
      <w:r w:rsidR="00DD1962">
        <w:rPr>
          <w:rFonts w:cstheme="minorHAnsi"/>
        </w:rPr>
        <w:t>, housing unaffordability is revealed</w:t>
      </w:r>
      <w:r w:rsidR="00263CBE">
        <w:rPr>
          <w:rFonts w:cstheme="minorHAnsi"/>
        </w:rPr>
        <w:t xml:space="preserve"> </w:t>
      </w:r>
      <w:r w:rsidR="00DD1962">
        <w:rPr>
          <w:rFonts w:cstheme="minorHAnsi"/>
        </w:rPr>
        <w:t>when</w:t>
      </w:r>
      <w:r w:rsidR="00263CBE">
        <w:rPr>
          <w:rFonts w:cstheme="minorHAnsi"/>
        </w:rPr>
        <w:t xml:space="preserve"> </w:t>
      </w:r>
      <w:r w:rsidR="006424CF">
        <w:rPr>
          <w:rFonts w:cstheme="minorHAnsi"/>
        </w:rPr>
        <w:t xml:space="preserve">a </w:t>
      </w:r>
      <w:r w:rsidR="00DD1962">
        <w:rPr>
          <w:rFonts w:cstheme="minorHAnsi"/>
        </w:rPr>
        <w:t>household</w:t>
      </w:r>
      <w:r w:rsidR="00263CBE">
        <w:rPr>
          <w:rFonts w:cstheme="minorHAnsi"/>
        </w:rPr>
        <w:t xml:space="preserve"> </w:t>
      </w:r>
      <w:r>
        <w:rPr>
          <w:rFonts w:cstheme="minorHAnsi"/>
        </w:rPr>
        <w:t>pay</w:t>
      </w:r>
      <w:r w:rsidR="006424CF">
        <w:rPr>
          <w:rFonts w:cstheme="minorHAnsi"/>
        </w:rPr>
        <w:t>s</w:t>
      </w:r>
      <w:r>
        <w:rPr>
          <w:rFonts w:cstheme="minorHAnsi"/>
        </w:rPr>
        <w:t xml:space="preserve"> more than 30% of </w:t>
      </w:r>
      <w:r w:rsidR="006424CF">
        <w:rPr>
          <w:rFonts w:cstheme="minorHAnsi"/>
        </w:rPr>
        <w:t>its</w:t>
      </w:r>
      <w:r>
        <w:rPr>
          <w:rFonts w:cstheme="minorHAnsi"/>
        </w:rPr>
        <w:t xml:space="preserve"> income </w:t>
      </w:r>
      <w:r w:rsidR="00DD1962">
        <w:rPr>
          <w:rFonts w:cstheme="minorHAnsi"/>
        </w:rPr>
        <w:t>for</w:t>
      </w:r>
      <w:r>
        <w:rPr>
          <w:rFonts w:cstheme="minorHAnsi"/>
        </w:rPr>
        <w:t xml:space="preserve"> rent</w:t>
      </w:r>
      <w:r w:rsidR="00DD1962">
        <w:rPr>
          <w:rFonts w:cstheme="minorHAnsi"/>
        </w:rPr>
        <w:t xml:space="preserve"> </w:t>
      </w:r>
      <w:r w:rsidR="00012027">
        <w:rPr>
          <w:rFonts w:cstheme="minorHAnsi"/>
        </w:rPr>
        <w:t xml:space="preserve">or </w:t>
      </w:r>
      <w:r w:rsidR="00DD1962">
        <w:rPr>
          <w:rFonts w:cstheme="minorHAnsi"/>
        </w:rPr>
        <w:t>for</w:t>
      </w:r>
      <w:r w:rsidR="00012027">
        <w:rPr>
          <w:rFonts w:cstheme="minorHAnsi"/>
        </w:rPr>
        <w:t xml:space="preserve"> </w:t>
      </w:r>
      <w:r w:rsidR="00263CBE">
        <w:rPr>
          <w:rFonts w:cstheme="minorHAnsi"/>
        </w:rPr>
        <w:t>rent</w:t>
      </w:r>
      <w:r w:rsidR="00F801E5">
        <w:rPr>
          <w:rFonts w:cstheme="minorHAnsi"/>
        </w:rPr>
        <w:t xml:space="preserve"> payments</w:t>
      </w:r>
      <w:r w:rsidR="00263CBE">
        <w:rPr>
          <w:rFonts w:cstheme="minorHAnsi"/>
        </w:rPr>
        <w:t xml:space="preserve"> along </w:t>
      </w:r>
      <w:r w:rsidR="00012027">
        <w:rPr>
          <w:rFonts w:cstheme="minorHAnsi"/>
        </w:rPr>
        <w:t xml:space="preserve">with utility </w:t>
      </w:r>
      <w:r w:rsidR="00DD1962">
        <w:rPr>
          <w:rFonts w:cstheme="minorHAnsi"/>
        </w:rPr>
        <w:t>expenditures</w:t>
      </w:r>
      <w:r w:rsidR="00AB25EE">
        <w:rPr>
          <w:rFonts w:cstheme="minorHAnsi"/>
        </w:rPr>
        <w:t>.</w:t>
      </w:r>
    </w:p>
    <w:p w14:paraId="7CE1DE1D" w14:textId="77777777" w:rsidR="00083474" w:rsidRDefault="00D92987" w:rsidP="00083474">
      <w:pPr>
        <w:jc w:val="both"/>
        <w:rPr>
          <w:rFonts w:cstheme="minorHAnsi"/>
        </w:rPr>
      </w:pPr>
      <w:r>
        <w:rPr>
          <w:rFonts w:cstheme="minorHAnsi"/>
        </w:rPr>
        <w:lastRenderedPageBreak/>
        <w:t xml:space="preserve">Before moving to the analysis of </w:t>
      </w:r>
      <w:r w:rsidR="005D668A">
        <w:rPr>
          <w:rFonts w:cstheme="minorHAnsi"/>
        </w:rPr>
        <w:t>unaffordability indicators,</w:t>
      </w:r>
      <w:r w:rsidR="00082663" w:rsidRPr="00E40767">
        <w:rPr>
          <w:rFonts w:cstheme="minorHAnsi"/>
        </w:rPr>
        <w:t xml:space="preserve"> it is worth analyzing the trend</w:t>
      </w:r>
      <w:r w:rsidR="0047582A">
        <w:rPr>
          <w:rFonts w:cstheme="minorHAnsi"/>
        </w:rPr>
        <w:t>s characterizing the rental market</w:t>
      </w:r>
      <w:r w:rsidR="00082663" w:rsidRPr="00E40767">
        <w:rPr>
          <w:rFonts w:cstheme="minorHAnsi"/>
        </w:rPr>
        <w:t xml:space="preserve"> over </w:t>
      </w:r>
      <w:r w:rsidR="0047582A">
        <w:rPr>
          <w:rFonts w:cstheme="minorHAnsi"/>
        </w:rPr>
        <w:t xml:space="preserve">the last </w:t>
      </w:r>
      <w:r w:rsidR="00082663" w:rsidRPr="00E40767">
        <w:rPr>
          <w:rFonts w:cstheme="minorHAnsi"/>
        </w:rPr>
        <w:t>years</w:t>
      </w:r>
      <w:r w:rsidR="0047582A">
        <w:rPr>
          <w:rFonts w:cstheme="minorHAnsi"/>
        </w:rPr>
        <w:t>,</w:t>
      </w:r>
      <w:r w:rsidR="00082663" w:rsidRPr="00E40767">
        <w:rPr>
          <w:rFonts w:cstheme="minorHAnsi"/>
        </w:rPr>
        <w:t xml:space="preserve"> </w:t>
      </w:r>
      <w:r w:rsidR="005D668A">
        <w:rPr>
          <w:rFonts w:cstheme="minorHAnsi"/>
        </w:rPr>
        <w:t>to obtain a better</w:t>
      </w:r>
      <w:r w:rsidR="0047582A">
        <w:rPr>
          <w:rFonts w:cstheme="minorHAnsi"/>
        </w:rPr>
        <w:t xml:space="preserve"> </w:t>
      </w:r>
      <w:r w:rsidR="00082663">
        <w:rPr>
          <w:rFonts w:cstheme="minorHAnsi"/>
        </w:rPr>
        <w:t>picture of the problem severity</w:t>
      </w:r>
      <w:r w:rsidR="00C207AF">
        <w:rPr>
          <w:rFonts w:cstheme="minorHAnsi"/>
        </w:rPr>
        <w:t>.</w:t>
      </w:r>
      <w:r w:rsidR="00082663">
        <w:rPr>
          <w:rFonts w:cstheme="minorHAnsi"/>
        </w:rPr>
        <w:t xml:space="preserve"> Looking at Figure </w:t>
      </w:r>
      <w:r w:rsidR="00136694">
        <w:rPr>
          <w:rFonts w:cstheme="minorHAnsi"/>
        </w:rPr>
        <w:t>32</w:t>
      </w:r>
      <w:r w:rsidR="00082663">
        <w:rPr>
          <w:rFonts w:cstheme="minorHAnsi"/>
        </w:rPr>
        <w:t>, it can be noticed that the trend is upward sloping</w:t>
      </w:r>
      <w:r w:rsidR="00C14743">
        <w:rPr>
          <w:rFonts w:cstheme="minorHAnsi"/>
        </w:rPr>
        <w:t xml:space="preserve"> for </w:t>
      </w:r>
      <w:r w:rsidR="0021680A">
        <w:rPr>
          <w:rFonts w:cstheme="minorHAnsi"/>
        </w:rPr>
        <w:t>urban</w:t>
      </w:r>
      <w:r w:rsidR="00C14743">
        <w:rPr>
          <w:rFonts w:cstheme="minorHAnsi"/>
        </w:rPr>
        <w:t xml:space="preserve"> areas, while </w:t>
      </w:r>
      <w:r w:rsidR="00944C68">
        <w:rPr>
          <w:rFonts w:cstheme="minorHAnsi"/>
        </w:rPr>
        <w:t>it</w:t>
      </w:r>
      <w:r w:rsidR="00C14743">
        <w:rPr>
          <w:rFonts w:cstheme="minorHAnsi"/>
        </w:rPr>
        <w:t xml:space="preserve"> is more or less flat for </w:t>
      </w:r>
      <w:r w:rsidR="0021680A">
        <w:rPr>
          <w:rFonts w:cstheme="minorHAnsi"/>
        </w:rPr>
        <w:t>rural</w:t>
      </w:r>
      <w:r w:rsidR="0047582A">
        <w:rPr>
          <w:rFonts w:cstheme="minorHAnsi"/>
        </w:rPr>
        <w:t xml:space="preserve"> areas</w:t>
      </w:r>
      <w:r w:rsidR="00082663">
        <w:rPr>
          <w:rFonts w:cstheme="minorHAnsi"/>
        </w:rPr>
        <w:t xml:space="preserve"> </w:t>
      </w:r>
      <w:r w:rsidR="008A624B">
        <w:rPr>
          <w:rFonts w:cstheme="minorHAnsi"/>
        </w:rPr>
        <w:t>T</w:t>
      </w:r>
      <w:r w:rsidR="00082663">
        <w:rPr>
          <w:rFonts w:cstheme="minorHAnsi"/>
        </w:rPr>
        <w:t>he share of households who rent</w:t>
      </w:r>
      <w:r w:rsidR="00944C68">
        <w:rPr>
          <w:rFonts w:cstheme="minorHAnsi"/>
        </w:rPr>
        <w:t>ed</w:t>
      </w:r>
      <w:r w:rsidR="00082663">
        <w:rPr>
          <w:rFonts w:cstheme="minorHAnsi"/>
        </w:rPr>
        <w:t xml:space="preserve"> houses </w:t>
      </w:r>
      <w:r w:rsidR="00944C68">
        <w:rPr>
          <w:rFonts w:cstheme="minorHAnsi"/>
        </w:rPr>
        <w:t xml:space="preserve">in </w:t>
      </w:r>
      <w:r w:rsidR="0021680A">
        <w:rPr>
          <w:rFonts w:cstheme="minorHAnsi"/>
        </w:rPr>
        <w:t>urban</w:t>
      </w:r>
      <w:r w:rsidR="00082663">
        <w:rPr>
          <w:rFonts w:cstheme="minorHAnsi"/>
        </w:rPr>
        <w:t xml:space="preserve"> areas over years varie</w:t>
      </w:r>
      <w:r w:rsidR="00C207AF">
        <w:rPr>
          <w:rFonts w:cstheme="minorHAnsi"/>
        </w:rPr>
        <w:t>s</w:t>
      </w:r>
      <w:r w:rsidR="00082663">
        <w:rPr>
          <w:rFonts w:cstheme="minorHAnsi"/>
        </w:rPr>
        <w:t xml:space="preserve"> between 3</w:t>
      </w:r>
      <w:r w:rsidR="006216B1">
        <w:rPr>
          <w:rFonts w:cstheme="minorHAnsi"/>
        </w:rPr>
        <w:t>.</w:t>
      </w:r>
      <w:r w:rsidR="00082663">
        <w:rPr>
          <w:rFonts w:cstheme="minorHAnsi"/>
        </w:rPr>
        <w:t xml:space="preserve">1% </w:t>
      </w:r>
      <w:r w:rsidR="008A624B">
        <w:rPr>
          <w:rFonts w:cstheme="minorHAnsi"/>
        </w:rPr>
        <w:t xml:space="preserve">and </w:t>
      </w:r>
      <w:r w:rsidR="00082663">
        <w:rPr>
          <w:rFonts w:cstheme="minorHAnsi"/>
        </w:rPr>
        <w:t>5</w:t>
      </w:r>
      <w:r w:rsidR="006216B1">
        <w:rPr>
          <w:rFonts w:cstheme="minorHAnsi"/>
        </w:rPr>
        <w:t>.</w:t>
      </w:r>
      <w:r w:rsidR="00082663">
        <w:rPr>
          <w:rFonts w:cstheme="minorHAnsi"/>
        </w:rPr>
        <w:t xml:space="preserve">1%, while the same indicators for </w:t>
      </w:r>
      <w:r w:rsidR="0021680A">
        <w:rPr>
          <w:rFonts w:cstheme="minorHAnsi"/>
        </w:rPr>
        <w:t>rural</w:t>
      </w:r>
      <w:r w:rsidR="00082663">
        <w:rPr>
          <w:rFonts w:cstheme="minorHAnsi"/>
        </w:rPr>
        <w:t xml:space="preserve"> areas ranges between 0</w:t>
      </w:r>
      <w:r w:rsidR="006216B1">
        <w:rPr>
          <w:rFonts w:cstheme="minorHAnsi"/>
        </w:rPr>
        <w:t>.</w:t>
      </w:r>
      <w:r w:rsidR="00082663">
        <w:rPr>
          <w:rFonts w:cstheme="minorHAnsi"/>
        </w:rPr>
        <w:t>04</w:t>
      </w:r>
      <w:r w:rsidR="00083474">
        <w:rPr>
          <w:rFonts w:cstheme="minorHAnsi"/>
        </w:rPr>
        <w:t>% and</w:t>
      </w:r>
      <w:r w:rsidR="008A624B">
        <w:rPr>
          <w:rFonts w:cstheme="minorHAnsi"/>
        </w:rPr>
        <w:t xml:space="preserve"> </w:t>
      </w:r>
      <w:r w:rsidR="00082663">
        <w:rPr>
          <w:rFonts w:cstheme="minorHAnsi"/>
        </w:rPr>
        <w:t>0</w:t>
      </w:r>
      <w:r w:rsidR="006216B1">
        <w:rPr>
          <w:rFonts w:cstheme="minorHAnsi"/>
        </w:rPr>
        <w:t>.</w:t>
      </w:r>
      <w:r w:rsidR="00082663">
        <w:rPr>
          <w:rFonts w:cstheme="minorHAnsi"/>
        </w:rPr>
        <w:t>24%</w:t>
      </w:r>
      <w:r w:rsidR="00C207AF">
        <w:rPr>
          <w:rFonts w:cstheme="minorHAnsi"/>
        </w:rPr>
        <w:t>.</w:t>
      </w:r>
      <w:r w:rsidR="00082663">
        <w:rPr>
          <w:rFonts w:cstheme="minorHAnsi"/>
        </w:rPr>
        <w:t xml:space="preserve"> In 2018, 5</w:t>
      </w:r>
      <w:r w:rsidR="006216B1">
        <w:rPr>
          <w:rFonts w:cstheme="minorHAnsi"/>
        </w:rPr>
        <w:t>.</w:t>
      </w:r>
      <w:r w:rsidR="00082663">
        <w:rPr>
          <w:rFonts w:cstheme="minorHAnsi"/>
        </w:rPr>
        <w:t xml:space="preserve">1% of </w:t>
      </w:r>
      <w:r w:rsidR="0021680A">
        <w:rPr>
          <w:rFonts w:cstheme="minorHAnsi"/>
        </w:rPr>
        <w:t>urban</w:t>
      </w:r>
      <w:r w:rsidR="00082663">
        <w:rPr>
          <w:rFonts w:cstheme="minorHAnsi"/>
        </w:rPr>
        <w:t xml:space="preserve"> households and 0</w:t>
      </w:r>
      <w:r w:rsidR="006216B1">
        <w:rPr>
          <w:rFonts w:cstheme="minorHAnsi"/>
        </w:rPr>
        <w:t>.</w:t>
      </w:r>
      <w:r w:rsidR="00082663">
        <w:rPr>
          <w:rFonts w:cstheme="minorHAnsi"/>
        </w:rPr>
        <w:t xml:space="preserve">202% of </w:t>
      </w:r>
      <w:r w:rsidR="0021680A">
        <w:rPr>
          <w:rFonts w:cstheme="minorHAnsi"/>
        </w:rPr>
        <w:t>rural</w:t>
      </w:r>
      <w:r w:rsidR="00082663">
        <w:rPr>
          <w:rFonts w:cstheme="minorHAnsi"/>
        </w:rPr>
        <w:t xml:space="preserve"> households rented their houses</w:t>
      </w:r>
      <w:r w:rsidR="00AB25EE">
        <w:rPr>
          <w:rFonts w:cstheme="minorHAnsi"/>
        </w:rPr>
        <w:t>.</w:t>
      </w:r>
      <w:r w:rsidR="001116C4">
        <w:rPr>
          <w:rFonts w:cstheme="minorHAnsi"/>
        </w:rPr>
        <w:t xml:space="preserve"> </w:t>
      </w:r>
    </w:p>
    <w:p w14:paraId="1E9A71C5" w14:textId="5B2E15EB" w:rsidR="00082663" w:rsidRPr="00083474" w:rsidRDefault="00082663" w:rsidP="00083474">
      <w:pPr>
        <w:jc w:val="both"/>
        <w:rPr>
          <w:i/>
          <w:iCs/>
          <w:color w:val="44546A" w:themeColor="text2"/>
          <w:sz w:val="18"/>
          <w:szCs w:val="18"/>
        </w:rPr>
      </w:pPr>
      <w:r w:rsidRPr="00083474">
        <w:rPr>
          <w:i/>
          <w:iCs/>
          <w:color w:val="44546A" w:themeColor="text2"/>
          <w:sz w:val="18"/>
          <w:szCs w:val="18"/>
        </w:rPr>
        <w:t xml:space="preserve">Figure </w:t>
      </w:r>
      <w:r w:rsidR="006C3BD6" w:rsidRPr="00083474">
        <w:rPr>
          <w:i/>
          <w:iCs/>
          <w:color w:val="44546A" w:themeColor="text2"/>
          <w:sz w:val="18"/>
          <w:szCs w:val="18"/>
        </w:rPr>
        <w:fldChar w:fldCharType="begin"/>
      </w:r>
      <w:r w:rsidR="006C3BD6" w:rsidRPr="00083474">
        <w:rPr>
          <w:i/>
          <w:iCs/>
          <w:color w:val="44546A" w:themeColor="text2"/>
          <w:sz w:val="18"/>
          <w:szCs w:val="18"/>
        </w:rPr>
        <w:instrText xml:space="preserve"> SEQ Figure \* ARABIC </w:instrText>
      </w:r>
      <w:r w:rsidR="006C3BD6" w:rsidRPr="00083474">
        <w:rPr>
          <w:i/>
          <w:iCs/>
          <w:color w:val="44546A" w:themeColor="text2"/>
          <w:sz w:val="18"/>
          <w:szCs w:val="18"/>
        </w:rPr>
        <w:fldChar w:fldCharType="separate"/>
      </w:r>
      <w:r w:rsidR="006B5103" w:rsidRPr="00083474">
        <w:rPr>
          <w:i/>
          <w:iCs/>
          <w:color w:val="44546A" w:themeColor="text2"/>
          <w:sz w:val="18"/>
          <w:szCs w:val="18"/>
        </w:rPr>
        <w:t>32</w:t>
      </w:r>
      <w:r w:rsidR="006C3BD6" w:rsidRPr="00083474">
        <w:rPr>
          <w:i/>
          <w:iCs/>
          <w:color w:val="44546A" w:themeColor="text2"/>
          <w:sz w:val="18"/>
          <w:szCs w:val="18"/>
        </w:rPr>
        <w:fldChar w:fldCharType="end"/>
      </w:r>
      <w:r w:rsidRPr="00083474">
        <w:rPr>
          <w:i/>
          <w:iCs/>
          <w:color w:val="44546A" w:themeColor="text2"/>
          <w:sz w:val="18"/>
          <w:szCs w:val="18"/>
        </w:rPr>
        <w:t xml:space="preserve">: The share of households who rent houses in </w:t>
      </w:r>
      <w:r w:rsidR="00AA5768" w:rsidRPr="00083474">
        <w:rPr>
          <w:i/>
          <w:iCs/>
          <w:color w:val="44546A" w:themeColor="text2"/>
          <w:sz w:val="18"/>
          <w:szCs w:val="18"/>
        </w:rPr>
        <w:t xml:space="preserve">urban and rural areas </w:t>
      </w:r>
    </w:p>
    <w:p w14:paraId="3F5E981F" w14:textId="77777777" w:rsidR="008C3A8A" w:rsidRDefault="00083474" w:rsidP="008C3A8A">
      <w:pPr>
        <w:tabs>
          <w:tab w:val="left" w:pos="5172"/>
        </w:tabs>
        <w:spacing w:after="0"/>
        <w:jc w:val="both"/>
        <w:rPr>
          <w:rFonts w:cstheme="minorHAnsi"/>
        </w:rPr>
      </w:pPr>
      <w:r>
        <w:rPr>
          <w:noProof/>
        </w:rPr>
        <w:drawing>
          <wp:anchor distT="0" distB="0" distL="114300" distR="114300" simplePos="0" relativeHeight="251662336" behindDoc="1" locked="0" layoutInCell="1" allowOverlap="1" wp14:anchorId="27E429A0" wp14:editId="1DC1516C">
            <wp:simplePos x="0" y="0"/>
            <wp:positionH relativeFrom="margin">
              <wp:posOffset>2876550</wp:posOffset>
            </wp:positionH>
            <wp:positionV relativeFrom="paragraph">
              <wp:posOffset>51435</wp:posOffset>
            </wp:positionV>
            <wp:extent cx="2981325" cy="2057400"/>
            <wp:effectExtent l="0" t="0" r="9525" b="0"/>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4153BEB0" wp14:editId="2A4DFF7F">
            <wp:simplePos x="0" y="0"/>
            <wp:positionH relativeFrom="margin">
              <wp:align>left</wp:align>
            </wp:positionH>
            <wp:positionV relativeFrom="paragraph">
              <wp:posOffset>80010</wp:posOffset>
            </wp:positionV>
            <wp:extent cx="2867025" cy="2028825"/>
            <wp:effectExtent l="0" t="0" r="9525" b="9525"/>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F85DAA">
        <w:rPr>
          <w:rFonts w:cstheme="minorHAnsi"/>
        </w:rPr>
        <w:tab/>
      </w:r>
      <w:r w:rsidR="00DD3779">
        <w:rPr>
          <w:rFonts w:cstheme="minorHAnsi"/>
        </w:rPr>
        <w:tab/>
      </w:r>
      <w:r w:rsidR="00DD3779">
        <w:rPr>
          <w:rFonts w:cstheme="minorHAnsi"/>
        </w:rPr>
        <w:tab/>
      </w:r>
      <w:r w:rsidR="00F85DAA">
        <w:rPr>
          <w:rFonts w:cstheme="minorHAnsi"/>
        </w:rPr>
        <w:tab/>
      </w:r>
      <w:r w:rsidR="00082663">
        <w:rPr>
          <w:rFonts w:cstheme="minorHAnsi"/>
        </w:rPr>
        <w:tab/>
      </w:r>
      <w:r w:rsidR="00082663">
        <w:rPr>
          <w:rFonts w:cstheme="minorHAnsi"/>
        </w:rPr>
        <w:tab/>
      </w:r>
    </w:p>
    <w:p w14:paraId="0BEFC00C" w14:textId="77777777" w:rsidR="008C3A8A" w:rsidRDefault="008A624B" w:rsidP="008C3A8A">
      <w:pPr>
        <w:tabs>
          <w:tab w:val="left" w:pos="5172"/>
        </w:tabs>
        <w:spacing w:after="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D0622DC" w14:textId="70A1D831" w:rsidR="003A754D" w:rsidRDefault="00082663" w:rsidP="008C3A8A">
      <w:pPr>
        <w:tabs>
          <w:tab w:val="left" w:pos="5172"/>
        </w:tabs>
        <w:spacing w:after="0"/>
        <w:jc w:val="both"/>
        <w:rPr>
          <w:rFonts w:cstheme="minorHAnsi"/>
        </w:rPr>
      </w:pPr>
      <w:r>
        <w:rPr>
          <w:rFonts w:cstheme="minorHAnsi"/>
        </w:rPr>
        <w:tab/>
      </w:r>
    </w:p>
    <w:p w14:paraId="27A79D75" w14:textId="44C53543" w:rsidR="00622646" w:rsidRDefault="001D7A93" w:rsidP="00976D0B">
      <w:pPr>
        <w:jc w:val="both"/>
        <w:rPr>
          <w:rFonts w:cstheme="minorHAnsi"/>
        </w:rPr>
      </w:pPr>
      <w:r>
        <w:rPr>
          <w:rFonts w:cstheme="minorHAnsi"/>
        </w:rPr>
        <w:t>H</w:t>
      </w:r>
      <w:r w:rsidR="00184B54">
        <w:rPr>
          <w:rFonts w:cstheme="minorHAnsi"/>
        </w:rPr>
        <w:t>ouse</w:t>
      </w:r>
      <w:r w:rsidR="00622646">
        <w:rPr>
          <w:rFonts w:cstheme="minorHAnsi"/>
        </w:rPr>
        <w:t xml:space="preserve"> renting </w:t>
      </w:r>
      <w:r>
        <w:rPr>
          <w:rFonts w:cstheme="minorHAnsi"/>
        </w:rPr>
        <w:t xml:space="preserve">appears to have </w:t>
      </w:r>
      <w:r w:rsidR="00622646">
        <w:rPr>
          <w:rFonts w:cstheme="minorHAnsi"/>
        </w:rPr>
        <w:t>becom</w:t>
      </w:r>
      <w:r>
        <w:rPr>
          <w:rFonts w:cstheme="minorHAnsi"/>
        </w:rPr>
        <w:t>e</w:t>
      </w:r>
      <w:r w:rsidR="00622646">
        <w:rPr>
          <w:rFonts w:cstheme="minorHAnsi"/>
        </w:rPr>
        <w:t xml:space="preserve"> </w:t>
      </w:r>
      <w:r w:rsidR="00184B54">
        <w:rPr>
          <w:rFonts w:cstheme="minorHAnsi"/>
        </w:rPr>
        <w:t>increasingly</w:t>
      </w:r>
      <w:r w:rsidR="00622646">
        <w:rPr>
          <w:rFonts w:cstheme="minorHAnsi"/>
        </w:rPr>
        <w:t xml:space="preserve"> </w:t>
      </w:r>
      <w:r w:rsidR="006253C7">
        <w:rPr>
          <w:rFonts w:cstheme="minorHAnsi"/>
        </w:rPr>
        <w:t xml:space="preserve">popular </w:t>
      </w:r>
      <w:r w:rsidR="00622646">
        <w:rPr>
          <w:rFonts w:cstheme="minorHAnsi"/>
        </w:rPr>
        <w:t>in Georgia</w:t>
      </w:r>
      <w:r>
        <w:rPr>
          <w:rFonts w:cstheme="minorHAnsi"/>
        </w:rPr>
        <w:t xml:space="preserve">n </w:t>
      </w:r>
      <w:r w:rsidR="0021680A">
        <w:rPr>
          <w:rFonts w:cstheme="minorHAnsi"/>
        </w:rPr>
        <w:t>urban</w:t>
      </w:r>
      <w:r>
        <w:rPr>
          <w:rFonts w:cstheme="minorHAnsi"/>
        </w:rPr>
        <w:t xml:space="preserve"> areas</w:t>
      </w:r>
      <w:r w:rsidR="00C207AF">
        <w:rPr>
          <w:rFonts w:cstheme="minorHAnsi"/>
        </w:rPr>
        <w:t>.</w:t>
      </w:r>
      <w:r w:rsidR="007B6630">
        <w:rPr>
          <w:rFonts w:cstheme="minorHAnsi"/>
        </w:rPr>
        <w:t xml:space="preserve"> Therefore, it is important to analyze how</w:t>
      </w:r>
      <w:r w:rsidR="002A088C">
        <w:rPr>
          <w:rFonts w:cstheme="minorHAnsi"/>
        </w:rPr>
        <w:t xml:space="preserve"> the rental prices have been evolving over the years</w:t>
      </w:r>
      <w:r w:rsidR="00C207AF">
        <w:rPr>
          <w:rFonts w:cstheme="minorHAnsi"/>
        </w:rPr>
        <w:t>.</w:t>
      </w:r>
      <w:r w:rsidR="006253C7">
        <w:rPr>
          <w:rFonts w:cstheme="minorHAnsi"/>
        </w:rPr>
        <w:t xml:space="preserve"> </w:t>
      </w:r>
    </w:p>
    <w:p w14:paraId="250089E3" w14:textId="14FE172B" w:rsidR="00F56F2B" w:rsidRDefault="00E2085E" w:rsidP="00976D0B">
      <w:pPr>
        <w:jc w:val="both"/>
        <w:rPr>
          <w:rFonts w:cstheme="minorHAnsi"/>
        </w:rPr>
      </w:pPr>
      <w:r>
        <w:rPr>
          <w:rFonts w:cstheme="minorHAnsi"/>
        </w:rPr>
        <w:t>According to the first definition</w:t>
      </w:r>
      <w:r w:rsidDel="00E2085E">
        <w:rPr>
          <w:rFonts w:cstheme="minorHAnsi"/>
        </w:rPr>
        <w:t xml:space="preserve"> </w:t>
      </w:r>
      <w:r>
        <w:rPr>
          <w:rFonts w:cstheme="minorHAnsi"/>
        </w:rPr>
        <w:t xml:space="preserve">of </w:t>
      </w:r>
      <w:r w:rsidR="009155F8">
        <w:rPr>
          <w:rFonts w:cstheme="minorHAnsi"/>
        </w:rPr>
        <w:t>affordability</w:t>
      </w:r>
      <w:r w:rsidR="005D668A">
        <w:rPr>
          <w:rFonts w:cstheme="minorHAnsi"/>
        </w:rPr>
        <w:t xml:space="preserve"> (rent</w:t>
      </w:r>
      <w:r w:rsidR="00957B0C">
        <w:rPr>
          <w:rFonts w:cstheme="minorHAnsi"/>
        </w:rPr>
        <w:t>/income ration greater than 30%)</w:t>
      </w:r>
      <w:r w:rsidR="009155F8">
        <w:rPr>
          <w:rFonts w:cstheme="minorHAnsi"/>
        </w:rPr>
        <w:t xml:space="preserve">, we cannot identify a specific </w:t>
      </w:r>
      <w:r w:rsidR="00082663">
        <w:rPr>
          <w:rFonts w:cstheme="minorHAnsi"/>
        </w:rPr>
        <w:t xml:space="preserve">trend of unaffordability in </w:t>
      </w:r>
      <w:r w:rsidR="0021680A">
        <w:rPr>
          <w:rFonts w:cstheme="minorHAnsi"/>
        </w:rPr>
        <w:t>urban</w:t>
      </w:r>
      <w:r w:rsidR="00082663">
        <w:rPr>
          <w:rFonts w:cstheme="minorHAnsi"/>
        </w:rPr>
        <w:t xml:space="preserve"> areas</w:t>
      </w:r>
      <w:r w:rsidR="00C207AF">
        <w:rPr>
          <w:rFonts w:cstheme="minorHAnsi"/>
        </w:rPr>
        <w:t>.</w:t>
      </w:r>
      <w:r w:rsidR="00957B0C">
        <w:rPr>
          <w:rFonts w:cstheme="minorHAnsi"/>
        </w:rPr>
        <w:t xml:space="preserve"> The share of households </w:t>
      </w:r>
      <w:r w:rsidR="00362D83">
        <w:rPr>
          <w:rFonts w:cstheme="minorHAnsi"/>
        </w:rPr>
        <w:t>whose rent/income ratio exceeds the threshold</w:t>
      </w:r>
      <w:r w:rsidR="00082663">
        <w:rPr>
          <w:rFonts w:cstheme="minorHAnsi"/>
        </w:rPr>
        <w:t xml:space="preserve"> varies </w:t>
      </w:r>
      <w:r w:rsidR="00C14743">
        <w:rPr>
          <w:rFonts w:cstheme="minorHAnsi"/>
        </w:rPr>
        <w:t xml:space="preserve">over the observed period </w:t>
      </w:r>
      <w:r w:rsidR="00082663">
        <w:rPr>
          <w:rFonts w:cstheme="minorHAnsi"/>
        </w:rPr>
        <w:t>between 1</w:t>
      </w:r>
      <w:r w:rsidR="00713248">
        <w:rPr>
          <w:rFonts w:cstheme="minorHAnsi"/>
        </w:rPr>
        <w:t>.</w:t>
      </w:r>
      <w:r w:rsidR="00082663">
        <w:rPr>
          <w:rFonts w:cstheme="minorHAnsi"/>
        </w:rPr>
        <w:t>6% and 3</w:t>
      </w:r>
      <w:r w:rsidR="00713248">
        <w:rPr>
          <w:rFonts w:cstheme="minorHAnsi"/>
        </w:rPr>
        <w:t>.</w:t>
      </w:r>
      <w:r w:rsidR="00082663">
        <w:rPr>
          <w:rFonts w:cstheme="minorHAnsi"/>
        </w:rPr>
        <w:t xml:space="preserve">2% of the total number of </w:t>
      </w:r>
      <w:r w:rsidR="00C207AF">
        <w:rPr>
          <w:rFonts w:cstheme="minorHAnsi"/>
        </w:rPr>
        <w:t xml:space="preserve">investigated </w:t>
      </w:r>
      <w:r w:rsidR="00082663">
        <w:rPr>
          <w:rFonts w:cstheme="minorHAnsi"/>
        </w:rPr>
        <w:t>households</w:t>
      </w:r>
      <w:r w:rsidR="00C207AF">
        <w:rPr>
          <w:rFonts w:cstheme="minorHAnsi"/>
        </w:rPr>
        <w:t>.</w:t>
      </w:r>
      <w:r w:rsidR="00082663">
        <w:rPr>
          <w:rFonts w:cstheme="minorHAnsi"/>
        </w:rPr>
        <w:t xml:space="preserve"> As for </w:t>
      </w:r>
      <w:r w:rsidR="0021680A">
        <w:rPr>
          <w:rFonts w:cstheme="minorHAnsi"/>
        </w:rPr>
        <w:t>rural</w:t>
      </w:r>
      <w:r w:rsidR="00082663">
        <w:rPr>
          <w:rFonts w:cstheme="minorHAnsi"/>
        </w:rPr>
        <w:t xml:space="preserve"> areas, the </w:t>
      </w:r>
      <w:r w:rsidR="00CB45B2">
        <w:rPr>
          <w:rFonts w:cstheme="minorHAnsi"/>
        </w:rPr>
        <w:t>share of households leaving in</w:t>
      </w:r>
      <w:r w:rsidR="001F39F5">
        <w:rPr>
          <w:rFonts w:cstheme="minorHAnsi"/>
        </w:rPr>
        <w:t xml:space="preserve"> a situation characterized by unaffordability of housing is much lower to begin with</w:t>
      </w:r>
      <w:r w:rsidR="00CB45B2">
        <w:rPr>
          <w:rFonts w:cstheme="minorHAnsi"/>
        </w:rPr>
        <w:t xml:space="preserve"> </w:t>
      </w:r>
      <w:r w:rsidR="001F39F5">
        <w:rPr>
          <w:rFonts w:cstheme="minorHAnsi"/>
        </w:rPr>
        <w:t>(0</w:t>
      </w:r>
      <w:r w:rsidR="00713248">
        <w:rPr>
          <w:rFonts w:cstheme="minorHAnsi"/>
        </w:rPr>
        <w:t>.</w:t>
      </w:r>
      <w:r w:rsidR="001F39F5">
        <w:rPr>
          <w:rFonts w:cstheme="minorHAnsi"/>
        </w:rPr>
        <w:t xml:space="preserve">7% of the households) and declines with time </w:t>
      </w:r>
      <w:r w:rsidR="00082663">
        <w:rPr>
          <w:rFonts w:cstheme="minorHAnsi"/>
        </w:rPr>
        <w:t xml:space="preserve">(Figure </w:t>
      </w:r>
      <w:r w:rsidR="00136694">
        <w:rPr>
          <w:rFonts w:cstheme="minorHAnsi"/>
        </w:rPr>
        <w:t>33</w:t>
      </w:r>
      <w:r w:rsidR="00082663">
        <w:rPr>
          <w:rFonts w:cstheme="minorHAnsi"/>
        </w:rPr>
        <w:t>)</w:t>
      </w:r>
      <w:r w:rsidR="00A07D82">
        <w:rPr>
          <w:rFonts w:cstheme="minorHAnsi"/>
        </w:rPr>
        <w:t>.</w:t>
      </w:r>
      <w:r w:rsidR="00082663">
        <w:rPr>
          <w:rFonts w:cstheme="minorHAnsi"/>
        </w:rPr>
        <w:t xml:space="preserve"> In 2018, </w:t>
      </w:r>
      <w:r w:rsidR="00E53D81">
        <w:rPr>
          <w:rFonts w:cstheme="minorHAnsi"/>
        </w:rPr>
        <w:t>the share of households in condition of housing</w:t>
      </w:r>
      <w:r w:rsidR="00082663">
        <w:rPr>
          <w:rFonts w:cstheme="minorHAnsi"/>
        </w:rPr>
        <w:t xml:space="preserve"> unaffordability is 2</w:t>
      </w:r>
      <w:r w:rsidR="00713248">
        <w:rPr>
          <w:rFonts w:cstheme="minorHAnsi"/>
        </w:rPr>
        <w:t>.</w:t>
      </w:r>
      <w:r w:rsidR="00082663">
        <w:rPr>
          <w:rFonts w:cstheme="minorHAnsi"/>
        </w:rPr>
        <w:t xml:space="preserve">6% for </w:t>
      </w:r>
      <w:r w:rsidR="0021680A">
        <w:rPr>
          <w:rFonts w:cstheme="minorHAnsi"/>
        </w:rPr>
        <w:t>urban</w:t>
      </w:r>
      <w:r w:rsidR="00082663">
        <w:rPr>
          <w:rFonts w:cstheme="minorHAnsi"/>
        </w:rPr>
        <w:t xml:space="preserve"> areas, </w:t>
      </w:r>
      <w:r w:rsidR="00E53D81">
        <w:rPr>
          <w:rFonts w:cstheme="minorHAnsi"/>
        </w:rPr>
        <w:t xml:space="preserve">and less than 1% </w:t>
      </w:r>
      <w:r w:rsidR="00082663">
        <w:rPr>
          <w:rFonts w:cstheme="minorHAnsi"/>
        </w:rPr>
        <w:t xml:space="preserve">for </w:t>
      </w:r>
      <w:r w:rsidR="0021680A">
        <w:rPr>
          <w:rFonts w:cstheme="minorHAnsi"/>
        </w:rPr>
        <w:t>rural</w:t>
      </w:r>
      <w:r w:rsidR="00082663">
        <w:rPr>
          <w:rFonts w:cstheme="minorHAnsi"/>
        </w:rPr>
        <w:t xml:space="preserve"> areas</w:t>
      </w:r>
      <w:r w:rsidR="00A07D82">
        <w:rPr>
          <w:rFonts w:cstheme="minorHAnsi"/>
        </w:rPr>
        <w:t>.</w:t>
      </w:r>
    </w:p>
    <w:p w14:paraId="72CB8198" w14:textId="04378E2C" w:rsidR="00083474" w:rsidRDefault="00083474" w:rsidP="00976D0B">
      <w:pPr>
        <w:jc w:val="both"/>
        <w:rPr>
          <w:rFonts w:cstheme="minorHAnsi"/>
        </w:rPr>
      </w:pPr>
    </w:p>
    <w:p w14:paraId="6255DB77" w14:textId="12D147E3" w:rsidR="00083474" w:rsidRDefault="00083474" w:rsidP="00976D0B">
      <w:pPr>
        <w:jc w:val="both"/>
        <w:rPr>
          <w:rFonts w:cstheme="minorHAnsi"/>
        </w:rPr>
      </w:pPr>
    </w:p>
    <w:p w14:paraId="01BF9946" w14:textId="2E67C2AF" w:rsidR="00083474" w:rsidRDefault="00083474" w:rsidP="00976D0B">
      <w:pPr>
        <w:jc w:val="both"/>
        <w:rPr>
          <w:rFonts w:cstheme="minorHAnsi"/>
        </w:rPr>
      </w:pPr>
    </w:p>
    <w:p w14:paraId="5DA48C84" w14:textId="0CAF85BD" w:rsidR="00083474" w:rsidRDefault="00083474" w:rsidP="00976D0B">
      <w:pPr>
        <w:jc w:val="both"/>
        <w:rPr>
          <w:rFonts w:cstheme="minorHAnsi"/>
        </w:rPr>
      </w:pPr>
    </w:p>
    <w:p w14:paraId="44AA58B6" w14:textId="561A08AB" w:rsidR="00083474" w:rsidRDefault="00083474" w:rsidP="00976D0B">
      <w:pPr>
        <w:jc w:val="both"/>
        <w:rPr>
          <w:rFonts w:cstheme="minorHAnsi"/>
        </w:rPr>
      </w:pPr>
    </w:p>
    <w:p w14:paraId="3FCB7E0F" w14:textId="7CAFDB8A" w:rsidR="00083474" w:rsidRDefault="00083474" w:rsidP="00976D0B">
      <w:pPr>
        <w:jc w:val="both"/>
        <w:rPr>
          <w:rFonts w:cstheme="minorHAnsi"/>
        </w:rPr>
      </w:pPr>
    </w:p>
    <w:p w14:paraId="01863206" w14:textId="1439D172" w:rsidR="00083474" w:rsidRDefault="00083474" w:rsidP="00976D0B">
      <w:pPr>
        <w:jc w:val="both"/>
        <w:rPr>
          <w:rFonts w:cstheme="minorHAnsi"/>
        </w:rPr>
      </w:pPr>
    </w:p>
    <w:p w14:paraId="60342F56" w14:textId="77777777" w:rsidR="00083474" w:rsidRDefault="00083474" w:rsidP="00976D0B">
      <w:pPr>
        <w:jc w:val="both"/>
        <w:rPr>
          <w:rFonts w:cstheme="minorHAnsi"/>
        </w:rPr>
      </w:pPr>
    </w:p>
    <w:p w14:paraId="2FB9057E" w14:textId="29AD98C7" w:rsidR="00082663" w:rsidRPr="00454C26" w:rsidRDefault="003A754D" w:rsidP="00501A83">
      <w:pPr>
        <w:pStyle w:val="Caption"/>
      </w:pPr>
      <w:r>
        <w:rPr>
          <w:noProof/>
        </w:rPr>
        <w:lastRenderedPageBreak/>
        <w:drawing>
          <wp:anchor distT="0" distB="0" distL="114300" distR="114300" simplePos="0" relativeHeight="251659264" behindDoc="1" locked="0" layoutInCell="1" allowOverlap="1" wp14:anchorId="71DC194E" wp14:editId="77E33B05">
            <wp:simplePos x="0" y="0"/>
            <wp:positionH relativeFrom="margin">
              <wp:posOffset>-19050</wp:posOffset>
            </wp:positionH>
            <wp:positionV relativeFrom="paragraph">
              <wp:posOffset>264795</wp:posOffset>
            </wp:positionV>
            <wp:extent cx="2867025" cy="2114550"/>
            <wp:effectExtent l="0" t="0" r="9525" b="9525"/>
            <wp:wrapNone/>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082663">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33</w:t>
      </w:r>
      <w:r w:rsidR="006C3BD6">
        <w:rPr>
          <w:noProof/>
        </w:rPr>
        <w:fldChar w:fldCharType="end"/>
      </w:r>
      <w:r w:rsidR="00082663">
        <w:t xml:space="preserve">: </w:t>
      </w:r>
      <w:r w:rsidR="00AC52BB">
        <w:t>The share of households exceeding the unaffordability threshold (rent/income) in</w:t>
      </w:r>
      <w:r w:rsidR="00AA5768" w:rsidRPr="00AA5768">
        <w:t xml:space="preserve"> </w:t>
      </w:r>
      <w:r w:rsidR="00AA5768">
        <w:t xml:space="preserve">urban and rural areas </w:t>
      </w:r>
    </w:p>
    <w:p w14:paraId="6814747C" w14:textId="5A37CC83" w:rsidR="00082663" w:rsidRDefault="003A754D" w:rsidP="00083474">
      <w:pPr>
        <w:spacing w:after="0"/>
        <w:jc w:val="both"/>
        <w:rPr>
          <w:rFonts w:cstheme="minorHAnsi"/>
        </w:rPr>
      </w:pPr>
      <w:r>
        <w:rPr>
          <w:noProof/>
        </w:rPr>
        <w:drawing>
          <wp:anchor distT="0" distB="0" distL="114300" distR="114300" simplePos="0" relativeHeight="251660288" behindDoc="1" locked="0" layoutInCell="1" allowOverlap="1" wp14:anchorId="4905FC25" wp14:editId="3B54B30F">
            <wp:simplePos x="0" y="0"/>
            <wp:positionH relativeFrom="column">
              <wp:posOffset>2847975</wp:posOffset>
            </wp:positionH>
            <wp:positionV relativeFrom="paragraph">
              <wp:posOffset>10160</wp:posOffset>
            </wp:positionV>
            <wp:extent cx="3067050" cy="2095500"/>
            <wp:effectExtent l="0" t="0" r="0" b="0"/>
            <wp:wrapNone/>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73C59E59" w14:textId="77777777" w:rsidR="00082663" w:rsidRDefault="00082663" w:rsidP="00083474">
      <w:pPr>
        <w:spacing w:after="0"/>
        <w:jc w:val="both"/>
        <w:rPr>
          <w:rFonts w:cstheme="minorHAnsi"/>
        </w:rPr>
      </w:pPr>
    </w:p>
    <w:p w14:paraId="7F58AC59" w14:textId="77777777" w:rsidR="00082663" w:rsidRDefault="00082663" w:rsidP="00083474">
      <w:pPr>
        <w:spacing w:after="0"/>
        <w:jc w:val="both"/>
        <w:rPr>
          <w:rFonts w:cstheme="minorHAnsi"/>
        </w:rPr>
      </w:pPr>
    </w:p>
    <w:p w14:paraId="07D8C174" w14:textId="77777777" w:rsidR="00082663" w:rsidRDefault="00082663" w:rsidP="00083474">
      <w:pPr>
        <w:spacing w:after="0"/>
        <w:jc w:val="both"/>
        <w:rPr>
          <w:rFonts w:cstheme="minorHAnsi"/>
        </w:rPr>
      </w:pPr>
    </w:p>
    <w:p w14:paraId="21824101" w14:textId="3FE99655" w:rsidR="00082663" w:rsidRDefault="00082663" w:rsidP="00083474">
      <w:pPr>
        <w:spacing w:after="0"/>
        <w:jc w:val="both"/>
        <w:rPr>
          <w:rFonts w:cstheme="minorHAnsi"/>
        </w:rPr>
      </w:pPr>
    </w:p>
    <w:p w14:paraId="7F39195C" w14:textId="4C8EE07F" w:rsidR="00207929" w:rsidRDefault="00207929" w:rsidP="00083474">
      <w:pPr>
        <w:spacing w:after="0"/>
        <w:jc w:val="both"/>
        <w:rPr>
          <w:rFonts w:cstheme="minorHAnsi"/>
        </w:rPr>
      </w:pPr>
    </w:p>
    <w:p w14:paraId="554EE880" w14:textId="4F3A5030" w:rsidR="00207929" w:rsidRDefault="00207929" w:rsidP="00083474">
      <w:pPr>
        <w:spacing w:after="0"/>
        <w:jc w:val="both"/>
        <w:rPr>
          <w:rFonts w:cstheme="minorHAnsi"/>
        </w:rPr>
      </w:pPr>
    </w:p>
    <w:p w14:paraId="1121C498" w14:textId="77777777" w:rsidR="00083474" w:rsidRDefault="00083474" w:rsidP="00976D0B">
      <w:pPr>
        <w:jc w:val="both"/>
        <w:rPr>
          <w:i/>
          <w:iCs/>
          <w:color w:val="44546A" w:themeColor="text2"/>
          <w:sz w:val="18"/>
          <w:szCs w:val="18"/>
        </w:rPr>
      </w:pPr>
    </w:p>
    <w:p w14:paraId="570D6377" w14:textId="77777777" w:rsidR="00083474" w:rsidRDefault="00083474" w:rsidP="00976D0B">
      <w:pPr>
        <w:jc w:val="both"/>
        <w:rPr>
          <w:i/>
          <w:iCs/>
          <w:color w:val="44546A" w:themeColor="text2"/>
          <w:sz w:val="18"/>
          <w:szCs w:val="18"/>
        </w:rPr>
      </w:pPr>
    </w:p>
    <w:p w14:paraId="1EFC0D5B" w14:textId="77777777" w:rsidR="00083474" w:rsidRDefault="00083474" w:rsidP="00976D0B">
      <w:pPr>
        <w:jc w:val="both"/>
        <w:rPr>
          <w:i/>
          <w:iCs/>
          <w:color w:val="44546A" w:themeColor="text2"/>
          <w:sz w:val="18"/>
          <w:szCs w:val="18"/>
        </w:rPr>
      </w:pPr>
    </w:p>
    <w:p w14:paraId="6A763582" w14:textId="77777777" w:rsidR="00083474" w:rsidRDefault="00083474" w:rsidP="00976D0B">
      <w:pPr>
        <w:jc w:val="both"/>
        <w:rPr>
          <w:i/>
          <w:iCs/>
          <w:color w:val="44546A" w:themeColor="text2"/>
          <w:sz w:val="18"/>
          <w:szCs w:val="18"/>
        </w:rPr>
      </w:pPr>
    </w:p>
    <w:p w14:paraId="58EC152E" w14:textId="4D08ECEE" w:rsidR="00550994" w:rsidRDefault="0029516D" w:rsidP="00976D0B">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D04903E" w14:textId="32FCAD0B" w:rsidR="00082663" w:rsidRDefault="00550994" w:rsidP="00976D0B">
      <w:pPr>
        <w:jc w:val="both"/>
        <w:rPr>
          <w:rFonts w:cstheme="minorHAnsi"/>
        </w:rPr>
      </w:pPr>
      <w:r>
        <w:rPr>
          <w:rFonts w:cstheme="minorHAnsi"/>
        </w:rPr>
        <w:t>The</w:t>
      </w:r>
      <w:r w:rsidR="00C17330">
        <w:rPr>
          <w:rFonts w:cstheme="minorHAnsi"/>
        </w:rPr>
        <w:t xml:space="preserve">refore, according to this indicator, </w:t>
      </w:r>
      <w:r>
        <w:rPr>
          <w:rFonts w:cstheme="minorHAnsi"/>
        </w:rPr>
        <w:t xml:space="preserve">renting unaffordability does not seem a severe problem either </w:t>
      </w:r>
      <w:r w:rsidR="00C17330">
        <w:rPr>
          <w:rFonts w:cstheme="minorHAnsi"/>
        </w:rPr>
        <w:t>among</w:t>
      </w:r>
      <w:r>
        <w:rPr>
          <w:rFonts w:cstheme="minorHAnsi"/>
        </w:rPr>
        <w:t xml:space="preserve"> </w:t>
      </w:r>
      <w:r w:rsidR="0021680A">
        <w:rPr>
          <w:rFonts w:cstheme="minorHAnsi"/>
        </w:rPr>
        <w:t>rural</w:t>
      </w:r>
      <w:r>
        <w:rPr>
          <w:rFonts w:cstheme="minorHAnsi"/>
        </w:rPr>
        <w:t xml:space="preserve"> or </w:t>
      </w:r>
      <w:r w:rsidR="000852AB">
        <w:rPr>
          <w:rFonts w:cstheme="minorHAnsi"/>
        </w:rPr>
        <w:t xml:space="preserve">among the </w:t>
      </w:r>
      <w:r w:rsidR="0021680A">
        <w:rPr>
          <w:rFonts w:cstheme="minorHAnsi"/>
        </w:rPr>
        <w:t>urban</w:t>
      </w:r>
      <w:r>
        <w:rPr>
          <w:rFonts w:cstheme="minorHAnsi"/>
        </w:rPr>
        <w:t xml:space="preserve"> population</w:t>
      </w:r>
      <w:r w:rsidR="000852AB">
        <w:rPr>
          <w:rFonts w:cstheme="minorHAnsi"/>
        </w:rPr>
        <w:t>, as</w:t>
      </w:r>
      <w:r>
        <w:rPr>
          <w:rFonts w:cstheme="minorHAnsi"/>
        </w:rPr>
        <w:t xml:space="preserve"> the share of households suffering the problem of unaffordability is quite low</w:t>
      </w:r>
      <w:r w:rsidR="00C207AF">
        <w:rPr>
          <w:rFonts w:cstheme="minorHAnsi"/>
        </w:rPr>
        <w:t>.</w:t>
      </w:r>
      <w:r>
        <w:rPr>
          <w:rFonts w:cstheme="minorHAnsi"/>
        </w:rPr>
        <w:t xml:space="preserve"> </w:t>
      </w:r>
    </w:p>
    <w:p w14:paraId="4609EAF9" w14:textId="77777777" w:rsidR="00626B5B" w:rsidRDefault="00413577" w:rsidP="00976D0B">
      <w:pPr>
        <w:jc w:val="both"/>
        <w:rPr>
          <w:rFonts w:cstheme="minorHAnsi"/>
        </w:rPr>
      </w:pPr>
      <w:r>
        <w:rPr>
          <w:rFonts w:cstheme="minorHAnsi"/>
        </w:rPr>
        <w:t>Trends in</w:t>
      </w:r>
      <w:r w:rsidR="00082663">
        <w:rPr>
          <w:rFonts w:cstheme="minorHAnsi"/>
        </w:rPr>
        <w:t xml:space="preserve"> renting prices</w:t>
      </w:r>
      <w:r>
        <w:rPr>
          <w:rFonts w:cstheme="minorHAnsi"/>
        </w:rPr>
        <w:t xml:space="preserve">, however, might provide just a partial </w:t>
      </w:r>
      <w:r w:rsidR="00082663">
        <w:rPr>
          <w:rFonts w:cstheme="minorHAnsi"/>
        </w:rPr>
        <w:t>picture of unaffordability, as</w:t>
      </w:r>
      <w:r w:rsidR="0095309C">
        <w:rPr>
          <w:rFonts w:cstheme="minorHAnsi"/>
        </w:rPr>
        <w:t xml:space="preserve">: </w:t>
      </w:r>
    </w:p>
    <w:p w14:paraId="68768D7B" w14:textId="77777777" w:rsidR="00626B5B" w:rsidRDefault="00413577" w:rsidP="00454C26">
      <w:pPr>
        <w:pStyle w:val="ListParagraph"/>
        <w:numPr>
          <w:ilvl w:val="0"/>
          <w:numId w:val="19"/>
        </w:numPr>
        <w:jc w:val="both"/>
        <w:rPr>
          <w:rFonts w:cstheme="minorHAnsi"/>
        </w:rPr>
      </w:pPr>
      <w:r w:rsidRPr="00610BE1">
        <w:rPr>
          <w:rFonts w:cstheme="minorHAnsi"/>
        </w:rPr>
        <w:t>house affordability (</w:t>
      </w:r>
      <w:r w:rsidR="008B73F0" w:rsidRPr="00610BE1">
        <w:rPr>
          <w:rFonts w:cstheme="minorHAnsi"/>
        </w:rPr>
        <w:t>in a broader sense) depends</w:t>
      </w:r>
      <w:r w:rsidR="00B50949" w:rsidRPr="00CF01FB">
        <w:rPr>
          <w:rFonts w:cstheme="minorHAnsi"/>
        </w:rPr>
        <w:t xml:space="preserve"> fro</w:t>
      </w:r>
      <w:r w:rsidR="0095309C" w:rsidRPr="006066AB">
        <w:rPr>
          <w:rFonts w:cstheme="minorHAnsi"/>
        </w:rPr>
        <w:t>m</w:t>
      </w:r>
      <w:r w:rsidR="008B73F0" w:rsidRPr="006066AB">
        <w:rPr>
          <w:rFonts w:cstheme="minorHAnsi"/>
        </w:rPr>
        <w:t xml:space="preserve"> more than just the rental costs</w:t>
      </w:r>
      <w:r w:rsidR="002D25D9" w:rsidRPr="006066AB">
        <w:rPr>
          <w:rFonts w:cstheme="minorHAnsi"/>
        </w:rPr>
        <w:t xml:space="preserve">; </w:t>
      </w:r>
    </w:p>
    <w:p w14:paraId="58BA9F15" w14:textId="47D0BF2C" w:rsidR="00626B5B" w:rsidRDefault="002D25D9" w:rsidP="00454C26">
      <w:pPr>
        <w:pStyle w:val="ListParagraph"/>
        <w:numPr>
          <w:ilvl w:val="0"/>
          <w:numId w:val="19"/>
        </w:numPr>
        <w:jc w:val="both"/>
        <w:rPr>
          <w:rFonts w:cstheme="minorHAnsi"/>
        </w:rPr>
      </w:pPr>
      <w:r w:rsidRPr="00610BE1">
        <w:rPr>
          <w:rFonts w:cstheme="minorHAnsi"/>
        </w:rPr>
        <w:t>the fraction of households leaving in a rented house</w:t>
      </w:r>
      <w:r w:rsidR="00EC6AD9" w:rsidRPr="00CF01FB">
        <w:rPr>
          <w:rFonts w:cstheme="minorHAnsi"/>
        </w:rPr>
        <w:t xml:space="preserve"> </w:t>
      </w:r>
      <w:r w:rsidR="00CD0E4F" w:rsidRPr="006066AB">
        <w:rPr>
          <w:rFonts w:cstheme="minorHAnsi"/>
        </w:rPr>
        <w:t>is relatively small</w:t>
      </w:r>
      <w:r w:rsidR="00C207AF">
        <w:rPr>
          <w:rFonts w:cstheme="minorHAnsi"/>
        </w:rPr>
        <w:t>.</w:t>
      </w:r>
      <w:r w:rsidR="0038146B">
        <w:rPr>
          <w:rStyle w:val="FootnoteReference"/>
          <w:rFonts w:cstheme="minorHAnsi"/>
        </w:rPr>
        <w:footnoteReference w:id="32"/>
      </w:r>
      <w:r w:rsidR="008B73F0" w:rsidRPr="00610BE1">
        <w:rPr>
          <w:rFonts w:cstheme="minorHAnsi"/>
        </w:rPr>
        <w:t xml:space="preserve"> </w:t>
      </w:r>
    </w:p>
    <w:p w14:paraId="531E5BEF" w14:textId="29B19AB2" w:rsidR="00082663" w:rsidRPr="006066AB" w:rsidRDefault="008B73F0" w:rsidP="00610BE1">
      <w:pPr>
        <w:jc w:val="both"/>
        <w:rPr>
          <w:rFonts w:cstheme="minorHAnsi"/>
        </w:rPr>
      </w:pPr>
      <w:r w:rsidRPr="00610BE1">
        <w:rPr>
          <w:rFonts w:cstheme="minorHAnsi"/>
        </w:rPr>
        <w:t xml:space="preserve">According </w:t>
      </w:r>
      <w:r w:rsidR="007E4595" w:rsidRPr="00610BE1">
        <w:rPr>
          <w:rFonts w:cstheme="minorHAnsi"/>
        </w:rPr>
        <w:t>UN habitat</w:t>
      </w:r>
      <w:r w:rsidR="00012027" w:rsidRPr="00CF01FB">
        <w:rPr>
          <w:rFonts w:cstheme="minorHAnsi"/>
        </w:rPr>
        <w:t>,</w:t>
      </w:r>
      <w:r w:rsidRPr="006066AB">
        <w:rPr>
          <w:rFonts w:cstheme="minorHAnsi"/>
        </w:rPr>
        <w:t xml:space="preserve"> </w:t>
      </w:r>
      <w:r w:rsidR="00A254EA" w:rsidRPr="006066AB">
        <w:rPr>
          <w:rFonts w:cstheme="minorHAnsi"/>
        </w:rPr>
        <w:t>a broader definition of housing affordability</w:t>
      </w:r>
      <w:r w:rsidR="00012027" w:rsidRPr="006066AB">
        <w:rPr>
          <w:rFonts w:cstheme="minorHAnsi"/>
        </w:rPr>
        <w:t xml:space="preserve"> expressed by housing related expenditure to income ratio</w:t>
      </w:r>
      <w:r w:rsidR="00A254EA" w:rsidRPr="006066AB">
        <w:rPr>
          <w:rFonts w:cstheme="minorHAnsi"/>
        </w:rPr>
        <w:t xml:space="preserve"> </w:t>
      </w:r>
      <w:r w:rsidR="00012027" w:rsidRPr="006066AB">
        <w:rPr>
          <w:rFonts w:cstheme="minorHAnsi"/>
        </w:rPr>
        <w:t>might</w:t>
      </w:r>
      <w:r w:rsidR="00A254EA" w:rsidRPr="006066AB">
        <w:rPr>
          <w:rFonts w:cstheme="minorHAnsi"/>
        </w:rPr>
        <w:t xml:space="preserve"> include other house-related costs such as the cost of utilities</w:t>
      </w:r>
      <w:r w:rsidR="00A07D82">
        <w:rPr>
          <w:rFonts w:cstheme="minorHAnsi"/>
        </w:rPr>
        <w:t>.</w:t>
      </w:r>
      <w:r w:rsidR="005C4BBF" w:rsidRPr="006066AB">
        <w:rPr>
          <w:rFonts w:cstheme="minorHAnsi"/>
        </w:rPr>
        <w:t xml:space="preserve"> </w:t>
      </w:r>
      <w:r w:rsidR="00082663" w:rsidRPr="006066AB">
        <w:rPr>
          <w:rFonts w:cstheme="minorHAnsi"/>
        </w:rPr>
        <w:t xml:space="preserve">Consequently, people who rent houses might not represent the only sample suffering </w:t>
      </w:r>
      <w:r w:rsidR="00646BAE">
        <w:rPr>
          <w:rFonts w:cstheme="minorHAnsi"/>
        </w:rPr>
        <w:t xml:space="preserve">from housing </w:t>
      </w:r>
      <w:r w:rsidR="00082663" w:rsidRPr="00610BE1">
        <w:rPr>
          <w:rFonts w:cstheme="minorHAnsi"/>
        </w:rPr>
        <w:t>unaffordability</w:t>
      </w:r>
      <w:r w:rsidR="00C207AF">
        <w:rPr>
          <w:rFonts w:cstheme="minorHAnsi"/>
        </w:rPr>
        <w:t>.</w:t>
      </w:r>
      <w:r w:rsidR="00082663" w:rsidRPr="00CF01FB">
        <w:rPr>
          <w:rFonts w:cstheme="minorHAnsi"/>
        </w:rPr>
        <w:t xml:space="preserve"> </w:t>
      </w:r>
      <w:r w:rsidR="00646BAE">
        <w:rPr>
          <w:rFonts w:cstheme="minorHAnsi"/>
        </w:rPr>
        <w:t>For this</w:t>
      </w:r>
      <w:r w:rsidR="00082663" w:rsidRPr="00610BE1">
        <w:rPr>
          <w:rFonts w:cstheme="minorHAnsi"/>
        </w:rPr>
        <w:t xml:space="preserve"> </w:t>
      </w:r>
      <w:r w:rsidR="006B1DDE" w:rsidRPr="00610BE1">
        <w:rPr>
          <w:rFonts w:cstheme="minorHAnsi"/>
        </w:rPr>
        <w:t>reason,</w:t>
      </w:r>
      <w:r w:rsidR="00082663" w:rsidRPr="00610BE1">
        <w:rPr>
          <w:rFonts w:cstheme="minorHAnsi"/>
        </w:rPr>
        <w:t xml:space="preserve"> </w:t>
      </w:r>
      <w:r w:rsidR="00646BAE">
        <w:rPr>
          <w:rFonts w:cstheme="minorHAnsi"/>
        </w:rPr>
        <w:t xml:space="preserve">we decided to </w:t>
      </w:r>
      <w:r w:rsidR="00082663" w:rsidRPr="00CF01FB">
        <w:rPr>
          <w:rFonts w:cstheme="minorHAnsi"/>
        </w:rPr>
        <w:t>conduct</w:t>
      </w:r>
      <w:r w:rsidR="00646BAE">
        <w:rPr>
          <w:rFonts w:cstheme="minorHAnsi"/>
        </w:rPr>
        <w:t xml:space="preserve"> </w:t>
      </w:r>
      <w:r w:rsidR="00DC1E0F">
        <w:rPr>
          <w:rFonts w:cstheme="minorHAnsi"/>
        </w:rPr>
        <w:t>a different analysis, developing a</w:t>
      </w:r>
      <w:r w:rsidR="00082663" w:rsidRPr="00CF01FB">
        <w:rPr>
          <w:rFonts w:cstheme="minorHAnsi"/>
        </w:rPr>
        <w:t xml:space="preserve"> new methodology </w:t>
      </w:r>
      <w:r w:rsidR="00082663" w:rsidRPr="006066AB">
        <w:rPr>
          <w:rFonts w:cstheme="minorHAnsi"/>
        </w:rPr>
        <w:t>to evaluate affordability for all households with different type of ownership</w:t>
      </w:r>
      <w:r w:rsidR="00A07D82">
        <w:rPr>
          <w:rFonts w:cstheme="minorHAnsi"/>
        </w:rPr>
        <w:t>.</w:t>
      </w:r>
      <w:r w:rsidR="00082663" w:rsidRPr="006066AB">
        <w:rPr>
          <w:rFonts w:cstheme="minorHAnsi"/>
        </w:rPr>
        <w:t xml:space="preserve"> </w:t>
      </w:r>
    </w:p>
    <w:p w14:paraId="72257614" w14:textId="325DC92F" w:rsidR="00A44ED5" w:rsidRDefault="00DC1E0F" w:rsidP="00976D0B">
      <w:pPr>
        <w:jc w:val="both"/>
        <w:rPr>
          <w:rFonts w:cstheme="minorHAnsi"/>
        </w:rPr>
      </w:pPr>
      <w:r>
        <w:rPr>
          <w:rFonts w:cstheme="minorHAnsi"/>
        </w:rPr>
        <w:t>When we</w:t>
      </w:r>
      <w:r w:rsidR="00082663">
        <w:rPr>
          <w:rFonts w:cstheme="minorHAnsi"/>
        </w:rPr>
        <w:t xml:space="preserve"> includ</w:t>
      </w:r>
      <w:r w:rsidR="00C207AF">
        <w:rPr>
          <w:rFonts w:cstheme="minorHAnsi"/>
        </w:rPr>
        <w:t>e</w:t>
      </w:r>
      <w:r w:rsidR="00082663">
        <w:rPr>
          <w:rFonts w:cstheme="minorHAnsi"/>
        </w:rPr>
        <w:t xml:space="preserve"> utility costs</w:t>
      </w:r>
      <w:r w:rsidR="00C207AF">
        <w:rPr>
          <w:rFonts w:cstheme="minorHAnsi"/>
        </w:rPr>
        <w:t xml:space="preserve"> and</w:t>
      </w:r>
      <w:r w:rsidR="00164452">
        <w:rPr>
          <w:rFonts w:cstheme="minorHAnsi"/>
        </w:rPr>
        <w:t xml:space="preserve"> add them to rental costs,</w:t>
      </w:r>
      <w:r w:rsidR="00082663">
        <w:rPr>
          <w:rFonts w:cstheme="minorHAnsi"/>
        </w:rPr>
        <w:t xml:space="preserve"> </w:t>
      </w:r>
      <w:r w:rsidR="00164452">
        <w:rPr>
          <w:rFonts w:cstheme="minorHAnsi"/>
        </w:rPr>
        <w:t>unsurprisingly, a</w:t>
      </w:r>
      <w:r w:rsidR="00207929">
        <w:rPr>
          <w:rFonts w:cstheme="minorHAnsi"/>
        </w:rPr>
        <w:t xml:space="preserve"> larger share of households come in this category in both </w:t>
      </w:r>
      <w:r w:rsidR="0021680A">
        <w:rPr>
          <w:rFonts w:cstheme="minorHAnsi"/>
        </w:rPr>
        <w:t>urban</w:t>
      </w:r>
      <w:r w:rsidR="0029516D">
        <w:rPr>
          <w:rFonts w:cstheme="minorHAnsi"/>
        </w:rPr>
        <w:t xml:space="preserve"> </w:t>
      </w:r>
      <w:r w:rsidR="00207929">
        <w:rPr>
          <w:rFonts w:cstheme="minorHAnsi"/>
        </w:rPr>
        <w:t xml:space="preserve">and </w:t>
      </w:r>
      <w:r w:rsidR="0021680A">
        <w:rPr>
          <w:rFonts w:cstheme="minorHAnsi"/>
        </w:rPr>
        <w:t>rural</w:t>
      </w:r>
      <w:r w:rsidR="00207929">
        <w:rPr>
          <w:rFonts w:cstheme="minorHAnsi"/>
        </w:rPr>
        <w:t xml:space="preserve"> areas</w:t>
      </w:r>
      <w:r w:rsidR="007702D5">
        <w:rPr>
          <w:rFonts w:cstheme="minorHAnsi"/>
        </w:rPr>
        <w:t xml:space="preserve"> </w:t>
      </w:r>
      <w:proofErr w:type="gramStart"/>
      <w:r w:rsidR="00164452">
        <w:rPr>
          <w:rFonts w:cstheme="minorHAnsi"/>
        </w:rPr>
        <w:t>In</w:t>
      </w:r>
      <w:proofErr w:type="gramEnd"/>
      <w:r w:rsidR="00164452">
        <w:rPr>
          <w:rFonts w:cstheme="minorHAnsi"/>
        </w:rPr>
        <w:t xml:space="preserve"> this case</w:t>
      </w:r>
      <w:r w:rsidR="00DC59E5">
        <w:rPr>
          <w:rFonts w:cstheme="minorHAnsi"/>
        </w:rPr>
        <w:t xml:space="preserve">, however, both in </w:t>
      </w:r>
      <w:r w:rsidR="0021680A">
        <w:rPr>
          <w:rFonts w:cstheme="minorHAnsi"/>
        </w:rPr>
        <w:t>rural</w:t>
      </w:r>
      <w:r w:rsidR="00DC59E5">
        <w:rPr>
          <w:rFonts w:cstheme="minorHAnsi"/>
        </w:rPr>
        <w:t xml:space="preserve"> and </w:t>
      </w:r>
      <w:r w:rsidR="0021680A">
        <w:rPr>
          <w:rFonts w:cstheme="minorHAnsi"/>
        </w:rPr>
        <w:t>urban</w:t>
      </w:r>
      <w:r w:rsidR="00DC59E5">
        <w:rPr>
          <w:rFonts w:cstheme="minorHAnsi"/>
        </w:rPr>
        <w:t xml:space="preserve"> areas</w:t>
      </w:r>
      <w:r w:rsidR="007702D5">
        <w:rPr>
          <w:rFonts w:cstheme="minorHAnsi"/>
        </w:rPr>
        <w:t xml:space="preserve"> the indicators </w:t>
      </w:r>
      <w:r w:rsidR="00DC59E5">
        <w:rPr>
          <w:rFonts w:cstheme="minorHAnsi"/>
        </w:rPr>
        <w:t xml:space="preserve">follow a clearly </w:t>
      </w:r>
      <w:r w:rsidR="00F016CC">
        <w:rPr>
          <w:rFonts w:cstheme="minorHAnsi"/>
        </w:rPr>
        <w:t xml:space="preserve">decreasing </w:t>
      </w:r>
      <w:r w:rsidR="00DC59E5">
        <w:rPr>
          <w:rFonts w:cstheme="minorHAnsi"/>
        </w:rPr>
        <w:t>trend</w:t>
      </w:r>
      <w:r w:rsidR="00C207AF">
        <w:rPr>
          <w:rFonts w:cstheme="minorHAnsi"/>
        </w:rPr>
        <w:t>.</w:t>
      </w:r>
      <w:r w:rsidR="0029516D">
        <w:rPr>
          <w:rFonts w:cstheme="minorHAnsi"/>
        </w:rPr>
        <w:t xml:space="preserve"> </w:t>
      </w:r>
      <w:r w:rsidR="00082663">
        <w:rPr>
          <w:rFonts w:cstheme="minorHAnsi"/>
        </w:rPr>
        <w:t xml:space="preserve">In this case the range of average unaffordability values for households over the observation period for </w:t>
      </w:r>
      <w:r w:rsidR="0021680A">
        <w:rPr>
          <w:rFonts w:cstheme="minorHAnsi"/>
        </w:rPr>
        <w:t>urban</w:t>
      </w:r>
      <w:r w:rsidR="00082663">
        <w:rPr>
          <w:rFonts w:cstheme="minorHAnsi"/>
        </w:rPr>
        <w:t xml:space="preserve"> areas </w:t>
      </w:r>
      <w:r w:rsidR="004477C6">
        <w:rPr>
          <w:rFonts w:cstheme="minorHAnsi"/>
        </w:rPr>
        <w:t>decline from 14% to</w:t>
      </w:r>
      <w:r w:rsidR="007E5116">
        <w:rPr>
          <w:rFonts w:cstheme="minorHAnsi"/>
        </w:rPr>
        <w:t xml:space="preserve"> 6</w:t>
      </w:r>
      <w:r w:rsidR="00713248">
        <w:rPr>
          <w:rFonts w:cstheme="minorHAnsi"/>
        </w:rPr>
        <w:t>.</w:t>
      </w:r>
      <w:r w:rsidR="007E5116">
        <w:rPr>
          <w:rFonts w:cstheme="minorHAnsi"/>
        </w:rPr>
        <w:t>7%</w:t>
      </w:r>
      <w:r w:rsidR="00713248">
        <w:rPr>
          <w:rFonts w:cstheme="minorHAnsi"/>
        </w:rPr>
        <w:t xml:space="preserve">, </w:t>
      </w:r>
      <w:r w:rsidR="004477C6">
        <w:rPr>
          <w:rFonts w:cstheme="minorHAnsi"/>
        </w:rPr>
        <w:t>while</w:t>
      </w:r>
      <w:r w:rsidR="00082663">
        <w:rPr>
          <w:rFonts w:cstheme="minorHAnsi"/>
        </w:rPr>
        <w:t xml:space="preserve"> for </w:t>
      </w:r>
      <w:r w:rsidR="0021680A">
        <w:rPr>
          <w:rFonts w:cstheme="minorHAnsi"/>
        </w:rPr>
        <w:t>rural</w:t>
      </w:r>
      <w:r w:rsidR="00082663">
        <w:rPr>
          <w:rFonts w:cstheme="minorHAnsi"/>
        </w:rPr>
        <w:t xml:space="preserve"> areas it </w:t>
      </w:r>
      <w:r w:rsidR="007E5116">
        <w:rPr>
          <w:rFonts w:cstheme="minorHAnsi"/>
        </w:rPr>
        <w:t>goes from</w:t>
      </w:r>
      <w:r w:rsidR="00AC1A13">
        <w:rPr>
          <w:rFonts w:cstheme="minorHAnsi"/>
        </w:rPr>
        <w:t xml:space="preserve"> 8</w:t>
      </w:r>
      <w:r w:rsidR="00713248">
        <w:rPr>
          <w:rFonts w:cstheme="minorHAnsi"/>
        </w:rPr>
        <w:t>.</w:t>
      </w:r>
      <w:r w:rsidR="00AC1A13">
        <w:rPr>
          <w:rFonts w:cstheme="minorHAnsi"/>
        </w:rPr>
        <w:t>1% to 3</w:t>
      </w:r>
      <w:r w:rsidR="00713248">
        <w:rPr>
          <w:rFonts w:cstheme="minorHAnsi"/>
        </w:rPr>
        <w:t>.</w:t>
      </w:r>
      <w:r w:rsidR="00AC1A13">
        <w:rPr>
          <w:rFonts w:cstheme="minorHAnsi"/>
        </w:rPr>
        <w:t xml:space="preserve">6% </w:t>
      </w:r>
      <w:r w:rsidR="00082663">
        <w:rPr>
          <w:rFonts w:cstheme="minorHAnsi"/>
        </w:rPr>
        <w:t xml:space="preserve">(Figure </w:t>
      </w:r>
      <w:r w:rsidR="00713248">
        <w:rPr>
          <w:rFonts w:cstheme="minorHAnsi"/>
        </w:rPr>
        <w:t>34</w:t>
      </w:r>
      <w:r w:rsidR="00082663">
        <w:rPr>
          <w:rFonts w:cstheme="minorHAnsi"/>
        </w:rPr>
        <w:t>)</w:t>
      </w:r>
      <w:r w:rsidR="00A07D82">
        <w:rPr>
          <w:rFonts w:cstheme="minorHAnsi"/>
        </w:rPr>
        <w:t>.</w:t>
      </w:r>
      <w:r w:rsidR="00082663">
        <w:rPr>
          <w:rFonts w:cstheme="minorHAnsi"/>
        </w:rPr>
        <w:t xml:space="preserve"> </w:t>
      </w:r>
    </w:p>
    <w:p w14:paraId="52FBE02C" w14:textId="23D3D87E" w:rsidR="00083474" w:rsidRDefault="00083474" w:rsidP="00976D0B">
      <w:pPr>
        <w:jc w:val="both"/>
        <w:rPr>
          <w:rFonts w:cstheme="minorHAnsi"/>
        </w:rPr>
      </w:pPr>
    </w:p>
    <w:p w14:paraId="112531D1" w14:textId="5AF4E2CF" w:rsidR="00083474" w:rsidRDefault="00083474" w:rsidP="00976D0B">
      <w:pPr>
        <w:jc w:val="both"/>
        <w:rPr>
          <w:rFonts w:cstheme="minorHAnsi"/>
        </w:rPr>
      </w:pPr>
    </w:p>
    <w:p w14:paraId="7FAE0EC4" w14:textId="537960CD" w:rsidR="00083474" w:rsidRDefault="00083474" w:rsidP="00976D0B">
      <w:pPr>
        <w:jc w:val="both"/>
        <w:rPr>
          <w:rFonts w:cstheme="minorHAnsi"/>
        </w:rPr>
      </w:pPr>
    </w:p>
    <w:p w14:paraId="72836C04" w14:textId="77777777" w:rsidR="00083474" w:rsidRDefault="00083474" w:rsidP="00976D0B">
      <w:pPr>
        <w:jc w:val="both"/>
        <w:rPr>
          <w:rFonts w:cstheme="minorHAnsi"/>
        </w:rPr>
      </w:pPr>
    </w:p>
    <w:p w14:paraId="45A53D1C" w14:textId="39FD6CBB" w:rsidR="009C48A0" w:rsidRDefault="00082663" w:rsidP="00501A83">
      <w:pPr>
        <w:pStyle w:val="Caption"/>
      </w:pPr>
      <w:r>
        <w:lastRenderedPageBreak/>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34</w:t>
      </w:r>
      <w:r w:rsidR="006C3BD6">
        <w:rPr>
          <w:noProof/>
        </w:rPr>
        <w:fldChar w:fldCharType="end"/>
      </w:r>
      <w:r>
        <w:t xml:space="preserve">: </w:t>
      </w:r>
      <w:r w:rsidR="00AC52BB">
        <w:t>The share of households exceeding the unaffordability threshold (</w:t>
      </w:r>
      <w:r w:rsidR="008C3A8A">
        <w:t>(</w:t>
      </w:r>
      <w:r w:rsidR="00AC52BB">
        <w:t>rent</w:t>
      </w:r>
      <w:r w:rsidR="00083474">
        <w:t xml:space="preserve"> </w:t>
      </w:r>
      <w:r w:rsidR="00AC52BB">
        <w:t>+</w:t>
      </w:r>
      <w:r w:rsidR="00083474">
        <w:t xml:space="preserve"> </w:t>
      </w:r>
      <w:r w:rsidR="00AC52BB">
        <w:t>expenditure</w:t>
      </w:r>
      <w:r w:rsidR="008C3A8A">
        <w:t>)</w:t>
      </w:r>
      <w:r w:rsidR="00AC52BB">
        <w:t>/income) in</w:t>
      </w:r>
      <w:r w:rsidR="00AA5768" w:rsidRPr="00AA5768">
        <w:t xml:space="preserve"> </w:t>
      </w:r>
      <w:r w:rsidR="00AA5768">
        <w:t xml:space="preserve">urban and rural areas </w:t>
      </w:r>
    </w:p>
    <w:p w14:paraId="01EBF5C6" w14:textId="3430FFC9" w:rsidR="009C48A0" w:rsidRDefault="00A44ED5" w:rsidP="00976D0B">
      <w:pPr>
        <w:pStyle w:val="Caption"/>
        <w:jc w:val="both"/>
      </w:pPr>
      <w:r>
        <w:rPr>
          <w:noProof/>
        </w:rPr>
        <w:drawing>
          <wp:anchor distT="0" distB="0" distL="114300" distR="114300" simplePos="0" relativeHeight="251664384" behindDoc="1" locked="0" layoutInCell="1" allowOverlap="1" wp14:anchorId="573FFB53" wp14:editId="1A5EE76F">
            <wp:simplePos x="0" y="0"/>
            <wp:positionH relativeFrom="margin">
              <wp:align>right</wp:align>
            </wp:positionH>
            <wp:positionV relativeFrom="paragraph">
              <wp:posOffset>9525</wp:posOffset>
            </wp:positionV>
            <wp:extent cx="2895600" cy="2047875"/>
            <wp:effectExtent l="0" t="0" r="0" b="9525"/>
            <wp:wrapNone/>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9C48A0">
        <w:rPr>
          <w:noProof/>
        </w:rPr>
        <w:drawing>
          <wp:anchor distT="0" distB="0" distL="114300" distR="114300" simplePos="0" relativeHeight="251663360" behindDoc="1" locked="0" layoutInCell="1" allowOverlap="1" wp14:anchorId="290DCA6A" wp14:editId="5A0AA76A">
            <wp:simplePos x="0" y="0"/>
            <wp:positionH relativeFrom="margin">
              <wp:align>left</wp:align>
            </wp:positionH>
            <wp:positionV relativeFrom="paragraph">
              <wp:posOffset>9525</wp:posOffset>
            </wp:positionV>
            <wp:extent cx="2867025" cy="2047875"/>
            <wp:effectExtent l="0" t="0" r="9525" b="9525"/>
            <wp:wrapNone/>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082663" w:rsidRPr="005A4F19">
        <w:t xml:space="preserve"> </w:t>
      </w:r>
      <w:r w:rsidR="00082663">
        <w:t xml:space="preserve"> </w:t>
      </w:r>
    </w:p>
    <w:p w14:paraId="495EBA89" w14:textId="74732F56" w:rsidR="00082663" w:rsidRDefault="00082663" w:rsidP="00976D0B">
      <w:pPr>
        <w:pStyle w:val="Caption"/>
        <w:jc w:val="both"/>
        <w:rPr>
          <w:rFonts w:cstheme="minorHAnsi"/>
        </w:rPr>
      </w:pPr>
      <w:r>
        <w:t xml:space="preserve">                                                                                                                                                                           </w:t>
      </w:r>
    </w:p>
    <w:p w14:paraId="52270750" w14:textId="77777777" w:rsidR="00082663" w:rsidRDefault="00082663" w:rsidP="00976D0B">
      <w:pPr>
        <w:jc w:val="both"/>
        <w:rPr>
          <w:rFonts w:cstheme="minorHAnsi"/>
        </w:rPr>
      </w:pPr>
      <w:r>
        <w:rPr>
          <w:noProof/>
        </w:rPr>
        <w:t xml:space="preserve"> </w:t>
      </w:r>
    </w:p>
    <w:p w14:paraId="3E507755" w14:textId="77777777" w:rsidR="00082663" w:rsidRDefault="00082663" w:rsidP="00976D0B">
      <w:pPr>
        <w:jc w:val="both"/>
        <w:rPr>
          <w:rFonts w:cstheme="minorHAnsi"/>
        </w:rPr>
      </w:pPr>
    </w:p>
    <w:p w14:paraId="2FFEC79B" w14:textId="4FE64D85" w:rsidR="00082663" w:rsidRDefault="00F016CC" w:rsidP="00976D0B">
      <w:pPr>
        <w:tabs>
          <w:tab w:val="left" w:pos="5295"/>
        </w:tabs>
        <w:jc w:val="both"/>
        <w:rPr>
          <w:rFonts w:cstheme="minorHAnsi"/>
        </w:rPr>
      </w:pPr>
      <w:r>
        <w:rPr>
          <w:rFonts w:cstheme="minorHAnsi"/>
        </w:rPr>
        <w:tab/>
      </w:r>
    </w:p>
    <w:p w14:paraId="5C3C42F9" w14:textId="77777777" w:rsidR="00082663" w:rsidRDefault="00082663" w:rsidP="00976D0B">
      <w:pPr>
        <w:jc w:val="both"/>
        <w:rPr>
          <w:rFonts w:cstheme="minorHAnsi"/>
        </w:rPr>
      </w:pPr>
    </w:p>
    <w:p w14:paraId="0F7FC485" w14:textId="77777777" w:rsidR="00A44ED5" w:rsidRDefault="00A44ED5" w:rsidP="00976D0B">
      <w:pPr>
        <w:jc w:val="both"/>
        <w:rPr>
          <w:rFonts w:cstheme="minorHAnsi"/>
        </w:rPr>
      </w:pPr>
    </w:p>
    <w:p w14:paraId="06ACC4DA" w14:textId="77777777" w:rsidR="00F016CC" w:rsidRPr="00C510FB" w:rsidRDefault="00F016CC" w:rsidP="00976D0B">
      <w:pPr>
        <w:jc w:val="both"/>
        <w:rPr>
          <w:i/>
          <w:iCs/>
          <w:color w:val="44546A" w:themeColor="text2"/>
          <w:sz w:val="18"/>
          <w:szCs w:val="18"/>
        </w:rPr>
      </w:pPr>
    </w:p>
    <w:p w14:paraId="1E8B9724" w14:textId="6C320C94" w:rsidR="00F016CC" w:rsidRDefault="0029516D" w:rsidP="00976D0B">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CB344DF" w14:textId="0B2D5327" w:rsidR="00F016CC" w:rsidRDefault="00F016CC" w:rsidP="00976D0B">
      <w:pPr>
        <w:jc w:val="both"/>
        <w:rPr>
          <w:rFonts w:cstheme="minorHAnsi"/>
        </w:rPr>
      </w:pPr>
      <w:r>
        <w:rPr>
          <w:rFonts w:cstheme="minorHAnsi"/>
        </w:rPr>
        <w:t>Even though, the unaffordable housing indicator</w:t>
      </w:r>
      <w:r w:rsidR="001B6EF6">
        <w:rPr>
          <w:rFonts w:cstheme="minorHAnsi"/>
        </w:rPr>
        <w:t xml:space="preserve"> on average</w:t>
      </w:r>
      <w:r>
        <w:rPr>
          <w:rFonts w:cstheme="minorHAnsi"/>
        </w:rPr>
        <w:t xml:space="preserve"> has apparently increased </w:t>
      </w:r>
      <w:r w:rsidR="001B6EF6">
        <w:rPr>
          <w:rFonts w:cstheme="minorHAnsi"/>
        </w:rPr>
        <w:t xml:space="preserve">for each year </w:t>
      </w:r>
      <w:r>
        <w:rPr>
          <w:rFonts w:cstheme="minorHAnsi"/>
        </w:rPr>
        <w:t xml:space="preserve">under the second methodology, the </w:t>
      </w:r>
      <w:r w:rsidR="00AC1A13">
        <w:rPr>
          <w:rFonts w:cstheme="minorHAnsi"/>
        </w:rPr>
        <w:t>share of households exposed to housing unaffordability</w:t>
      </w:r>
      <w:r w:rsidR="00ED4E7C">
        <w:rPr>
          <w:rFonts w:cstheme="minorHAnsi"/>
        </w:rPr>
        <w:t xml:space="preserve"> has declined substantially over the years and is relatively </w:t>
      </w:r>
      <w:r w:rsidR="00FA30BC">
        <w:rPr>
          <w:rFonts w:cstheme="minorHAnsi"/>
        </w:rPr>
        <w:t xml:space="preserve">low both in </w:t>
      </w:r>
      <w:r w:rsidR="0021680A">
        <w:rPr>
          <w:rFonts w:cstheme="minorHAnsi"/>
        </w:rPr>
        <w:t>urban</w:t>
      </w:r>
      <w:r w:rsidR="00FA30BC">
        <w:rPr>
          <w:rFonts w:cstheme="minorHAnsi"/>
        </w:rPr>
        <w:t xml:space="preserve"> and </w:t>
      </w:r>
      <w:r w:rsidR="0021680A">
        <w:rPr>
          <w:rFonts w:cstheme="minorHAnsi"/>
        </w:rPr>
        <w:t>rural</w:t>
      </w:r>
      <w:r w:rsidR="00FA30BC">
        <w:rPr>
          <w:rFonts w:cstheme="minorHAnsi"/>
        </w:rPr>
        <w:t xml:space="preserve"> areas</w:t>
      </w:r>
      <w:r w:rsidR="00A07D82">
        <w:rPr>
          <w:rFonts w:cstheme="minorHAnsi"/>
        </w:rPr>
        <w:t>.</w:t>
      </w:r>
      <w:r w:rsidR="00FA30BC">
        <w:rPr>
          <w:rFonts w:cstheme="minorHAnsi"/>
        </w:rPr>
        <w:t xml:space="preserve"> The declining trend indicates also that housing unaffordability</w:t>
      </w:r>
      <w:r w:rsidR="005E7A3E">
        <w:rPr>
          <w:rFonts w:cstheme="minorHAnsi"/>
        </w:rPr>
        <w:t xml:space="preserve"> as measured by this indicator is becoming</w:t>
      </w:r>
      <w:r>
        <w:rPr>
          <w:rFonts w:cstheme="minorHAnsi"/>
        </w:rPr>
        <w:t xml:space="preserve"> less </w:t>
      </w:r>
      <w:r w:rsidR="00D06A0D">
        <w:rPr>
          <w:rFonts w:cstheme="minorHAnsi"/>
        </w:rPr>
        <w:t>prevalent</w:t>
      </w:r>
      <w:r>
        <w:rPr>
          <w:rFonts w:cstheme="minorHAnsi"/>
        </w:rPr>
        <w:t xml:space="preserve"> </w:t>
      </w:r>
      <w:r w:rsidR="002C4D45">
        <w:rPr>
          <w:rFonts w:cstheme="minorHAnsi"/>
        </w:rPr>
        <w:t>with the passing of time</w:t>
      </w:r>
      <w:r w:rsidR="00A07D82">
        <w:rPr>
          <w:rFonts w:cstheme="minorHAnsi"/>
        </w:rPr>
        <w:t>.</w:t>
      </w:r>
    </w:p>
    <w:p w14:paraId="142A1850" w14:textId="5BB1B1FE" w:rsidR="00C2029D" w:rsidRDefault="00082663" w:rsidP="00976D0B">
      <w:pPr>
        <w:jc w:val="both"/>
        <w:rPr>
          <w:rFonts w:cstheme="minorHAnsi"/>
        </w:rPr>
      </w:pPr>
      <w:r>
        <w:rPr>
          <w:rFonts w:cstheme="minorHAnsi"/>
        </w:rPr>
        <w:t xml:space="preserve">As it was mentioned above, </w:t>
      </w:r>
      <w:r w:rsidR="002C4D45">
        <w:rPr>
          <w:rFonts w:cstheme="minorHAnsi"/>
        </w:rPr>
        <w:t xml:space="preserve">for completeness, we </w:t>
      </w:r>
      <w:r w:rsidR="00053CF5">
        <w:rPr>
          <w:rFonts w:cstheme="minorHAnsi"/>
        </w:rPr>
        <w:t xml:space="preserve">decided to estimate a third </w:t>
      </w:r>
      <w:r>
        <w:rPr>
          <w:rFonts w:cstheme="minorHAnsi"/>
        </w:rPr>
        <w:t xml:space="preserve">unaffordability indicator </w:t>
      </w:r>
      <w:r w:rsidR="00053CF5">
        <w:rPr>
          <w:rFonts w:cstheme="minorHAnsi"/>
        </w:rPr>
        <w:t xml:space="preserve">that could be extended to </w:t>
      </w:r>
      <w:r>
        <w:rPr>
          <w:rFonts w:cstheme="minorHAnsi"/>
        </w:rPr>
        <w:t>household</w:t>
      </w:r>
      <w:r w:rsidR="00D06A0D">
        <w:rPr>
          <w:rFonts w:cstheme="minorHAnsi"/>
        </w:rPr>
        <w:t>s</w:t>
      </w:r>
      <w:r>
        <w:rPr>
          <w:rFonts w:cstheme="minorHAnsi"/>
        </w:rPr>
        <w:t xml:space="preserve"> </w:t>
      </w:r>
      <w:r w:rsidR="00053CF5">
        <w:rPr>
          <w:rFonts w:cstheme="minorHAnsi"/>
        </w:rPr>
        <w:t xml:space="preserve">that </w:t>
      </w:r>
      <w:r w:rsidR="00DA5BF1">
        <w:rPr>
          <w:rFonts w:cstheme="minorHAnsi"/>
        </w:rPr>
        <w:t>do not rent the place in which they leave</w:t>
      </w:r>
      <w:r>
        <w:rPr>
          <w:rFonts w:cstheme="minorHAnsi"/>
        </w:rPr>
        <w:t xml:space="preserve"> (ownership, leasing, living without payment)</w:t>
      </w:r>
      <w:r w:rsidR="00A07D82">
        <w:rPr>
          <w:rFonts w:cstheme="minorHAnsi"/>
        </w:rPr>
        <w:t>.</w:t>
      </w:r>
      <w:r w:rsidR="00224D75">
        <w:rPr>
          <w:rFonts w:cstheme="minorHAnsi"/>
        </w:rPr>
        <w:t xml:space="preserve"> For the</w:t>
      </w:r>
      <w:r w:rsidR="00DA5BF1">
        <w:rPr>
          <w:rFonts w:cstheme="minorHAnsi"/>
        </w:rPr>
        <w:t>se</w:t>
      </w:r>
      <w:r w:rsidR="00224D75">
        <w:rPr>
          <w:rFonts w:cstheme="minorHAnsi"/>
        </w:rPr>
        <w:t xml:space="preserve"> households</w:t>
      </w:r>
      <w:r w:rsidR="00DA5BF1">
        <w:rPr>
          <w:rFonts w:cstheme="minorHAnsi"/>
        </w:rPr>
        <w:t xml:space="preserve">, we </w:t>
      </w:r>
      <w:r w:rsidR="008222A1">
        <w:rPr>
          <w:rFonts w:cstheme="minorHAnsi"/>
        </w:rPr>
        <w:t xml:space="preserve">decided to input </w:t>
      </w:r>
      <w:r w:rsidR="00A44ED5">
        <w:rPr>
          <w:rFonts w:cstheme="minorHAnsi"/>
        </w:rPr>
        <w:t>a</w:t>
      </w:r>
      <w:r w:rsidR="00224D75">
        <w:rPr>
          <w:rFonts w:cstheme="minorHAnsi"/>
        </w:rPr>
        <w:t xml:space="preserve"> hypothetical</w:t>
      </w:r>
      <w:r>
        <w:rPr>
          <w:rFonts w:cstheme="minorHAnsi"/>
        </w:rPr>
        <w:t xml:space="preserve"> </w:t>
      </w:r>
      <w:r w:rsidR="00224D75">
        <w:rPr>
          <w:rFonts w:cstheme="minorHAnsi"/>
        </w:rPr>
        <w:t>rent</w:t>
      </w:r>
      <w:r w:rsidR="008222A1">
        <w:rPr>
          <w:rFonts w:cstheme="minorHAnsi"/>
        </w:rPr>
        <w:t xml:space="preserve">, taking advantage of the information provided by the households themselves through the </w:t>
      </w:r>
      <w:proofErr w:type="spellStart"/>
      <w:r w:rsidR="00F34779">
        <w:rPr>
          <w:rFonts w:cstheme="minorHAnsi"/>
        </w:rPr>
        <w:t>Geostat</w:t>
      </w:r>
      <w:proofErr w:type="spellEnd"/>
      <w:r w:rsidR="00F34779">
        <w:rPr>
          <w:rFonts w:cstheme="minorHAnsi"/>
        </w:rPr>
        <w:t xml:space="preserve"> Household Survey</w:t>
      </w:r>
      <w:r w:rsidR="00A44ED5">
        <w:rPr>
          <w:rFonts w:cstheme="minorHAnsi"/>
        </w:rPr>
        <w:t>.</w:t>
      </w:r>
      <w:r w:rsidR="00224D75">
        <w:rPr>
          <w:rFonts w:cstheme="minorHAnsi"/>
        </w:rPr>
        <w:t xml:space="preserve"> The hypothetical</w:t>
      </w:r>
      <w:r>
        <w:rPr>
          <w:rFonts w:cstheme="minorHAnsi"/>
        </w:rPr>
        <w:t xml:space="preserve"> rent is the value they </w:t>
      </w:r>
      <w:r w:rsidR="00F34779">
        <w:rPr>
          <w:rFonts w:cstheme="minorHAnsi"/>
        </w:rPr>
        <w:t xml:space="preserve">think they </w:t>
      </w:r>
      <w:r>
        <w:rPr>
          <w:rFonts w:cstheme="minorHAnsi"/>
        </w:rPr>
        <w:t xml:space="preserve">would have paid if they </w:t>
      </w:r>
      <w:r w:rsidR="00F34779">
        <w:rPr>
          <w:rFonts w:cstheme="minorHAnsi"/>
        </w:rPr>
        <w:t xml:space="preserve">had </w:t>
      </w:r>
      <w:r>
        <w:rPr>
          <w:rFonts w:cstheme="minorHAnsi"/>
        </w:rPr>
        <w:t xml:space="preserve">rented </w:t>
      </w:r>
      <w:r w:rsidR="00224D75">
        <w:rPr>
          <w:rFonts w:cstheme="minorHAnsi"/>
        </w:rPr>
        <w:t>a</w:t>
      </w:r>
      <w:r>
        <w:rPr>
          <w:rFonts w:cstheme="minorHAnsi"/>
        </w:rPr>
        <w:t xml:space="preserve"> house </w:t>
      </w:r>
      <w:r w:rsidR="00224D75">
        <w:rPr>
          <w:rFonts w:cstheme="minorHAnsi"/>
        </w:rPr>
        <w:t xml:space="preserve">similar to the </w:t>
      </w:r>
      <w:r w:rsidR="00A44ED5">
        <w:rPr>
          <w:rFonts w:cstheme="minorHAnsi"/>
        </w:rPr>
        <w:t>one,</w:t>
      </w:r>
      <w:r w:rsidR="00F34779">
        <w:rPr>
          <w:rFonts w:cstheme="minorHAnsi"/>
        </w:rPr>
        <w:t xml:space="preserve"> t</w:t>
      </w:r>
      <w:r>
        <w:rPr>
          <w:rFonts w:cstheme="minorHAnsi"/>
        </w:rPr>
        <w:t>hey live in during the survey period</w:t>
      </w:r>
      <w:r w:rsidR="00A07D82">
        <w:rPr>
          <w:rFonts w:cstheme="minorHAnsi"/>
        </w:rPr>
        <w:t>.</w:t>
      </w:r>
      <w:r>
        <w:rPr>
          <w:rFonts w:cstheme="minorHAnsi"/>
        </w:rPr>
        <w:t xml:space="preserve"> The </w:t>
      </w:r>
      <w:r w:rsidR="00224D75">
        <w:rPr>
          <w:rFonts w:cstheme="minorHAnsi"/>
        </w:rPr>
        <w:t>hypothetical</w:t>
      </w:r>
      <w:r>
        <w:rPr>
          <w:rFonts w:cstheme="minorHAnsi"/>
        </w:rPr>
        <w:t xml:space="preserve"> rent </w:t>
      </w:r>
      <w:r w:rsidR="00224D75">
        <w:rPr>
          <w:rFonts w:cstheme="minorHAnsi"/>
        </w:rPr>
        <w:t>represents</w:t>
      </w:r>
      <w:r>
        <w:rPr>
          <w:rFonts w:cstheme="minorHAnsi"/>
        </w:rPr>
        <w:t xml:space="preserve"> an opportunity cost</w:t>
      </w:r>
      <w:r w:rsidR="00C2029D">
        <w:rPr>
          <w:rFonts w:cstheme="minorHAnsi"/>
        </w:rPr>
        <w:t xml:space="preserve"> for the household</w:t>
      </w:r>
      <w:r w:rsidR="00FB543C">
        <w:rPr>
          <w:rFonts w:cstheme="minorHAnsi"/>
        </w:rPr>
        <w:t xml:space="preserve">, </w:t>
      </w:r>
      <w:r>
        <w:rPr>
          <w:rFonts w:cstheme="minorHAnsi"/>
        </w:rPr>
        <w:t>because they are not renting out the house</w:t>
      </w:r>
      <w:r w:rsidR="00FB543C">
        <w:rPr>
          <w:rFonts w:cstheme="minorHAnsi"/>
        </w:rPr>
        <w:t xml:space="preserve">, and, at the same time, </w:t>
      </w:r>
      <w:r w:rsidR="00C2029D">
        <w:rPr>
          <w:rFonts w:cstheme="minorHAnsi"/>
        </w:rPr>
        <w:t>a virtual</w:t>
      </w:r>
      <w:r>
        <w:rPr>
          <w:rFonts w:cstheme="minorHAnsi"/>
        </w:rPr>
        <w:t xml:space="preserve"> income</w:t>
      </w:r>
      <w:r w:rsidR="00FB543C">
        <w:rPr>
          <w:rFonts w:cstheme="minorHAnsi"/>
        </w:rPr>
        <w:t xml:space="preserve"> (as they are saving the rent costs)</w:t>
      </w:r>
      <w:r w:rsidR="00A44ED5">
        <w:rPr>
          <w:rFonts w:cstheme="minorHAnsi"/>
        </w:rPr>
        <w:t>.</w:t>
      </w:r>
      <w:r>
        <w:rPr>
          <w:rFonts w:cstheme="minorHAnsi"/>
        </w:rPr>
        <w:t xml:space="preserve"> </w:t>
      </w:r>
      <w:r w:rsidR="00C2029D">
        <w:rPr>
          <w:rFonts w:cstheme="minorHAnsi"/>
        </w:rPr>
        <w:t>Therefore</w:t>
      </w:r>
      <w:r>
        <w:rPr>
          <w:rFonts w:cstheme="minorHAnsi"/>
        </w:rPr>
        <w:t xml:space="preserve">, </w:t>
      </w:r>
      <w:r w:rsidR="00C2029D">
        <w:rPr>
          <w:rFonts w:cstheme="minorHAnsi"/>
        </w:rPr>
        <w:t>we decided to estimate two version of this</w:t>
      </w:r>
      <w:r>
        <w:rPr>
          <w:rFonts w:cstheme="minorHAnsi"/>
        </w:rPr>
        <w:t xml:space="preserve"> unaffordability indicator</w:t>
      </w:r>
      <w:r w:rsidR="00C2029D">
        <w:rPr>
          <w:rFonts w:cstheme="minorHAnsi"/>
        </w:rPr>
        <w:t>:</w:t>
      </w:r>
    </w:p>
    <w:p w14:paraId="79443B34" w14:textId="6A148354" w:rsidR="00FB444D" w:rsidRDefault="00082663" w:rsidP="00454C26">
      <w:pPr>
        <w:pStyle w:val="ListParagraph"/>
        <w:numPr>
          <w:ilvl w:val="0"/>
          <w:numId w:val="20"/>
        </w:numPr>
        <w:jc w:val="both"/>
        <w:rPr>
          <w:rFonts w:cstheme="minorHAnsi"/>
        </w:rPr>
      </w:pPr>
      <w:r w:rsidRPr="00610BE1">
        <w:rPr>
          <w:rFonts w:cstheme="minorHAnsi"/>
        </w:rPr>
        <w:t xml:space="preserve"> </w:t>
      </w:r>
      <w:r w:rsidRPr="006066AB">
        <w:rPr>
          <w:rFonts w:cstheme="minorHAnsi"/>
        </w:rPr>
        <w:t xml:space="preserve">the ratio between </w:t>
      </w:r>
      <w:r w:rsidR="002C676C">
        <w:rPr>
          <w:rFonts w:cstheme="minorHAnsi"/>
        </w:rPr>
        <w:t>hypothetical</w:t>
      </w:r>
      <w:r w:rsidR="002C676C" w:rsidRPr="00610BE1">
        <w:rPr>
          <w:rFonts w:cstheme="minorHAnsi"/>
        </w:rPr>
        <w:t xml:space="preserve"> </w:t>
      </w:r>
      <w:r w:rsidRPr="00610BE1">
        <w:rPr>
          <w:rFonts w:cstheme="minorHAnsi"/>
        </w:rPr>
        <w:t xml:space="preserve">rent </w:t>
      </w:r>
      <w:r w:rsidR="002C676C">
        <w:rPr>
          <w:rFonts w:cstheme="minorHAnsi"/>
        </w:rPr>
        <w:t xml:space="preserve">(real rent for the households paying it) </w:t>
      </w:r>
      <w:r w:rsidRPr="00610BE1">
        <w:rPr>
          <w:rFonts w:cstheme="minorHAnsi"/>
        </w:rPr>
        <w:t>and income</w:t>
      </w:r>
      <w:r w:rsidR="00FB444D">
        <w:rPr>
          <w:rFonts w:cstheme="minorHAnsi"/>
        </w:rPr>
        <w:t xml:space="preserve"> plus</w:t>
      </w:r>
      <w:r w:rsidRPr="00610BE1">
        <w:rPr>
          <w:rFonts w:cstheme="minorHAnsi"/>
        </w:rPr>
        <w:t xml:space="preserve"> </w:t>
      </w:r>
      <w:r w:rsidR="00FB444D">
        <w:rPr>
          <w:rFonts w:cstheme="minorHAnsi"/>
        </w:rPr>
        <w:t>hypothetical</w:t>
      </w:r>
      <w:r w:rsidRPr="00CF01FB">
        <w:rPr>
          <w:rFonts w:cstheme="minorHAnsi"/>
        </w:rPr>
        <w:t xml:space="preserve"> rent</w:t>
      </w:r>
      <w:r w:rsidR="00FB444D">
        <w:rPr>
          <w:rFonts w:cstheme="minorHAnsi"/>
        </w:rPr>
        <w:t>;</w:t>
      </w:r>
    </w:p>
    <w:p w14:paraId="77618B30" w14:textId="0827BA7D" w:rsidR="00FB444D" w:rsidRDefault="00FB444D" w:rsidP="00454C26">
      <w:pPr>
        <w:pStyle w:val="ListParagraph"/>
        <w:numPr>
          <w:ilvl w:val="0"/>
          <w:numId w:val="20"/>
        </w:numPr>
        <w:jc w:val="both"/>
        <w:rPr>
          <w:rFonts w:cstheme="minorHAnsi"/>
        </w:rPr>
      </w:pPr>
      <w:r w:rsidRPr="003623D5">
        <w:rPr>
          <w:rFonts w:cstheme="minorHAnsi"/>
        </w:rPr>
        <w:t xml:space="preserve">the ratio between </w:t>
      </w:r>
      <w:r>
        <w:rPr>
          <w:rFonts w:cstheme="minorHAnsi"/>
        </w:rPr>
        <w:t>hypothetical</w:t>
      </w:r>
      <w:r w:rsidRPr="003623D5">
        <w:rPr>
          <w:rFonts w:cstheme="minorHAnsi"/>
        </w:rPr>
        <w:t xml:space="preserve"> rent </w:t>
      </w:r>
      <w:r>
        <w:rPr>
          <w:rFonts w:cstheme="minorHAnsi"/>
        </w:rPr>
        <w:t xml:space="preserve">(real rent for the households paying it) </w:t>
      </w:r>
      <w:r w:rsidRPr="003623D5">
        <w:rPr>
          <w:rFonts w:cstheme="minorHAnsi"/>
        </w:rPr>
        <w:t>plus expenditure and income</w:t>
      </w:r>
      <w:r>
        <w:rPr>
          <w:rFonts w:cstheme="minorHAnsi"/>
        </w:rPr>
        <w:t xml:space="preserve"> plus</w:t>
      </w:r>
      <w:r w:rsidRPr="003623D5">
        <w:rPr>
          <w:rFonts w:cstheme="minorHAnsi"/>
        </w:rPr>
        <w:t xml:space="preserve"> </w:t>
      </w:r>
      <w:r>
        <w:rPr>
          <w:rFonts w:cstheme="minorHAnsi"/>
        </w:rPr>
        <w:t>hypothetical</w:t>
      </w:r>
      <w:r w:rsidRPr="003623D5">
        <w:rPr>
          <w:rFonts w:cstheme="minorHAnsi"/>
        </w:rPr>
        <w:t xml:space="preserve"> rent</w:t>
      </w:r>
    </w:p>
    <w:p w14:paraId="0369F3FC" w14:textId="48606680" w:rsidR="00082663" w:rsidRPr="00610BE1" w:rsidRDefault="0023024B" w:rsidP="00610BE1">
      <w:pPr>
        <w:jc w:val="both"/>
        <w:rPr>
          <w:rFonts w:cstheme="minorHAnsi"/>
        </w:rPr>
      </w:pPr>
      <w:r>
        <w:rPr>
          <w:rFonts w:cstheme="minorHAnsi"/>
        </w:rPr>
        <w:t>We call these</w:t>
      </w:r>
      <w:r w:rsidR="00082663" w:rsidRPr="00610BE1">
        <w:rPr>
          <w:rFonts w:cstheme="minorHAnsi"/>
        </w:rPr>
        <w:t xml:space="preserve"> </w:t>
      </w:r>
      <w:r w:rsidR="00082663" w:rsidRPr="00610BE1">
        <w:rPr>
          <w:rFonts w:cstheme="minorHAnsi"/>
          <w:i/>
        </w:rPr>
        <w:t>shadow unaffordability</w:t>
      </w:r>
      <w:r w:rsidR="00082663" w:rsidRPr="00CF01FB">
        <w:rPr>
          <w:rFonts w:cstheme="minorHAnsi"/>
        </w:rPr>
        <w:t xml:space="preserve"> </w:t>
      </w:r>
      <w:r w:rsidR="00706418">
        <w:rPr>
          <w:rFonts w:cstheme="minorHAnsi"/>
        </w:rPr>
        <w:t xml:space="preserve">and </w:t>
      </w:r>
      <w:r w:rsidR="00706418" w:rsidRPr="006066AB">
        <w:rPr>
          <w:rFonts w:cstheme="minorHAnsi"/>
          <w:i/>
          <w:iCs/>
        </w:rPr>
        <w:t>extended shadow unaffordability</w:t>
      </w:r>
      <w:r w:rsidR="00706418">
        <w:rPr>
          <w:rFonts w:cstheme="minorHAnsi"/>
        </w:rPr>
        <w:t xml:space="preserve"> </w:t>
      </w:r>
      <w:r w:rsidR="00082663" w:rsidRPr="00610BE1">
        <w:rPr>
          <w:rFonts w:cstheme="minorHAnsi"/>
        </w:rPr>
        <w:t xml:space="preserve">indicators to </w:t>
      </w:r>
      <w:r>
        <w:rPr>
          <w:rFonts w:cstheme="minorHAnsi"/>
        </w:rPr>
        <w:t>distinguish them</w:t>
      </w:r>
      <w:r w:rsidR="00082663" w:rsidRPr="00610BE1">
        <w:rPr>
          <w:rFonts w:cstheme="minorHAnsi"/>
        </w:rPr>
        <w:t xml:space="preserve"> from the first </w:t>
      </w:r>
      <w:r>
        <w:rPr>
          <w:rFonts w:cstheme="minorHAnsi"/>
        </w:rPr>
        <w:t xml:space="preserve">set of </w:t>
      </w:r>
      <w:r w:rsidR="00082663" w:rsidRPr="00610BE1">
        <w:rPr>
          <w:rFonts w:cstheme="minorHAnsi"/>
        </w:rPr>
        <w:t>unaffordability indicator</w:t>
      </w:r>
      <w:r>
        <w:rPr>
          <w:rFonts w:cstheme="minorHAnsi"/>
        </w:rPr>
        <w:t>s</w:t>
      </w:r>
      <w:r w:rsidR="00D70D21">
        <w:rPr>
          <w:rFonts w:cstheme="minorHAnsi"/>
        </w:rPr>
        <w:t xml:space="preserve">. It is important to point out that the interpretation of such indicators is less straightforward than that of the previous one. In this case, we are </w:t>
      </w:r>
      <w:r w:rsidR="00A44ED5">
        <w:rPr>
          <w:rFonts w:cstheme="minorHAnsi"/>
        </w:rPr>
        <w:t>inputting</w:t>
      </w:r>
      <w:r w:rsidR="00D70D21">
        <w:rPr>
          <w:rFonts w:cstheme="minorHAnsi"/>
        </w:rPr>
        <w:t xml:space="preserve"> as costs (and </w:t>
      </w:r>
      <w:r w:rsidR="00E57B15">
        <w:rPr>
          <w:rFonts w:cstheme="minorHAnsi"/>
        </w:rPr>
        <w:t xml:space="preserve">potential income) the hypothetical rent a family could </w:t>
      </w:r>
      <w:r w:rsidR="005B437B">
        <w:rPr>
          <w:rFonts w:cstheme="minorHAnsi"/>
        </w:rPr>
        <w:t>extract from the house in which they live. A high</w:t>
      </w:r>
      <w:r w:rsidR="00FC4697">
        <w:rPr>
          <w:rFonts w:cstheme="minorHAnsi"/>
        </w:rPr>
        <w:t xml:space="preserve"> share of households </w:t>
      </w:r>
      <w:r w:rsidR="004629CA">
        <w:rPr>
          <w:rFonts w:cstheme="minorHAnsi"/>
        </w:rPr>
        <w:t xml:space="preserve">above the unaffordability threshold in this case does not necessarily imply a </w:t>
      </w:r>
      <w:r w:rsidR="00640A0A">
        <w:rPr>
          <w:rFonts w:cstheme="minorHAnsi"/>
        </w:rPr>
        <w:t xml:space="preserve">dramatic situation but – rather – </w:t>
      </w:r>
      <w:r w:rsidR="00587843">
        <w:rPr>
          <w:rFonts w:cstheme="minorHAnsi"/>
        </w:rPr>
        <w:t>is the reflection of households living in apartments/houses whose opportunity cost is high</w:t>
      </w:r>
      <w:r w:rsidR="006B55A1">
        <w:rPr>
          <w:rFonts w:cstheme="minorHAnsi"/>
        </w:rPr>
        <w:t xml:space="preserve">. </w:t>
      </w:r>
      <w:r w:rsidR="00163722">
        <w:rPr>
          <w:rFonts w:cstheme="minorHAnsi"/>
        </w:rPr>
        <w:t>The same households</w:t>
      </w:r>
      <w:r w:rsidR="006B55A1">
        <w:rPr>
          <w:rFonts w:cstheme="minorHAnsi"/>
        </w:rPr>
        <w:t xml:space="preserve"> could improve their housing affordability by – for example – selling or renting the house and move to </w:t>
      </w:r>
      <w:r w:rsidR="00163722">
        <w:rPr>
          <w:rFonts w:cstheme="minorHAnsi"/>
        </w:rPr>
        <w:t>less expensive neighborhoods. In this case</w:t>
      </w:r>
      <w:r w:rsidR="003C2AA0">
        <w:rPr>
          <w:rFonts w:cstheme="minorHAnsi"/>
        </w:rPr>
        <w:t xml:space="preserve">, one might consider the exposure to unaffordable housing conditions as the result of a </w:t>
      </w:r>
      <w:r w:rsidR="00425134">
        <w:rPr>
          <w:rFonts w:cstheme="minorHAnsi"/>
        </w:rPr>
        <w:t>household choice.</w:t>
      </w:r>
    </w:p>
    <w:p w14:paraId="12C1AE5E" w14:textId="1547B846" w:rsidR="00082663" w:rsidRDefault="0023024B" w:rsidP="00976D0B">
      <w:pPr>
        <w:jc w:val="both"/>
        <w:rPr>
          <w:rFonts w:cstheme="minorHAnsi"/>
        </w:rPr>
      </w:pPr>
      <w:r>
        <w:rPr>
          <w:rFonts w:cstheme="minorHAnsi"/>
        </w:rPr>
        <w:lastRenderedPageBreak/>
        <w:t xml:space="preserve">As it </w:t>
      </w:r>
      <w:r w:rsidR="00D06A0D">
        <w:rPr>
          <w:rFonts w:cstheme="minorHAnsi"/>
        </w:rPr>
        <w:t xml:space="preserve">can be seen </w:t>
      </w:r>
      <w:r w:rsidR="00082663">
        <w:rPr>
          <w:rFonts w:cstheme="minorHAnsi"/>
        </w:rPr>
        <w:t xml:space="preserve">in Figure </w:t>
      </w:r>
      <w:r w:rsidR="00D74D8C">
        <w:rPr>
          <w:rFonts w:cstheme="minorHAnsi"/>
        </w:rPr>
        <w:t>35,</w:t>
      </w:r>
      <w:r>
        <w:rPr>
          <w:rFonts w:cstheme="minorHAnsi"/>
        </w:rPr>
        <w:t xml:space="preserve"> </w:t>
      </w:r>
      <w:r w:rsidR="00697493">
        <w:rPr>
          <w:rFonts w:cstheme="minorHAnsi"/>
        </w:rPr>
        <w:t>with the new</w:t>
      </w:r>
      <w:r w:rsidR="00F016CC">
        <w:rPr>
          <w:rFonts w:cstheme="minorHAnsi"/>
        </w:rPr>
        <w:t xml:space="preserve"> methodology, not surprisingly</w:t>
      </w:r>
      <w:r w:rsidR="00697493">
        <w:rPr>
          <w:rFonts w:cstheme="minorHAnsi"/>
        </w:rPr>
        <w:t xml:space="preserve"> the share of families</w:t>
      </w:r>
      <w:r w:rsidR="00DC6BDC">
        <w:rPr>
          <w:rFonts w:cstheme="minorHAnsi"/>
        </w:rPr>
        <w:t xml:space="preserve"> with affordability issues</w:t>
      </w:r>
      <w:r w:rsidR="00697493">
        <w:rPr>
          <w:rFonts w:cstheme="minorHAnsi"/>
        </w:rPr>
        <w:t xml:space="preserve"> </w:t>
      </w:r>
      <w:r w:rsidR="00F016CC">
        <w:rPr>
          <w:rFonts w:cstheme="minorHAnsi"/>
        </w:rPr>
        <w:t>increases slightly</w:t>
      </w:r>
      <w:r w:rsidR="00A44ED5">
        <w:rPr>
          <w:rFonts w:cstheme="minorHAnsi"/>
        </w:rPr>
        <w:t>.</w:t>
      </w:r>
      <w:r w:rsidR="00DC6BDC">
        <w:rPr>
          <w:rFonts w:cstheme="minorHAnsi"/>
        </w:rPr>
        <w:t xml:space="preserve"> In this case, </w:t>
      </w:r>
      <w:r w:rsidR="00082663">
        <w:rPr>
          <w:rFonts w:cstheme="minorHAnsi"/>
        </w:rPr>
        <w:t xml:space="preserve">the trend of unaffordability </w:t>
      </w:r>
      <w:r w:rsidR="009A1708">
        <w:rPr>
          <w:rFonts w:cstheme="minorHAnsi"/>
        </w:rPr>
        <w:t xml:space="preserve">remains higher in </w:t>
      </w:r>
      <w:r w:rsidR="0021680A">
        <w:rPr>
          <w:rFonts w:cstheme="minorHAnsi"/>
        </w:rPr>
        <w:t>urban</w:t>
      </w:r>
      <w:r w:rsidR="009A1708">
        <w:rPr>
          <w:rFonts w:cstheme="minorHAnsi"/>
        </w:rPr>
        <w:t xml:space="preserve"> areas than in </w:t>
      </w:r>
      <w:r w:rsidR="0021680A">
        <w:rPr>
          <w:rFonts w:cstheme="minorHAnsi"/>
        </w:rPr>
        <w:t>rural</w:t>
      </w:r>
      <w:r w:rsidR="00A44ED5">
        <w:rPr>
          <w:rFonts w:cstheme="minorHAnsi"/>
        </w:rPr>
        <w:t xml:space="preserve"> </w:t>
      </w:r>
      <w:r w:rsidR="009A1708">
        <w:rPr>
          <w:rFonts w:cstheme="minorHAnsi"/>
        </w:rPr>
        <w:t xml:space="preserve">areas and </w:t>
      </w:r>
      <w:r w:rsidR="00DC6BDC">
        <w:rPr>
          <w:rFonts w:cstheme="minorHAnsi"/>
        </w:rPr>
        <w:t>does not seem to be declining</w:t>
      </w:r>
      <w:r w:rsidR="00713248">
        <w:rPr>
          <w:rFonts w:cstheme="minorHAnsi"/>
        </w:rPr>
        <w:t>.</w:t>
      </w:r>
      <w:r w:rsidR="00082663">
        <w:rPr>
          <w:rFonts w:cstheme="minorHAnsi"/>
        </w:rPr>
        <w:t xml:space="preserve"> </w:t>
      </w:r>
      <w:r w:rsidR="009A1708">
        <w:rPr>
          <w:rFonts w:cstheme="minorHAnsi"/>
        </w:rPr>
        <w:t>T</w:t>
      </w:r>
      <w:r w:rsidR="00082663">
        <w:rPr>
          <w:rFonts w:cstheme="minorHAnsi"/>
        </w:rPr>
        <w:t xml:space="preserve">he </w:t>
      </w:r>
      <w:r w:rsidR="009A1708">
        <w:rPr>
          <w:rFonts w:cstheme="minorHAnsi"/>
        </w:rPr>
        <w:t>share of</w:t>
      </w:r>
      <w:r w:rsidR="00082663">
        <w:rPr>
          <w:rFonts w:cstheme="minorHAnsi"/>
        </w:rPr>
        <w:t xml:space="preserve"> households </w:t>
      </w:r>
      <w:r w:rsidR="009A1708">
        <w:rPr>
          <w:rFonts w:cstheme="minorHAnsi"/>
        </w:rPr>
        <w:t xml:space="preserve">facing affordability issues </w:t>
      </w:r>
      <w:r w:rsidR="00082663">
        <w:rPr>
          <w:rFonts w:cstheme="minorHAnsi"/>
        </w:rPr>
        <w:t xml:space="preserve">over years varies </w:t>
      </w:r>
      <w:r w:rsidR="009A0DFF">
        <w:rPr>
          <w:rFonts w:cstheme="minorHAnsi"/>
        </w:rPr>
        <w:t xml:space="preserve">for </w:t>
      </w:r>
      <w:r w:rsidR="0021680A">
        <w:rPr>
          <w:rFonts w:cstheme="minorHAnsi"/>
        </w:rPr>
        <w:t>urban</w:t>
      </w:r>
      <w:r w:rsidR="009A0DFF">
        <w:rPr>
          <w:rFonts w:cstheme="minorHAnsi"/>
        </w:rPr>
        <w:t xml:space="preserve"> </w:t>
      </w:r>
      <w:r w:rsidR="009A1708">
        <w:rPr>
          <w:rFonts w:cstheme="minorHAnsi"/>
        </w:rPr>
        <w:t xml:space="preserve">areas </w:t>
      </w:r>
      <w:r w:rsidR="00082663">
        <w:rPr>
          <w:rFonts w:cstheme="minorHAnsi"/>
        </w:rPr>
        <w:t xml:space="preserve">between </w:t>
      </w:r>
      <w:r w:rsidR="000A5089">
        <w:rPr>
          <w:rFonts w:cstheme="minorHAnsi"/>
        </w:rPr>
        <w:t xml:space="preserve">9.3% and 17.2% </w:t>
      </w:r>
      <w:r w:rsidR="006B1DDE">
        <w:rPr>
          <w:rFonts w:cstheme="minorHAnsi"/>
        </w:rPr>
        <w:t>against 1.2</w:t>
      </w:r>
      <w:r w:rsidR="000A5089">
        <w:rPr>
          <w:rFonts w:cstheme="minorHAnsi"/>
        </w:rPr>
        <w:t xml:space="preserve">% and 7.3% </w:t>
      </w:r>
      <w:r w:rsidR="009A1708">
        <w:rPr>
          <w:rFonts w:cstheme="minorHAnsi"/>
        </w:rPr>
        <w:t xml:space="preserve">for </w:t>
      </w:r>
      <w:r w:rsidR="0021680A">
        <w:rPr>
          <w:rFonts w:cstheme="minorHAnsi"/>
        </w:rPr>
        <w:t>rural</w:t>
      </w:r>
      <w:r w:rsidR="009A1708">
        <w:rPr>
          <w:rFonts w:cstheme="minorHAnsi"/>
        </w:rPr>
        <w:t xml:space="preserve"> areas</w:t>
      </w:r>
      <w:r w:rsidR="00713248">
        <w:rPr>
          <w:rFonts w:cstheme="minorHAnsi"/>
        </w:rPr>
        <w:t>.</w:t>
      </w:r>
      <w:r w:rsidR="00082663">
        <w:rPr>
          <w:rFonts w:cstheme="minorHAnsi"/>
        </w:rPr>
        <w:t xml:space="preserve"> As for the indicators for 2018 year, the shadow unaffordability </w:t>
      </w:r>
      <w:r w:rsidR="00A44ED5">
        <w:rPr>
          <w:rFonts w:cstheme="minorHAnsi"/>
        </w:rPr>
        <w:t xml:space="preserve">values </w:t>
      </w:r>
      <w:r w:rsidR="00082663">
        <w:rPr>
          <w:rFonts w:cstheme="minorHAnsi"/>
        </w:rPr>
        <w:t xml:space="preserve">in </w:t>
      </w:r>
      <w:r w:rsidR="0021680A">
        <w:rPr>
          <w:rFonts w:cstheme="minorHAnsi"/>
        </w:rPr>
        <w:t>urban</w:t>
      </w:r>
      <w:r w:rsidR="009A0DFF">
        <w:rPr>
          <w:rFonts w:cstheme="minorHAnsi"/>
        </w:rPr>
        <w:t xml:space="preserve"> and</w:t>
      </w:r>
      <w:r w:rsidR="00082663">
        <w:rPr>
          <w:rFonts w:cstheme="minorHAnsi"/>
        </w:rPr>
        <w:t xml:space="preserve"> </w:t>
      </w:r>
      <w:r w:rsidR="0021680A">
        <w:rPr>
          <w:rFonts w:cstheme="minorHAnsi"/>
        </w:rPr>
        <w:t>rural</w:t>
      </w:r>
      <w:r w:rsidR="00082663">
        <w:rPr>
          <w:rFonts w:cstheme="minorHAnsi"/>
        </w:rPr>
        <w:t xml:space="preserve"> areas are 14</w:t>
      </w:r>
      <w:r w:rsidR="00713248">
        <w:rPr>
          <w:rFonts w:cstheme="minorHAnsi"/>
        </w:rPr>
        <w:t>.</w:t>
      </w:r>
      <w:r w:rsidR="00082663">
        <w:rPr>
          <w:rFonts w:cstheme="minorHAnsi"/>
        </w:rPr>
        <w:t>6%</w:t>
      </w:r>
      <w:r w:rsidR="009A0DFF">
        <w:rPr>
          <w:rFonts w:cstheme="minorHAnsi"/>
        </w:rPr>
        <w:t xml:space="preserve"> and </w:t>
      </w:r>
      <w:r w:rsidR="00082663">
        <w:rPr>
          <w:rFonts w:cstheme="minorHAnsi"/>
        </w:rPr>
        <w:t>5</w:t>
      </w:r>
      <w:r w:rsidR="00713248">
        <w:rPr>
          <w:rFonts w:cstheme="minorHAnsi"/>
        </w:rPr>
        <w:t>.</w:t>
      </w:r>
      <w:r w:rsidR="00082663">
        <w:rPr>
          <w:rFonts w:cstheme="minorHAnsi"/>
        </w:rPr>
        <w:t>8% for the households</w:t>
      </w:r>
      <w:r w:rsidR="00081E30">
        <w:rPr>
          <w:rFonts w:cstheme="minorHAnsi"/>
        </w:rPr>
        <w:t xml:space="preserve">, </w:t>
      </w:r>
      <w:r w:rsidR="009A0DFF">
        <w:rPr>
          <w:rFonts w:cstheme="minorHAnsi"/>
        </w:rPr>
        <w:t>respectively</w:t>
      </w:r>
      <w:r w:rsidR="00713248">
        <w:rPr>
          <w:rFonts w:cstheme="minorHAnsi"/>
        </w:rPr>
        <w:t xml:space="preserve"> (Figure 35)</w:t>
      </w:r>
      <w:r w:rsidR="00A44ED5">
        <w:rPr>
          <w:rFonts w:cstheme="minorHAnsi"/>
        </w:rPr>
        <w:t>.</w:t>
      </w:r>
    </w:p>
    <w:p w14:paraId="2B4AF8E2" w14:textId="25C22F25" w:rsidR="00082663" w:rsidRPr="00454C26" w:rsidRDefault="00A44ED5" w:rsidP="00501A83">
      <w:pPr>
        <w:pStyle w:val="Caption"/>
      </w:pPr>
      <w:r>
        <w:rPr>
          <w:noProof/>
        </w:rPr>
        <w:drawing>
          <wp:anchor distT="0" distB="0" distL="114300" distR="114300" simplePos="0" relativeHeight="251665408" behindDoc="1" locked="0" layoutInCell="1" allowOverlap="1" wp14:anchorId="36197E09" wp14:editId="58B286D2">
            <wp:simplePos x="0" y="0"/>
            <wp:positionH relativeFrom="margin">
              <wp:align>left</wp:align>
            </wp:positionH>
            <wp:positionV relativeFrom="paragraph">
              <wp:posOffset>283210</wp:posOffset>
            </wp:positionV>
            <wp:extent cx="2857500" cy="2219325"/>
            <wp:effectExtent l="0" t="0" r="0" b="9525"/>
            <wp:wrapSquare wrapText="bothSides"/>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00AC52BB">
        <w:rPr>
          <w:noProof/>
        </w:rPr>
        <w:drawing>
          <wp:anchor distT="0" distB="0" distL="114300" distR="114300" simplePos="0" relativeHeight="251666432" behindDoc="1" locked="0" layoutInCell="1" allowOverlap="1" wp14:anchorId="37111674" wp14:editId="08EA837B">
            <wp:simplePos x="0" y="0"/>
            <wp:positionH relativeFrom="margin">
              <wp:align>right</wp:align>
            </wp:positionH>
            <wp:positionV relativeFrom="paragraph">
              <wp:posOffset>276860</wp:posOffset>
            </wp:positionV>
            <wp:extent cx="2924175" cy="2219325"/>
            <wp:effectExtent l="0" t="0" r="9525" b="9525"/>
            <wp:wrapNone/>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082663">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35</w:t>
      </w:r>
      <w:r w:rsidR="006C3BD6">
        <w:rPr>
          <w:noProof/>
        </w:rPr>
        <w:fldChar w:fldCharType="end"/>
      </w:r>
      <w:r w:rsidR="00082663">
        <w:t xml:space="preserve">  </w:t>
      </w:r>
      <w:r w:rsidR="00AC52BB">
        <w:t xml:space="preserve">The share of households exceeding the </w:t>
      </w:r>
      <w:r>
        <w:t xml:space="preserve">shadow </w:t>
      </w:r>
      <w:r w:rsidR="00AC52BB">
        <w:t xml:space="preserve">unaffordability threshold (imaginary rent </w:t>
      </w:r>
      <w:proofErr w:type="gramStart"/>
      <w:r w:rsidR="00AC52BB">
        <w:t>/</w:t>
      </w:r>
      <w:r w:rsidR="008C3A8A">
        <w:t>(</w:t>
      </w:r>
      <w:proofErr w:type="gramEnd"/>
      <w:r w:rsidR="00AC52BB">
        <w:t>income+ imaginary rent</w:t>
      </w:r>
      <w:r w:rsidR="008C3A8A">
        <w:t>)</w:t>
      </w:r>
      <w:r w:rsidR="00AC52BB">
        <w:t xml:space="preserve">) </w:t>
      </w:r>
      <w:r w:rsidR="00AC4266">
        <w:t xml:space="preserve">in </w:t>
      </w:r>
      <w:r w:rsidR="00AC4266" w:rsidRPr="00AA5768">
        <w:t>urban</w:t>
      </w:r>
      <w:r w:rsidR="00AA5768">
        <w:t xml:space="preserve"> and rural areas </w:t>
      </w:r>
    </w:p>
    <w:p w14:paraId="763ABA6F" w14:textId="48FE2499" w:rsidR="00082663" w:rsidRDefault="00082663" w:rsidP="00976D0B">
      <w:pPr>
        <w:tabs>
          <w:tab w:val="left" w:pos="4200"/>
        </w:tabs>
        <w:jc w:val="both"/>
        <w:rPr>
          <w:rFonts w:cstheme="minorHAnsi"/>
        </w:rPr>
      </w:pPr>
      <w:r>
        <w:rPr>
          <w:noProof/>
        </w:rPr>
        <w:t xml:space="preserve"> </w:t>
      </w:r>
      <w:r w:rsidR="006762AB">
        <w:rPr>
          <w:noProof/>
        </w:rPr>
        <w:tab/>
      </w:r>
    </w:p>
    <w:p w14:paraId="460F2757" w14:textId="77777777" w:rsidR="00082663" w:rsidRDefault="00082663" w:rsidP="00976D0B">
      <w:pPr>
        <w:jc w:val="both"/>
        <w:rPr>
          <w:rFonts w:cstheme="minorHAnsi"/>
        </w:rPr>
      </w:pPr>
    </w:p>
    <w:p w14:paraId="4E65078D" w14:textId="6A9DCFC3" w:rsidR="00082663" w:rsidRDefault="00207929" w:rsidP="00976D0B">
      <w:pPr>
        <w:tabs>
          <w:tab w:val="left" w:pos="5280"/>
        </w:tabs>
        <w:jc w:val="both"/>
        <w:rPr>
          <w:rFonts w:cstheme="minorHAnsi"/>
        </w:rPr>
      </w:pPr>
      <w:r>
        <w:rPr>
          <w:rFonts w:cstheme="minorHAnsi"/>
        </w:rPr>
        <w:tab/>
      </w:r>
    </w:p>
    <w:p w14:paraId="14DF88FD" w14:textId="77777777" w:rsidR="00082663" w:rsidRDefault="00082663" w:rsidP="00976D0B">
      <w:pPr>
        <w:jc w:val="both"/>
        <w:rPr>
          <w:rFonts w:cstheme="minorHAnsi"/>
        </w:rPr>
      </w:pPr>
    </w:p>
    <w:p w14:paraId="5E970070" w14:textId="77777777" w:rsidR="00082663" w:rsidRDefault="00082663" w:rsidP="00976D0B">
      <w:pPr>
        <w:jc w:val="both"/>
        <w:rPr>
          <w:rFonts w:cstheme="minorHAnsi"/>
        </w:rPr>
      </w:pPr>
    </w:p>
    <w:p w14:paraId="61F8C12C" w14:textId="77777777" w:rsidR="00082663" w:rsidRDefault="00082663" w:rsidP="00976D0B">
      <w:pPr>
        <w:jc w:val="both"/>
        <w:rPr>
          <w:rFonts w:cstheme="minorHAnsi"/>
        </w:rPr>
      </w:pPr>
    </w:p>
    <w:p w14:paraId="65D87EB7" w14:textId="3D8213E3" w:rsidR="005E6E98" w:rsidRDefault="005E6E98" w:rsidP="00976D0B">
      <w:pPr>
        <w:jc w:val="both"/>
        <w:rPr>
          <w:rFonts w:cstheme="minorHAnsi"/>
        </w:rPr>
      </w:pPr>
    </w:p>
    <w:p w14:paraId="348EDF8B" w14:textId="77777777" w:rsidR="003A754D" w:rsidRDefault="003A754D" w:rsidP="00976D0B">
      <w:pPr>
        <w:jc w:val="both"/>
        <w:rPr>
          <w:i/>
          <w:iCs/>
          <w:color w:val="44546A" w:themeColor="text2"/>
          <w:sz w:val="18"/>
          <w:szCs w:val="18"/>
        </w:rPr>
      </w:pPr>
    </w:p>
    <w:p w14:paraId="4241CA66" w14:textId="0493C8E6" w:rsidR="005E6E98" w:rsidRDefault="005E6E98" w:rsidP="00976D0B">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6642DDEA" w14:textId="1839A800" w:rsidR="000745BD" w:rsidRDefault="00082663" w:rsidP="00976D0B">
      <w:pPr>
        <w:jc w:val="both"/>
        <w:rPr>
          <w:rFonts w:cstheme="minorHAnsi"/>
        </w:rPr>
      </w:pPr>
      <w:r>
        <w:rPr>
          <w:rFonts w:cstheme="minorHAnsi"/>
        </w:rPr>
        <w:t xml:space="preserve">Observing the extended version of shadow unaffordability, </w:t>
      </w:r>
      <w:r w:rsidR="0043630D">
        <w:rPr>
          <w:rFonts w:cstheme="minorHAnsi"/>
        </w:rPr>
        <w:t>the</w:t>
      </w:r>
      <w:r>
        <w:rPr>
          <w:rFonts w:cstheme="minorHAnsi"/>
        </w:rPr>
        <w:t xml:space="preserve"> trend</w:t>
      </w:r>
      <w:r w:rsidR="006E13CF">
        <w:rPr>
          <w:rFonts w:cstheme="minorHAnsi"/>
        </w:rPr>
        <w:t>s</w:t>
      </w:r>
      <w:r>
        <w:rPr>
          <w:rFonts w:cstheme="minorHAnsi"/>
        </w:rPr>
        <w:t xml:space="preserve"> </w:t>
      </w:r>
      <w:r w:rsidR="006E13CF">
        <w:rPr>
          <w:rFonts w:cstheme="minorHAnsi"/>
        </w:rPr>
        <w:t>might be considered</w:t>
      </w:r>
      <w:r>
        <w:rPr>
          <w:rFonts w:cstheme="minorHAnsi"/>
        </w:rPr>
        <w:t xml:space="preserve"> </w:t>
      </w:r>
      <w:r w:rsidR="0043630D">
        <w:rPr>
          <w:rFonts w:cstheme="minorHAnsi"/>
        </w:rPr>
        <w:t xml:space="preserve">slightly </w:t>
      </w:r>
      <w:r>
        <w:rPr>
          <w:rFonts w:cstheme="minorHAnsi"/>
        </w:rPr>
        <w:t xml:space="preserve">downward sloping for </w:t>
      </w:r>
      <w:r w:rsidR="0043630D">
        <w:rPr>
          <w:rFonts w:cstheme="minorHAnsi"/>
        </w:rPr>
        <w:t xml:space="preserve">both </w:t>
      </w:r>
      <w:r w:rsidR="0021680A">
        <w:rPr>
          <w:rFonts w:cstheme="minorHAnsi"/>
        </w:rPr>
        <w:t>urban</w:t>
      </w:r>
      <w:r>
        <w:rPr>
          <w:rFonts w:cstheme="minorHAnsi"/>
        </w:rPr>
        <w:t xml:space="preserve"> </w:t>
      </w:r>
      <w:r w:rsidR="0043630D">
        <w:rPr>
          <w:rFonts w:cstheme="minorHAnsi"/>
        </w:rPr>
        <w:t xml:space="preserve">and </w:t>
      </w:r>
      <w:r w:rsidR="0021680A">
        <w:rPr>
          <w:rFonts w:cstheme="minorHAnsi"/>
        </w:rPr>
        <w:t>rural</w:t>
      </w:r>
      <w:r w:rsidR="0043630D">
        <w:rPr>
          <w:rFonts w:cstheme="minorHAnsi"/>
        </w:rPr>
        <w:t xml:space="preserve"> </w:t>
      </w:r>
      <w:r>
        <w:rPr>
          <w:rFonts w:cstheme="minorHAnsi"/>
        </w:rPr>
        <w:t>areas</w:t>
      </w:r>
      <w:r w:rsidR="00A44ED5">
        <w:rPr>
          <w:rFonts w:cstheme="minorHAnsi"/>
        </w:rPr>
        <w:t>.</w:t>
      </w:r>
      <w:r w:rsidR="0043630D">
        <w:rPr>
          <w:rFonts w:cstheme="minorHAnsi"/>
        </w:rPr>
        <w:t xml:space="preserve"> </w:t>
      </w:r>
      <w:r w:rsidR="006E13CF">
        <w:rPr>
          <w:rFonts w:cstheme="minorHAnsi"/>
        </w:rPr>
        <w:t>According to this indicator,</w:t>
      </w:r>
      <w:r w:rsidR="00002A62">
        <w:rPr>
          <w:rFonts w:cstheme="minorHAnsi"/>
        </w:rPr>
        <w:t xml:space="preserve"> unsurprisingly, the share of </w:t>
      </w:r>
      <w:r w:rsidR="00CF7300">
        <w:rPr>
          <w:rFonts w:cstheme="minorHAnsi"/>
        </w:rPr>
        <w:t>household experiencing unaffordability issues grows even larger</w:t>
      </w:r>
      <w:r w:rsidR="00A44ED5">
        <w:rPr>
          <w:rFonts w:cstheme="minorHAnsi"/>
        </w:rPr>
        <w:t>.</w:t>
      </w:r>
      <w:r>
        <w:rPr>
          <w:rFonts w:cstheme="minorHAnsi"/>
        </w:rPr>
        <w:t xml:space="preserve"> The </w:t>
      </w:r>
      <w:r w:rsidR="00CF7300">
        <w:rPr>
          <w:rFonts w:cstheme="minorHAnsi"/>
        </w:rPr>
        <w:t>shares fluctuate</w:t>
      </w:r>
      <w:r>
        <w:rPr>
          <w:rFonts w:cstheme="minorHAnsi"/>
        </w:rPr>
        <w:t xml:space="preserve"> </w:t>
      </w:r>
      <w:r w:rsidR="00CF7300">
        <w:rPr>
          <w:rFonts w:cstheme="minorHAnsi"/>
        </w:rPr>
        <w:t xml:space="preserve">over the years </w:t>
      </w:r>
      <w:r>
        <w:rPr>
          <w:rFonts w:cstheme="minorHAnsi"/>
        </w:rPr>
        <w:t>between 18</w:t>
      </w:r>
      <w:r w:rsidR="00A07D82">
        <w:rPr>
          <w:rFonts w:cstheme="minorHAnsi"/>
        </w:rPr>
        <w:t>.</w:t>
      </w:r>
      <w:r>
        <w:rPr>
          <w:rFonts w:cstheme="minorHAnsi"/>
        </w:rPr>
        <w:t>4% and 30</w:t>
      </w:r>
      <w:r w:rsidR="00A07D82">
        <w:rPr>
          <w:rFonts w:cstheme="minorHAnsi"/>
        </w:rPr>
        <w:t>.</w:t>
      </w:r>
      <w:r>
        <w:rPr>
          <w:rFonts w:cstheme="minorHAnsi"/>
        </w:rPr>
        <w:t xml:space="preserve">6% for </w:t>
      </w:r>
      <w:r w:rsidR="0021680A">
        <w:rPr>
          <w:rFonts w:cstheme="minorHAnsi"/>
        </w:rPr>
        <w:t>urban</w:t>
      </w:r>
      <w:r>
        <w:rPr>
          <w:rFonts w:cstheme="minorHAnsi"/>
        </w:rPr>
        <w:t xml:space="preserve"> areas, </w:t>
      </w:r>
      <w:r w:rsidR="00CF7300">
        <w:rPr>
          <w:rFonts w:cstheme="minorHAnsi"/>
        </w:rPr>
        <w:t>and</w:t>
      </w:r>
      <w:r>
        <w:rPr>
          <w:rFonts w:cstheme="minorHAnsi"/>
        </w:rPr>
        <w:t xml:space="preserve"> between 5</w:t>
      </w:r>
      <w:r w:rsidR="00A07D82">
        <w:rPr>
          <w:rFonts w:cstheme="minorHAnsi"/>
        </w:rPr>
        <w:t>.</w:t>
      </w:r>
      <w:r>
        <w:rPr>
          <w:rFonts w:cstheme="minorHAnsi"/>
        </w:rPr>
        <w:t>4% and 15</w:t>
      </w:r>
      <w:r w:rsidR="00A07D82">
        <w:rPr>
          <w:rFonts w:cstheme="minorHAnsi"/>
        </w:rPr>
        <w:t>.</w:t>
      </w:r>
      <w:r>
        <w:rPr>
          <w:rFonts w:cstheme="minorHAnsi"/>
        </w:rPr>
        <w:t xml:space="preserve">4% </w:t>
      </w:r>
      <w:r w:rsidR="00FB5BEA">
        <w:rPr>
          <w:rFonts w:cstheme="minorHAnsi"/>
        </w:rPr>
        <w:t>in</w:t>
      </w:r>
      <w:r>
        <w:rPr>
          <w:rFonts w:cstheme="minorHAnsi"/>
        </w:rPr>
        <w:t xml:space="preserve"> </w:t>
      </w:r>
      <w:r w:rsidR="0021680A">
        <w:rPr>
          <w:rFonts w:cstheme="minorHAnsi"/>
        </w:rPr>
        <w:t>rural</w:t>
      </w:r>
      <w:r>
        <w:rPr>
          <w:rFonts w:cstheme="minorHAnsi"/>
        </w:rPr>
        <w:t xml:space="preserve"> </w:t>
      </w:r>
      <w:r w:rsidR="00A44ED5">
        <w:rPr>
          <w:rFonts w:cstheme="minorHAnsi"/>
        </w:rPr>
        <w:t xml:space="preserve">areas. </w:t>
      </w:r>
      <w:r>
        <w:rPr>
          <w:rFonts w:cstheme="minorHAnsi"/>
        </w:rPr>
        <w:t>As for the last observation year</w:t>
      </w:r>
      <w:r w:rsidR="00D06A0D">
        <w:rPr>
          <w:rFonts w:cstheme="minorHAnsi"/>
        </w:rPr>
        <w:t xml:space="preserve"> (</w:t>
      </w:r>
      <w:r>
        <w:rPr>
          <w:rFonts w:cstheme="minorHAnsi"/>
        </w:rPr>
        <w:t>2018</w:t>
      </w:r>
      <w:r w:rsidR="00D06A0D">
        <w:rPr>
          <w:rFonts w:cstheme="minorHAnsi"/>
        </w:rPr>
        <w:t>)</w:t>
      </w:r>
      <w:r>
        <w:rPr>
          <w:rFonts w:cstheme="minorHAnsi"/>
        </w:rPr>
        <w:t xml:space="preserve">, the shadow unaffordability indicator for </w:t>
      </w:r>
      <w:r w:rsidR="0021680A">
        <w:rPr>
          <w:rFonts w:cstheme="minorHAnsi"/>
        </w:rPr>
        <w:t>urban</w:t>
      </w:r>
      <w:r w:rsidR="009871BE">
        <w:rPr>
          <w:rFonts w:cstheme="minorHAnsi"/>
        </w:rPr>
        <w:t xml:space="preserve"> and</w:t>
      </w:r>
      <w:r>
        <w:rPr>
          <w:rFonts w:cstheme="minorHAnsi"/>
        </w:rPr>
        <w:t xml:space="preserve"> </w:t>
      </w:r>
      <w:r w:rsidR="0021680A">
        <w:rPr>
          <w:rFonts w:cstheme="minorHAnsi"/>
        </w:rPr>
        <w:t>rural</w:t>
      </w:r>
      <w:r>
        <w:rPr>
          <w:rFonts w:cstheme="minorHAnsi"/>
        </w:rPr>
        <w:t xml:space="preserve"> areas </w:t>
      </w:r>
      <w:r w:rsidR="009871BE">
        <w:rPr>
          <w:rFonts w:cstheme="minorHAnsi"/>
        </w:rPr>
        <w:t>are</w:t>
      </w:r>
      <w:r>
        <w:rPr>
          <w:rFonts w:cstheme="minorHAnsi"/>
        </w:rPr>
        <w:t xml:space="preserve"> 22</w:t>
      </w:r>
      <w:r w:rsidR="00A07D82">
        <w:rPr>
          <w:rFonts w:cstheme="minorHAnsi"/>
        </w:rPr>
        <w:t>.</w:t>
      </w:r>
      <w:r>
        <w:rPr>
          <w:rFonts w:cstheme="minorHAnsi"/>
        </w:rPr>
        <w:t>6%</w:t>
      </w:r>
      <w:r w:rsidR="009871BE">
        <w:rPr>
          <w:rFonts w:cstheme="minorHAnsi"/>
        </w:rPr>
        <w:t xml:space="preserve"> and </w:t>
      </w:r>
      <w:r>
        <w:rPr>
          <w:rFonts w:cstheme="minorHAnsi"/>
        </w:rPr>
        <w:t>11</w:t>
      </w:r>
      <w:r w:rsidR="00A07D82">
        <w:rPr>
          <w:rFonts w:cstheme="minorHAnsi"/>
        </w:rPr>
        <w:t>.</w:t>
      </w:r>
      <w:r>
        <w:rPr>
          <w:rFonts w:cstheme="minorHAnsi"/>
        </w:rPr>
        <w:t>3%</w:t>
      </w:r>
      <w:r w:rsidR="009871BE">
        <w:rPr>
          <w:rFonts w:cstheme="minorHAnsi"/>
        </w:rPr>
        <w:t>,</w:t>
      </w:r>
      <w:r w:rsidR="005E6E98">
        <w:rPr>
          <w:rFonts w:cstheme="minorHAnsi"/>
        </w:rPr>
        <w:t xml:space="preserve"> </w:t>
      </w:r>
      <w:r w:rsidR="006B1DDE">
        <w:rPr>
          <w:rFonts w:cstheme="minorHAnsi"/>
        </w:rPr>
        <w:t>respectively (</w:t>
      </w:r>
      <w:r w:rsidR="00A07D82">
        <w:rPr>
          <w:rFonts w:cstheme="minorHAnsi"/>
        </w:rPr>
        <w:t>Figure 36).</w:t>
      </w:r>
    </w:p>
    <w:p w14:paraId="34CB00D2" w14:textId="5016D1FB" w:rsidR="00AC52BB" w:rsidRPr="00AC52BB" w:rsidRDefault="00A44ED5" w:rsidP="00501A83">
      <w:pPr>
        <w:pStyle w:val="Caption"/>
      </w:pPr>
      <w:r>
        <w:rPr>
          <w:noProof/>
        </w:rPr>
        <w:drawing>
          <wp:anchor distT="0" distB="0" distL="114300" distR="114300" simplePos="0" relativeHeight="251674624" behindDoc="1" locked="0" layoutInCell="1" allowOverlap="1" wp14:anchorId="1684B92B" wp14:editId="1BA68E3B">
            <wp:simplePos x="0" y="0"/>
            <wp:positionH relativeFrom="margin">
              <wp:posOffset>2857500</wp:posOffset>
            </wp:positionH>
            <wp:positionV relativeFrom="paragraph">
              <wp:posOffset>307974</wp:posOffset>
            </wp:positionV>
            <wp:extent cx="2838450" cy="2181225"/>
            <wp:effectExtent l="0" t="0" r="0" b="9525"/>
            <wp:wrapNone/>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1" locked="0" layoutInCell="1" allowOverlap="1" wp14:anchorId="59B88EA0" wp14:editId="1C3DE737">
            <wp:simplePos x="0" y="0"/>
            <wp:positionH relativeFrom="margin">
              <wp:posOffset>-38100</wp:posOffset>
            </wp:positionH>
            <wp:positionV relativeFrom="paragraph">
              <wp:posOffset>327025</wp:posOffset>
            </wp:positionV>
            <wp:extent cx="2867025" cy="2162175"/>
            <wp:effectExtent l="0" t="0" r="9525" b="9525"/>
            <wp:wrapNone/>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082663">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36</w:t>
      </w:r>
      <w:r w:rsidR="006C3BD6">
        <w:rPr>
          <w:noProof/>
        </w:rPr>
        <w:fldChar w:fldCharType="end"/>
      </w:r>
      <w:r w:rsidR="00082663">
        <w:t xml:space="preserve">:  </w:t>
      </w:r>
      <w:r w:rsidR="00AC52BB">
        <w:t>The share of households exceeding the</w:t>
      </w:r>
      <w:r>
        <w:t xml:space="preserve"> extended shadow</w:t>
      </w:r>
      <w:r w:rsidR="00AC52BB">
        <w:t xml:space="preserve"> unaffordability threshold </w:t>
      </w:r>
      <w:r w:rsidR="008C3A8A">
        <w:t>(</w:t>
      </w:r>
      <w:r w:rsidR="00AC52BB">
        <w:t>(imaginary rent</w:t>
      </w:r>
      <w:r w:rsidR="00C97410">
        <w:t xml:space="preserve"> </w:t>
      </w:r>
      <w:r w:rsidR="00AC52BB">
        <w:t>+</w:t>
      </w:r>
      <w:r w:rsidR="00C97410">
        <w:t xml:space="preserve"> </w:t>
      </w:r>
      <w:r w:rsidR="00AC52BB">
        <w:t>exp</w:t>
      </w:r>
      <w:r w:rsidR="008C3A8A">
        <w:t>enditure)</w:t>
      </w:r>
      <w:r w:rsidR="00AC52BB">
        <w:t xml:space="preserve"> </w:t>
      </w:r>
      <w:proofErr w:type="gramStart"/>
      <w:r w:rsidR="00AC52BB">
        <w:t>/</w:t>
      </w:r>
      <w:r w:rsidR="008C3A8A">
        <w:t>(</w:t>
      </w:r>
      <w:proofErr w:type="gramEnd"/>
      <w:r w:rsidR="00AC52BB">
        <w:t>income+ imaginary rent</w:t>
      </w:r>
      <w:r w:rsidR="008C3A8A">
        <w:t>)</w:t>
      </w:r>
      <w:r w:rsidR="00AC52BB">
        <w:t xml:space="preserve">) in </w:t>
      </w:r>
      <w:r w:rsidR="00AA5768">
        <w:t xml:space="preserve">urban and rural areas </w:t>
      </w:r>
    </w:p>
    <w:p w14:paraId="46EF7CE0" w14:textId="04112C65" w:rsidR="00AC52BB" w:rsidRPr="00AC52BB" w:rsidRDefault="00AC52BB" w:rsidP="00AC52BB"/>
    <w:p w14:paraId="36B903F6" w14:textId="77777777" w:rsidR="00082663" w:rsidRDefault="00082663" w:rsidP="00976D0B">
      <w:pPr>
        <w:jc w:val="both"/>
        <w:rPr>
          <w:rFonts w:cstheme="minorHAnsi"/>
        </w:rPr>
      </w:pPr>
    </w:p>
    <w:p w14:paraId="72D9BD6B" w14:textId="77777777" w:rsidR="00082663" w:rsidRDefault="00082663" w:rsidP="00976D0B">
      <w:pPr>
        <w:jc w:val="both"/>
        <w:rPr>
          <w:rFonts w:cstheme="minorHAnsi"/>
        </w:rPr>
      </w:pPr>
    </w:p>
    <w:p w14:paraId="2644B5E6" w14:textId="5101EC2F" w:rsidR="00082663" w:rsidRDefault="00B62760" w:rsidP="00976D0B">
      <w:pPr>
        <w:tabs>
          <w:tab w:val="left" w:pos="5520"/>
        </w:tabs>
        <w:jc w:val="both"/>
        <w:rPr>
          <w:rFonts w:cstheme="minorHAnsi"/>
        </w:rPr>
      </w:pPr>
      <w:r>
        <w:rPr>
          <w:rFonts w:cstheme="minorHAnsi"/>
        </w:rPr>
        <w:tab/>
      </w:r>
    </w:p>
    <w:p w14:paraId="3502EE21" w14:textId="2E7A6F9F" w:rsidR="00082663" w:rsidRDefault="00082663" w:rsidP="00976D0B">
      <w:pPr>
        <w:jc w:val="both"/>
        <w:rPr>
          <w:rFonts w:cstheme="minorHAnsi"/>
        </w:rPr>
      </w:pPr>
    </w:p>
    <w:p w14:paraId="71E03AF0" w14:textId="77777777" w:rsidR="00A44ED5" w:rsidRDefault="00A44ED5" w:rsidP="00976D0B">
      <w:pPr>
        <w:jc w:val="both"/>
        <w:rPr>
          <w:rFonts w:cstheme="minorHAnsi"/>
        </w:rPr>
      </w:pPr>
    </w:p>
    <w:p w14:paraId="186964E4" w14:textId="3008D6EC" w:rsidR="00A44ED5" w:rsidRDefault="00A44ED5" w:rsidP="00976D0B">
      <w:pPr>
        <w:jc w:val="both"/>
        <w:rPr>
          <w:i/>
          <w:iCs/>
          <w:color w:val="44546A" w:themeColor="text2"/>
          <w:sz w:val="18"/>
          <w:szCs w:val="18"/>
        </w:rPr>
      </w:pPr>
    </w:p>
    <w:p w14:paraId="5E29EB15" w14:textId="77777777" w:rsidR="00A44ED5" w:rsidRDefault="00A44ED5" w:rsidP="00976D0B">
      <w:pPr>
        <w:jc w:val="both"/>
        <w:rPr>
          <w:i/>
          <w:iCs/>
          <w:color w:val="44546A" w:themeColor="text2"/>
          <w:sz w:val="18"/>
          <w:szCs w:val="18"/>
        </w:rPr>
      </w:pPr>
    </w:p>
    <w:p w14:paraId="63EA4986" w14:textId="5994C29D" w:rsidR="00A44ED5" w:rsidRDefault="00B62760" w:rsidP="00976D0B">
      <w:pPr>
        <w:jc w:val="both"/>
        <w:rPr>
          <w:rFonts w:cstheme="minorHAnsi"/>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155BE76" w14:textId="1589D62D" w:rsidR="00B62760" w:rsidRPr="006228D0" w:rsidRDefault="00082663" w:rsidP="00976D0B">
      <w:pPr>
        <w:jc w:val="both"/>
        <w:rPr>
          <w:rFonts w:cstheme="minorHAnsi"/>
          <w:color w:val="FF0000"/>
        </w:rPr>
      </w:pPr>
      <w:r>
        <w:rPr>
          <w:rFonts w:cstheme="minorHAnsi"/>
        </w:rPr>
        <w:lastRenderedPageBreak/>
        <w:t xml:space="preserve">The last subcategory of insecure housing are </w:t>
      </w:r>
      <w:r w:rsidRPr="006066AB">
        <w:rPr>
          <w:rFonts w:cstheme="minorHAnsi"/>
          <w:b/>
          <w:bCs/>
          <w:i/>
          <w:iCs/>
        </w:rPr>
        <w:t>people who live under the threat of violence</w:t>
      </w:r>
      <w:r w:rsidR="00693F58">
        <w:rPr>
          <w:rFonts w:cstheme="minorHAnsi"/>
          <w:b/>
          <w:bCs/>
          <w:i/>
          <w:iCs/>
        </w:rPr>
        <w:t>.</w:t>
      </w:r>
      <w:r w:rsidR="00B62760">
        <w:rPr>
          <w:rFonts w:cstheme="minorHAnsi"/>
        </w:rPr>
        <w:t xml:space="preserve"> </w:t>
      </w:r>
    </w:p>
    <w:p w14:paraId="73B5C696" w14:textId="34DB4654" w:rsidR="000B2486" w:rsidRDefault="00DD2E0F" w:rsidP="00976D0B">
      <w:pPr>
        <w:jc w:val="both"/>
      </w:pPr>
      <w:r>
        <w:rPr>
          <w:rFonts w:cstheme="minorHAnsi"/>
        </w:rPr>
        <w:t>The a</w:t>
      </w:r>
      <w:r w:rsidR="00082663">
        <w:rPr>
          <w:rFonts w:cstheme="minorHAnsi"/>
        </w:rPr>
        <w:t xml:space="preserve">nalytical department of </w:t>
      </w:r>
      <w:r>
        <w:rPr>
          <w:rFonts w:cstheme="minorHAnsi"/>
        </w:rPr>
        <w:t xml:space="preserve">the </w:t>
      </w:r>
      <w:r w:rsidR="00082663">
        <w:rPr>
          <w:rFonts w:cstheme="minorHAnsi"/>
        </w:rPr>
        <w:t>Ministry of Internal Affairs publish</w:t>
      </w:r>
      <w:r>
        <w:rPr>
          <w:rFonts w:cstheme="minorHAnsi"/>
        </w:rPr>
        <w:t>es</w:t>
      </w:r>
      <w:r w:rsidR="00082663">
        <w:rPr>
          <w:rFonts w:cstheme="minorHAnsi"/>
        </w:rPr>
        <w:t xml:space="preserve"> public information about domestic violence since </w:t>
      </w:r>
      <w:r w:rsidR="007849E1">
        <w:rPr>
          <w:rFonts w:cstheme="minorHAnsi"/>
        </w:rPr>
        <w:t xml:space="preserve">the year </w:t>
      </w:r>
      <w:r w:rsidR="00082663">
        <w:rPr>
          <w:rFonts w:cstheme="minorHAnsi"/>
        </w:rPr>
        <w:t>2015</w:t>
      </w:r>
      <w:r w:rsidR="00693F58">
        <w:rPr>
          <w:rFonts w:cstheme="minorHAnsi"/>
        </w:rPr>
        <w:t>.</w:t>
      </w:r>
      <w:r w:rsidR="00082663">
        <w:rPr>
          <w:rFonts w:cstheme="minorHAnsi"/>
        </w:rPr>
        <w:t xml:space="preserve"> They provide the information about the number of domestic violence cases and also </w:t>
      </w:r>
      <w:r w:rsidR="007849E1">
        <w:rPr>
          <w:rFonts w:cstheme="minorHAnsi"/>
        </w:rPr>
        <w:t xml:space="preserve">the </w:t>
      </w:r>
      <w:r w:rsidR="00082663">
        <w:rPr>
          <w:rFonts w:cstheme="minorHAnsi"/>
        </w:rPr>
        <w:t>number of victims</w:t>
      </w:r>
      <w:r w:rsidR="00A44ED5">
        <w:rPr>
          <w:rFonts w:cstheme="minorHAnsi"/>
        </w:rPr>
        <w:t>.</w:t>
      </w:r>
      <w:r w:rsidR="00082663">
        <w:rPr>
          <w:rFonts w:cstheme="minorHAnsi"/>
        </w:rPr>
        <w:t xml:space="preserve"> </w:t>
      </w:r>
      <w:r w:rsidR="007849E1">
        <w:rPr>
          <w:rFonts w:cstheme="minorHAnsi"/>
        </w:rPr>
        <w:t xml:space="preserve">Figure </w:t>
      </w:r>
      <w:r w:rsidR="00693F58">
        <w:rPr>
          <w:rFonts w:cstheme="minorHAnsi"/>
        </w:rPr>
        <w:t>37</w:t>
      </w:r>
      <w:r w:rsidR="00A44ED5">
        <w:rPr>
          <w:rFonts w:cstheme="minorHAnsi"/>
        </w:rPr>
        <w:t xml:space="preserve"> shows </w:t>
      </w:r>
      <w:r w:rsidR="00083474">
        <w:rPr>
          <w:rFonts w:cstheme="minorHAnsi"/>
        </w:rPr>
        <w:t>that the</w:t>
      </w:r>
      <w:r w:rsidR="00082663">
        <w:rPr>
          <w:rFonts w:cstheme="minorHAnsi"/>
        </w:rPr>
        <w:t xml:space="preserve"> trend is upward sloping, which means either the problem is becoming more severe or it is just the case that people lately </w:t>
      </w:r>
      <w:r w:rsidR="003D01A0">
        <w:rPr>
          <w:rFonts w:cstheme="minorHAnsi"/>
        </w:rPr>
        <w:t xml:space="preserve">realize that they should </w:t>
      </w:r>
      <w:r w:rsidR="00082663">
        <w:rPr>
          <w:rFonts w:cstheme="minorHAnsi"/>
        </w:rPr>
        <w:t>announce about domestic violence</w:t>
      </w:r>
      <w:r w:rsidR="00A75F4F">
        <w:rPr>
          <w:rFonts w:cstheme="minorHAnsi"/>
        </w:rPr>
        <w:t xml:space="preserve"> to the police</w:t>
      </w:r>
      <w:r w:rsidR="00A75F4F">
        <w:rPr>
          <w:rStyle w:val="FootnoteReference"/>
          <w:rFonts w:cstheme="minorHAnsi"/>
        </w:rPr>
        <w:footnoteReference w:id="33"/>
      </w:r>
      <w:r w:rsidR="00A75F4F">
        <w:rPr>
          <w:rFonts w:cstheme="minorHAnsi"/>
        </w:rPr>
        <w:t xml:space="preserve"> </w:t>
      </w:r>
      <w:r w:rsidR="00693F58">
        <w:rPr>
          <w:rFonts w:cstheme="minorHAnsi"/>
        </w:rPr>
        <w:t xml:space="preserve">. </w:t>
      </w:r>
      <w:r w:rsidR="003E15BE">
        <w:rPr>
          <w:rFonts w:cstheme="minorHAnsi"/>
        </w:rPr>
        <w:t xml:space="preserve">This is actually fully consistent with the </w:t>
      </w:r>
      <w:r w:rsidR="003E15BE" w:rsidRPr="006066AB">
        <w:rPr>
          <w:rFonts w:cstheme="minorHAnsi"/>
        </w:rPr>
        <w:t>statistics</w:t>
      </w:r>
      <w:r w:rsidR="00082663">
        <w:rPr>
          <w:rFonts w:cstheme="minorHAnsi"/>
        </w:rPr>
        <w:t xml:space="preserve"> </w:t>
      </w:r>
      <w:r w:rsidR="003E15BE">
        <w:rPr>
          <w:rFonts w:cstheme="minorHAnsi"/>
        </w:rPr>
        <w:t xml:space="preserve">about </w:t>
      </w:r>
      <w:r w:rsidR="00A44ED5">
        <w:rPr>
          <w:rFonts w:cstheme="minorHAnsi"/>
        </w:rPr>
        <w:t>t</w:t>
      </w:r>
      <w:r w:rsidR="003E15BE" w:rsidRPr="00610BE1">
        <w:rPr>
          <w:rFonts w:cstheme="minorHAnsi"/>
        </w:rPr>
        <w:t xml:space="preserve">he </w:t>
      </w:r>
      <w:r w:rsidR="00A44ED5" w:rsidRPr="00610BE1">
        <w:rPr>
          <w:rFonts w:cstheme="minorHAnsi"/>
        </w:rPr>
        <w:t>numbers</w:t>
      </w:r>
      <w:r w:rsidR="003E15BE" w:rsidRPr="00610BE1">
        <w:rPr>
          <w:rFonts w:cstheme="minorHAnsi"/>
        </w:rPr>
        <w:t xml:space="preserve"> of beneficiaries in domestic violence centers</w:t>
      </w:r>
      <w:r w:rsidR="000B2486" w:rsidRPr="00CF01FB">
        <w:rPr>
          <w:rFonts w:cstheme="minorHAnsi"/>
        </w:rPr>
        <w:t>, discussed previously</w:t>
      </w:r>
      <w:r w:rsidR="00693F58">
        <w:t>.</w:t>
      </w:r>
    </w:p>
    <w:p w14:paraId="7C447DA7" w14:textId="561E56AF" w:rsidR="007C44B3" w:rsidRDefault="00082663" w:rsidP="00976D0B">
      <w:pPr>
        <w:jc w:val="both"/>
        <w:rPr>
          <w:rFonts w:cstheme="minorHAnsi"/>
        </w:rPr>
      </w:pPr>
      <w:r>
        <w:rPr>
          <w:rFonts w:cstheme="minorHAnsi"/>
        </w:rPr>
        <w:t xml:space="preserve">The number of cases </w:t>
      </w:r>
      <w:r w:rsidR="003D01A0">
        <w:rPr>
          <w:rFonts w:cstheme="minorHAnsi"/>
        </w:rPr>
        <w:t>has</w:t>
      </w:r>
      <w:r>
        <w:rPr>
          <w:rFonts w:cstheme="minorHAnsi"/>
        </w:rPr>
        <w:t xml:space="preserve"> increased from 2722 to 5399 during the observation period, while the number of victims </w:t>
      </w:r>
      <w:r w:rsidR="003D01A0">
        <w:rPr>
          <w:rFonts w:cstheme="minorHAnsi"/>
        </w:rPr>
        <w:t>has</w:t>
      </w:r>
      <w:r>
        <w:rPr>
          <w:rFonts w:cstheme="minorHAnsi"/>
        </w:rPr>
        <w:t xml:space="preserve"> increased from 2638 to 6893</w:t>
      </w:r>
      <w:r w:rsidR="00842C1C">
        <w:rPr>
          <w:rFonts w:cstheme="minorHAnsi"/>
        </w:rPr>
        <w:t xml:space="preserve"> (Figure 37).</w:t>
      </w:r>
      <w:r>
        <w:rPr>
          <w:rFonts w:cstheme="minorHAnsi"/>
        </w:rPr>
        <w:t xml:space="preserve"> </w:t>
      </w:r>
      <w:r w:rsidR="003420DE">
        <w:rPr>
          <w:rFonts w:cstheme="minorHAnsi"/>
        </w:rPr>
        <w:t>The data below indicates that d</w:t>
      </w:r>
      <w:r>
        <w:rPr>
          <w:rFonts w:cstheme="minorHAnsi"/>
        </w:rPr>
        <w:t>omestic violence might happen for the same individuals for more than once</w:t>
      </w:r>
      <w:r w:rsidR="003420DE">
        <w:rPr>
          <w:rFonts w:cstheme="minorHAnsi"/>
        </w:rPr>
        <w:t>.</w:t>
      </w:r>
      <w:r>
        <w:rPr>
          <w:rFonts w:cstheme="minorHAnsi"/>
        </w:rPr>
        <w:t xml:space="preserve"> If it is assumed that </w:t>
      </w:r>
      <w:r w:rsidR="000B2486">
        <w:rPr>
          <w:rFonts w:cstheme="minorHAnsi"/>
        </w:rPr>
        <w:t xml:space="preserve">all </w:t>
      </w:r>
      <w:r>
        <w:rPr>
          <w:rFonts w:cstheme="minorHAnsi"/>
        </w:rPr>
        <w:t>victim</w:t>
      </w:r>
      <w:r w:rsidR="003420DE">
        <w:rPr>
          <w:rFonts w:cstheme="minorHAnsi"/>
        </w:rPr>
        <w:t>s</w:t>
      </w:r>
      <w:r>
        <w:rPr>
          <w:rFonts w:cstheme="minorHAnsi"/>
        </w:rPr>
        <w:t xml:space="preserve"> </w:t>
      </w:r>
      <w:r w:rsidR="003420DE">
        <w:rPr>
          <w:rFonts w:cstheme="minorHAnsi"/>
        </w:rPr>
        <w:t>belong</w:t>
      </w:r>
      <w:r w:rsidR="000B2486">
        <w:rPr>
          <w:rFonts w:cstheme="minorHAnsi"/>
        </w:rPr>
        <w:t xml:space="preserve"> to different </w:t>
      </w:r>
      <w:r>
        <w:rPr>
          <w:rFonts w:cstheme="minorHAnsi"/>
        </w:rPr>
        <w:t>households</w:t>
      </w:r>
      <w:r w:rsidR="000B2486">
        <w:rPr>
          <w:rFonts w:cstheme="minorHAnsi"/>
        </w:rPr>
        <w:t>,</w:t>
      </w:r>
      <w:r>
        <w:rPr>
          <w:rFonts w:cstheme="minorHAnsi"/>
        </w:rPr>
        <w:t xml:space="preserve"> the share of the households under the domestic violence </w:t>
      </w:r>
      <w:r w:rsidR="000B2486">
        <w:rPr>
          <w:rFonts w:cstheme="minorHAnsi"/>
        </w:rPr>
        <w:t>amounts</w:t>
      </w:r>
      <w:r>
        <w:rPr>
          <w:rFonts w:cstheme="minorHAnsi"/>
        </w:rPr>
        <w:t xml:space="preserve"> to 0</w:t>
      </w:r>
      <w:r w:rsidR="00A07D82">
        <w:rPr>
          <w:rFonts w:cstheme="minorHAnsi"/>
        </w:rPr>
        <w:t>.</w:t>
      </w:r>
      <w:r>
        <w:rPr>
          <w:rFonts w:cstheme="minorHAnsi"/>
        </w:rPr>
        <w:t>25% (0</w:t>
      </w:r>
      <w:r w:rsidR="00A07D82">
        <w:rPr>
          <w:rFonts w:cstheme="minorHAnsi"/>
        </w:rPr>
        <w:t>.</w:t>
      </w:r>
      <w:r>
        <w:rPr>
          <w:rFonts w:cstheme="minorHAnsi"/>
        </w:rPr>
        <w:t>07% of total population</w:t>
      </w:r>
      <w:r>
        <w:rPr>
          <w:rStyle w:val="FootnoteReference"/>
          <w:rFonts w:cstheme="minorHAnsi"/>
        </w:rPr>
        <w:footnoteReference w:id="34"/>
      </w:r>
      <w:r>
        <w:rPr>
          <w:rFonts w:cstheme="minorHAnsi"/>
        </w:rPr>
        <w:t>) in 2015 and increases to up to 0</w:t>
      </w:r>
      <w:r w:rsidR="00A07D82">
        <w:rPr>
          <w:rFonts w:cstheme="minorHAnsi"/>
        </w:rPr>
        <w:t>.</w:t>
      </w:r>
      <w:r>
        <w:rPr>
          <w:rFonts w:cstheme="minorHAnsi"/>
        </w:rPr>
        <w:t>66% (0</w:t>
      </w:r>
      <w:r w:rsidR="00A07D82">
        <w:rPr>
          <w:rFonts w:cstheme="minorHAnsi"/>
        </w:rPr>
        <w:t>.</w:t>
      </w:r>
      <w:r>
        <w:rPr>
          <w:rFonts w:cstheme="minorHAnsi"/>
        </w:rPr>
        <w:t>18% of total population) in 2018</w:t>
      </w:r>
      <w:r w:rsidR="00A07D82">
        <w:rPr>
          <w:rFonts w:cstheme="minorHAnsi"/>
        </w:rPr>
        <w:t>.</w:t>
      </w:r>
    </w:p>
    <w:p w14:paraId="704B27BC" w14:textId="16062EAA" w:rsidR="00082663" w:rsidRDefault="00082663" w:rsidP="00976D0B">
      <w:pPr>
        <w:pStyle w:val="Caption"/>
        <w:jc w:val="both"/>
        <w:rPr>
          <w:rFonts w:cstheme="minorHAnsi"/>
        </w:rPr>
      </w:pPr>
      <w:r>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37</w:t>
      </w:r>
      <w:r w:rsidR="006C3BD6">
        <w:rPr>
          <w:noProof/>
        </w:rPr>
        <w:fldChar w:fldCharType="end"/>
      </w:r>
      <w:r>
        <w:t xml:space="preserve">: </w:t>
      </w:r>
      <w:r w:rsidR="00083474">
        <w:t>Number</w:t>
      </w:r>
      <w:r>
        <w:t xml:space="preserve"> cases and victims of </w:t>
      </w:r>
      <w:r w:rsidR="00083474">
        <w:t>d</w:t>
      </w:r>
      <w:r>
        <w:t>omestic</w:t>
      </w:r>
      <w:r w:rsidR="00083474">
        <w:t xml:space="preserve"> v</w:t>
      </w:r>
      <w:r>
        <w:t>iolence in Georgia</w:t>
      </w:r>
    </w:p>
    <w:p w14:paraId="0E405D0C" w14:textId="5155A713" w:rsidR="00082663" w:rsidRDefault="00082663" w:rsidP="00976D0B">
      <w:pPr>
        <w:jc w:val="both"/>
        <w:rPr>
          <w:rFonts w:ascii="Sylfaen" w:hAnsi="Sylfaen" w:cstheme="minorHAnsi"/>
          <w:color w:val="FF0000"/>
        </w:rPr>
      </w:pPr>
      <w:r>
        <w:rPr>
          <w:noProof/>
        </w:rPr>
        <w:drawing>
          <wp:inline distT="0" distB="0" distL="0" distR="0" wp14:anchorId="7C7DC988" wp14:editId="5249F0D3">
            <wp:extent cx="5724525" cy="2324100"/>
            <wp:effectExtent l="0" t="0" r="952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DF76768" w14:textId="5F8A9931" w:rsidR="00092187" w:rsidRDefault="00092187" w:rsidP="00976D0B">
      <w:pPr>
        <w:jc w:val="both"/>
        <w:rPr>
          <w:i/>
          <w:iCs/>
          <w:color w:val="44546A" w:themeColor="text2"/>
          <w:sz w:val="18"/>
          <w:szCs w:val="18"/>
        </w:rPr>
      </w:pPr>
      <w:r>
        <w:rPr>
          <w:i/>
          <w:iCs/>
          <w:color w:val="44546A" w:themeColor="text2"/>
          <w:sz w:val="18"/>
          <w:szCs w:val="18"/>
        </w:rPr>
        <w:t>Source: Ministry of Internal Affairs</w:t>
      </w:r>
    </w:p>
    <w:p w14:paraId="54E56FE8" w14:textId="05703EF3" w:rsidR="007C44B3" w:rsidRPr="00C510FB" w:rsidRDefault="007C44B3" w:rsidP="00976D0B">
      <w:pPr>
        <w:jc w:val="both"/>
        <w:rPr>
          <w:rFonts w:cstheme="minorHAnsi"/>
        </w:rPr>
      </w:pPr>
      <w:r w:rsidRPr="00C510FB">
        <w:rPr>
          <w:rFonts w:cstheme="minorHAnsi"/>
        </w:rPr>
        <w:t>As the number of victims and cases</w:t>
      </w:r>
      <w:r w:rsidR="00C52A2F">
        <w:rPr>
          <w:rFonts w:cstheme="minorHAnsi"/>
        </w:rPr>
        <w:t xml:space="preserve"> is</w:t>
      </w:r>
      <w:r w:rsidRPr="00C510FB">
        <w:rPr>
          <w:rFonts w:cstheme="minorHAnsi"/>
        </w:rPr>
        <w:t xml:space="preserve"> increas</w:t>
      </w:r>
      <w:r w:rsidR="00C52A2F">
        <w:rPr>
          <w:rFonts w:cstheme="minorHAnsi"/>
        </w:rPr>
        <w:t>ing</w:t>
      </w:r>
      <w:r w:rsidRPr="00C510FB">
        <w:rPr>
          <w:rFonts w:cstheme="minorHAnsi"/>
        </w:rPr>
        <w:t xml:space="preserve"> over time</w:t>
      </w:r>
      <w:r>
        <w:rPr>
          <w:rFonts w:cstheme="minorHAnsi"/>
        </w:rPr>
        <w:t xml:space="preserve">, </w:t>
      </w:r>
      <w:r w:rsidR="0097559D">
        <w:rPr>
          <w:rFonts w:cstheme="minorHAnsi"/>
        </w:rPr>
        <w:t xml:space="preserve">we can expect a greater pressure on the social services supporting them and also an increase </w:t>
      </w:r>
      <w:r w:rsidR="00007902">
        <w:rPr>
          <w:rFonts w:cstheme="minorHAnsi"/>
        </w:rPr>
        <w:t xml:space="preserve">in the number of individuals belonging to this category being </w:t>
      </w:r>
      <w:r>
        <w:rPr>
          <w:rFonts w:cstheme="minorHAnsi"/>
        </w:rPr>
        <w:t>exposed to risk of homelessness</w:t>
      </w:r>
      <w:r w:rsidR="00693F58">
        <w:rPr>
          <w:rFonts w:cstheme="minorHAnsi"/>
        </w:rPr>
        <w:t>.</w:t>
      </w:r>
    </w:p>
    <w:p w14:paraId="235C8E57" w14:textId="228601AF" w:rsidR="000602CB" w:rsidRDefault="000602CB" w:rsidP="006066AB">
      <w:pPr>
        <w:jc w:val="both"/>
        <w:rPr>
          <w:b/>
          <w:bCs/>
        </w:rPr>
      </w:pPr>
    </w:p>
    <w:p w14:paraId="09FB6A6C" w14:textId="77777777" w:rsidR="003420DE" w:rsidRDefault="003420DE" w:rsidP="006066AB">
      <w:pPr>
        <w:jc w:val="both"/>
        <w:rPr>
          <w:b/>
          <w:bCs/>
        </w:rPr>
      </w:pPr>
    </w:p>
    <w:p w14:paraId="62A089FE" w14:textId="2F8F3121" w:rsidR="00082663" w:rsidRPr="006066AB" w:rsidRDefault="00082663" w:rsidP="006066AB">
      <w:pPr>
        <w:jc w:val="both"/>
        <w:rPr>
          <w:b/>
          <w:bCs/>
        </w:rPr>
      </w:pPr>
      <w:r w:rsidRPr="006066AB">
        <w:rPr>
          <w:b/>
          <w:bCs/>
        </w:rPr>
        <w:lastRenderedPageBreak/>
        <w:t>People Living in Inadequate Housing</w:t>
      </w:r>
    </w:p>
    <w:p w14:paraId="3C5F24F3" w14:textId="4C0FB72D" w:rsidR="00082663" w:rsidRDefault="00C02A72" w:rsidP="00976D0B">
      <w:pPr>
        <w:jc w:val="both"/>
        <w:rPr>
          <w:rFonts w:cstheme="minorHAnsi"/>
        </w:rPr>
      </w:pPr>
      <w:r>
        <w:rPr>
          <w:rFonts w:cstheme="minorHAnsi"/>
        </w:rPr>
        <w:t xml:space="preserve">As it was already mentioned </w:t>
      </w:r>
      <w:r w:rsidR="00082663">
        <w:rPr>
          <w:rFonts w:cstheme="minorHAnsi"/>
        </w:rPr>
        <w:t xml:space="preserve">there is no official statistical </w:t>
      </w:r>
      <w:r w:rsidR="00007902">
        <w:rPr>
          <w:rFonts w:cstheme="minorHAnsi"/>
        </w:rPr>
        <w:t>about</w:t>
      </w:r>
      <w:r w:rsidR="00082663">
        <w:rPr>
          <w:rFonts w:cstheme="minorHAnsi"/>
        </w:rPr>
        <w:t xml:space="preserve"> households </w:t>
      </w:r>
      <w:r w:rsidR="002D0C01">
        <w:rPr>
          <w:rFonts w:cstheme="minorHAnsi"/>
        </w:rPr>
        <w:t>living in</w:t>
      </w:r>
      <w:r w:rsidR="00082663">
        <w:rPr>
          <w:rFonts w:cstheme="minorHAnsi"/>
        </w:rPr>
        <w:t xml:space="preserve"> </w:t>
      </w:r>
      <w:r w:rsidR="00082663" w:rsidRPr="00D11BED">
        <w:rPr>
          <w:rFonts w:cstheme="minorHAnsi"/>
        </w:rPr>
        <w:t>temporary/non-conventional structures</w:t>
      </w:r>
      <w:r w:rsidR="00E84644">
        <w:rPr>
          <w:rFonts w:cstheme="minorHAnsi"/>
        </w:rPr>
        <w:t>, with the exception of data from the</w:t>
      </w:r>
      <w:r w:rsidR="00082663">
        <w:rPr>
          <w:rFonts w:cstheme="minorHAnsi"/>
        </w:rPr>
        <w:t xml:space="preserve"> </w:t>
      </w:r>
      <w:r w:rsidR="00E84644">
        <w:rPr>
          <w:rFonts w:cstheme="minorHAnsi"/>
        </w:rPr>
        <w:t xml:space="preserve">2014 </w:t>
      </w:r>
      <w:r w:rsidR="00082663">
        <w:rPr>
          <w:rFonts w:cstheme="minorHAnsi"/>
        </w:rPr>
        <w:t>Census</w:t>
      </w:r>
      <w:r w:rsidR="001C442B">
        <w:rPr>
          <w:rFonts w:cstheme="minorHAnsi"/>
        </w:rPr>
        <w:t>.</w:t>
      </w:r>
      <w:r w:rsidR="00E84644">
        <w:rPr>
          <w:rFonts w:cstheme="minorHAnsi"/>
        </w:rPr>
        <w:t xml:space="preserve"> According to the Census, 0</w:t>
      </w:r>
      <w:r w:rsidR="00D40DD9">
        <w:rPr>
          <w:rFonts w:cstheme="minorHAnsi"/>
        </w:rPr>
        <w:t>.</w:t>
      </w:r>
      <w:r w:rsidR="00E84644">
        <w:rPr>
          <w:rFonts w:cstheme="minorHAnsi"/>
        </w:rPr>
        <w:t>2% of the total Georgian households</w:t>
      </w:r>
      <w:r w:rsidR="00DB6FCA">
        <w:rPr>
          <w:rFonts w:cstheme="minorHAnsi"/>
        </w:rPr>
        <w:t xml:space="preserve"> </w:t>
      </w:r>
      <w:r w:rsidR="00082663">
        <w:rPr>
          <w:rFonts w:cstheme="minorHAnsi"/>
        </w:rPr>
        <w:t xml:space="preserve">were living in </w:t>
      </w:r>
      <w:r w:rsidR="00DB6FCA">
        <w:rPr>
          <w:rFonts w:cstheme="minorHAnsi"/>
        </w:rPr>
        <w:t>“</w:t>
      </w:r>
      <w:r w:rsidR="00082663">
        <w:rPr>
          <w:rFonts w:cstheme="minorHAnsi"/>
        </w:rPr>
        <w:t>other type</w:t>
      </w:r>
      <w:r w:rsidR="00DB6FCA">
        <w:rPr>
          <w:rFonts w:cstheme="minorHAnsi"/>
        </w:rPr>
        <w:t>”</w:t>
      </w:r>
      <w:r w:rsidR="00082663">
        <w:rPr>
          <w:rFonts w:cstheme="minorHAnsi"/>
        </w:rPr>
        <w:t xml:space="preserve"> of housings</w:t>
      </w:r>
      <w:r w:rsidR="00DB6FCA">
        <w:rPr>
          <w:rFonts w:cstheme="minorHAnsi"/>
        </w:rPr>
        <w:t xml:space="preserve"> in 2014</w:t>
      </w:r>
      <w:r w:rsidR="00D40DD9">
        <w:rPr>
          <w:rFonts w:cstheme="minorHAnsi"/>
        </w:rPr>
        <w:t>.</w:t>
      </w:r>
      <w:r w:rsidR="00082663">
        <w:rPr>
          <w:rFonts w:cstheme="minorHAnsi"/>
        </w:rPr>
        <w:t xml:space="preserve"> </w:t>
      </w:r>
    </w:p>
    <w:p w14:paraId="62541436" w14:textId="127952E6" w:rsidR="006A3C08" w:rsidRDefault="00082663" w:rsidP="00976D0B">
      <w:pPr>
        <w:jc w:val="both"/>
        <w:rPr>
          <w:rFonts w:cstheme="minorHAnsi"/>
        </w:rPr>
      </w:pPr>
      <w:r w:rsidRPr="00A7274B">
        <w:rPr>
          <w:rFonts w:cstheme="minorHAnsi"/>
        </w:rPr>
        <w:t xml:space="preserve">As for </w:t>
      </w:r>
      <w:r w:rsidRPr="006066AB">
        <w:rPr>
          <w:rFonts w:cstheme="minorHAnsi"/>
          <w:b/>
          <w:bCs/>
          <w:i/>
          <w:iCs/>
        </w:rPr>
        <w:t>unfit housing</w:t>
      </w:r>
      <w:r w:rsidRPr="00A7274B">
        <w:rPr>
          <w:rFonts w:cstheme="minorHAnsi"/>
        </w:rPr>
        <w:t xml:space="preserve">, </w:t>
      </w:r>
      <w:r w:rsidR="00A7274B" w:rsidRPr="00A7274B">
        <w:rPr>
          <w:rFonts w:cstheme="minorHAnsi"/>
        </w:rPr>
        <w:t xml:space="preserve">as </w:t>
      </w:r>
      <w:r w:rsidRPr="00A7274B">
        <w:rPr>
          <w:rFonts w:cstheme="minorHAnsi"/>
        </w:rPr>
        <w:t>there is not official building code which indicates objective measures to define unfit housing</w:t>
      </w:r>
      <w:r w:rsidR="00A7274B" w:rsidRPr="00A7274B">
        <w:rPr>
          <w:rFonts w:cstheme="minorHAnsi"/>
        </w:rPr>
        <w:t xml:space="preserve">, </w:t>
      </w:r>
      <w:r w:rsidR="00F96441">
        <w:rPr>
          <w:rFonts w:cstheme="minorHAnsi"/>
        </w:rPr>
        <w:t xml:space="preserve">we </w:t>
      </w:r>
      <w:r w:rsidR="006A3C08">
        <w:rPr>
          <w:rFonts w:cstheme="minorHAnsi"/>
        </w:rPr>
        <w:t>decided to estimate the share of household living in unfit houses through a multiplicity of approaches:</w:t>
      </w:r>
    </w:p>
    <w:p w14:paraId="32DF88DB" w14:textId="4B667656" w:rsidR="00F96441" w:rsidRDefault="00F96441" w:rsidP="00454C26">
      <w:pPr>
        <w:pStyle w:val="ListParagraph"/>
        <w:numPr>
          <w:ilvl w:val="0"/>
          <w:numId w:val="22"/>
        </w:numPr>
        <w:jc w:val="both"/>
        <w:rPr>
          <w:rFonts w:cstheme="minorHAnsi"/>
        </w:rPr>
      </w:pPr>
      <w:r w:rsidRPr="00610BE1">
        <w:rPr>
          <w:rFonts w:cstheme="minorHAnsi"/>
        </w:rPr>
        <w:t>on the</w:t>
      </w:r>
      <w:r w:rsidR="00082663" w:rsidRPr="00610BE1">
        <w:rPr>
          <w:rFonts w:cstheme="minorHAnsi"/>
        </w:rPr>
        <w:t xml:space="preserve"> </w:t>
      </w:r>
      <w:r w:rsidR="007F76DC">
        <w:rPr>
          <w:rFonts w:cstheme="minorHAnsi"/>
        </w:rPr>
        <w:t xml:space="preserve">basis of the </w:t>
      </w:r>
      <w:r w:rsidR="00082663" w:rsidRPr="00610BE1">
        <w:rPr>
          <w:rFonts w:cstheme="minorHAnsi"/>
        </w:rPr>
        <w:t>definiti</w:t>
      </w:r>
      <w:r w:rsidR="00082663" w:rsidRPr="00CF01FB">
        <w:rPr>
          <w:rFonts w:cstheme="minorHAnsi"/>
        </w:rPr>
        <w:t>ons provided by sustainable development targets (111</w:t>
      </w:r>
      <w:r w:rsidRPr="006066AB">
        <w:rPr>
          <w:rFonts w:cstheme="minorHAnsi"/>
        </w:rPr>
        <w:t>)</w:t>
      </w:r>
      <w:r w:rsidR="00A7274B" w:rsidRPr="006066AB">
        <w:rPr>
          <w:rFonts w:cstheme="minorHAnsi"/>
        </w:rPr>
        <w:t xml:space="preserve"> </w:t>
      </w:r>
      <w:r w:rsidRPr="006066AB">
        <w:rPr>
          <w:rFonts w:cstheme="minorHAnsi"/>
        </w:rPr>
        <w:t>The methodology was adjusted to the Georgian case, g</w:t>
      </w:r>
      <w:r w:rsidR="00082663" w:rsidRPr="006066AB">
        <w:rPr>
          <w:rFonts w:cstheme="minorHAnsi"/>
        </w:rPr>
        <w:t>iven the exist</w:t>
      </w:r>
      <w:r w:rsidRPr="006066AB">
        <w:rPr>
          <w:rFonts w:cstheme="minorHAnsi"/>
        </w:rPr>
        <w:t>ing</w:t>
      </w:r>
      <w:r w:rsidR="00082663" w:rsidRPr="006066AB">
        <w:rPr>
          <w:rFonts w:cstheme="minorHAnsi"/>
        </w:rPr>
        <w:t xml:space="preserve"> data</w:t>
      </w:r>
      <w:r w:rsidRPr="006066AB">
        <w:rPr>
          <w:rFonts w:cstheme="minorHAnsi"/>
        </w:rPr>
        <w:t xml:space="preserve"> and their</w:t>
      </w:r>
      <w:r w:rsidR="00082663" w:rsidRPr="006066AB">
        <w:rPr>
          <w:rFonts w:cstheme="minorHAnsi"/>
        </w:rPr>
        <w:t xml:space="preserve"> availability</w:t>
      </w:r>
      <w:r w:rsidR="007F76DC">
        <w:rPr>
          <w:rFonts w:cstheme="minorHAnsi"/>
        </w:rPr>
        <w:t>;</w:t>
      </w:r>
    </w:p>
    <w:p w14:paraId="12E7CE37" w14:textId="64F06BC9" w:rsidR="007F76DC" w:rsidRPr="00610BE1" w:rsidRDefault="00BE37BB" w:rsidP="00454C26">
      <w:pPr>
        <w:pStyle w:val="ListParagraph"/>
        <w:numPr>
          <w:ilvl w:val="0"/>
          <w:numId w:val="22"/>
        </w:numPr>
        <w:jc w:val="both"/>
        <w:rPr>
          <w:rFonts w:cstheme="minorHAnsi"/>
        </w:rPr>
      </w:pPr>
      <w:r>
        <w:rPr>
          <w:rFonts w:cstheme="minorHAnsi"/>
        </w:rPr>
        <w:t xml:space="preserve">on the basis of the self-assessment of households in the sample, who reckoned that their houses </w:t>
      </w:r>
      <w:r w:rsidR="003420DE">
        <w:rPr>
          <w:rFonts w:cstheme="minorHAnsi"/>
        </w:rPr>
        <w:t>were</w:t>
      </w:r>
      <w:r>
        <w:rPr>
          <w:rFonts w:cstheme="minorHAnsi"/>
        </w:rPr>
        <w:t xml:space="preserve"> in need for capital renovation or was under the threat of collapsing</w:t>
      </w:r>
      <w:r w:rsidR="003420DE">
        <w:rPr>
          <w:rFonts w:cstheme="minorHAnsi"/>
        </w:rPr>
        <w:t>.</w:t>
      </w:r>
      <w:r w:rsidR="00AE61E0">
        <w:rPr>
          <w:rFonts w:cstheme="minorHAnsi"/>
        </w:rPr>
        <w:t xml:space="preserve"> As the given information has been only available since 2012, only seven- year time trend (2012-2018) of the indicator was analyzed</w:t>
      </w:r>
    </w:p>
    <w:p w14:paraId="3B452B5C" w14:textId="025A5C09" w:rsidR="00F96441" w:rsidRDefault="00BE37BB" w:rsidP="00976D0B">
      <w:pPr>
        <w:jc w:val="both"/>
        <w:rPr>
          <w:rFonts w:cstheme="minorHAnsi"/>
        </w:rPr>
      </w:pPr>
      <w:r>
        <w:rPr>
          <w:rFonts w:cstheme="minorHAnsi"/>
        </w:rPr>
        <w:t xml:space="preserve">In the </w:t>
      </w:r>
      <w:r w:rsidR="00AE61E0">
        <w:rPr>
          <w:rFonts w:cstheme="minorHAnsi"/>
        </w:rPr>
        <w:t>SDG case, w</w:t>
      </w:r>
      <w:r w:rsidR="00F96441">
        <w:rPr>
          <w:rFonts w:cstheme="minorHAnsi"/>
        </w:rPr>
        <w:t xml:space="preserve">e </w:t>
      </w:r>
      <w:r w:rsidR="00082663">
        <w:rPr>
          <w:rFonts w:cstheme="minorHAnsi"/>
        </w:rPr>
        <w:t xml:space="preserve">assumed that unfit </w:t>
      </w:r>
      <w:r w:rsidR="00F96441">
        <w:rPr>
          <w:rFonts w:cstheme="minorHAnsi"/>
        </w:rPr>
        <w:t>houses</w:t>
      </w:r>
      <w:r w:rsidR="00082663">
        <w:rPr>
          <w:rFonts w:cstheme="minorHAnsi"/>
        </w:rPr>
        <w:t xml:space="preserve"> satisf</w:t>
      </w:r>
      <w:r w:rsidR="00F96441">
        <w:rPr>
          <w:rFonts w:cstheme="minorHAnsi"/>
        </w:rPr>
        <w:t>y</w:t>
      </w:r>
      <w:r w:rsidR="00082663">
        <w:rPr>
          <w:rFonts w:cstheme="minorHAnsi"/>
        </w:rPr>
        <w:t xml:space="preserve"> at least one of the following conditions: </w:t>
      </w:r>
    </w:p>
    <w:p w14:paraId="38503FF3" w14:textId="5F8971B3" w:rsidR="00F96441" w:rsidRDefault="00082663" w:rsidP="00454C26">
      <w:pPr>
        <w:pStyle w:val="ListParagraph"/>
        <w:numPr>
          <w:ilvl w:val="0"/>
          <w:numId w:val="21"/>
        </w:numPr>
        <w:jc w:val="both"/>
        <w:rPr>
          <w:rFonts w:cstheme="minorHAnsi"/>
        </w:rPr>
      </w:pPr>
      <w:r w:rsidRPr="00610BE1">
        <w:rPr>
          <w:rFonts w:cstheme="minorHAnsi"/>
        </w:rPr>
        <w:t xml:space="preserve">the floors and walls </w:t>
      </w:r>
      <w:r w:rsidR="00F96441">
        <w:rPr>
          <w:rFonts w:cstheme="minorHAnsi"/>
        </w:rPr>
        <w:t>are</w:t>
      </w:r>
      <w:r w:rsidR="00F96441" w:rsidRPr="00610BE1">
        <w:rPr>
          <w:rFonts w:cstheme="minorHAnsi"/>
        </w:rPr>
        <w:t xml:space="preserve"> </w:t>
      </w:r>
      <w:r w:rsidRPr="00610BE1">
        <w:rPr>
          <w:rFonts w:cstheme="minorHAnsi"/>
        </w:rPr>
        <w:t>made from ground, mud and adobe</w:t>
      </w:r>
      <w:r w:rsidR="00F96441">
        <w:rPr>
          <w:rFonts w:cstheme="minorHAnsi"/>
        </w:rPr>
        <w:t>;</w:t>
      </w:r>
    </w:p>
    <w:p w14:paraId="2ED2F615" w14:textId="610BD491" w:rsidR="00F96441" w:rsidRDefault="00082663" w:rsidP="00454C26">
      <w:pPr>
        <w:pStyle w:val="ListParagraph"/>
        <w:numPr>
          <w:ilvl w:val="0"/>
          <w:numId w:val="21"/>
        </w:numPr>
        <w:jc w:val="both"/>
        <w:rPr>
          <w:rFonts w:cstheme="minorHAnsi"/>
        </w:rPr>
      </w:pPr>
      <w:r w:rsidRPr="00CF01FB">
        <w:rPr>
          <w:rFonts w:cstheme="minorHAnsi"/>
        </w:rPr>
        <w:t xml:space="preserve">the toilet </w:t>
      </w:r>
      <w:r w:rsidR="00F96441">
        <w:rPr>
          <w:rFonts w:cstheme="minorHAnsi"/>
        </w:rPr>
        <w:t>is</w:t>
      </w:r>
      <w:r w:rsidR="00F96441" w:rsidRPr="00610BE1">
        <w:rPr>
          <w:rFonts w:cstheme="minorHAnsi"/>
        </w:rPr>
        <w:t xml:space="preserve"> </w:t>
      </w:r>
      <w:r w:rsidRPr="00610BE1">
        <w:rPr>
          <w:rFonts w:cstheme="minorHAnsi"/>
        </w:rPr>
        <w:t xml:space="preserve">shared or </w:t>
      </w:r>
      <w:r w:rsidR="00F96441">
        <w:rPr>
          <w:rFonts w:cstheme="minorHAnsi"/>
        </w:rPr>
        <w:t>is</w:t>
      </w:r>
      <w:r w:rsidR="00F96441" w:rsidRPr="00610BE1">
        <w:rPr>
          <w:rFonts w:cstheme="minorHAnsi"/>
        </w:rPr>
        <w:t xml:space="preserve"> </w:t>
      </w:r>
      <w:r w:rsidRPr="00610BE1">
        <w:rPr>
          <w:rFonts w:cstheme="minorHAnsi"/>
        </w:rPr>
        <w:t>not defined properly</w:t>
      </w:r>
      <w:r w:rsidR="00F96441">
        <w:rPr>
          <w:rFonts w:cstheme="minorHAnsi"/>
        </w:rPr>
        <w:t>;</w:t>
      </w:r>
    </w:p>
    <w:p w14:paraId="29196215" w14:textId="7C365037" w:rsidR="00082663" w:rsidRPr="00CF01FB" w:rsidRDefault="00082663" w:rsidP="00454C26">
      <w:pPr>
        <w:pStyle w:val="ListParagraph"/>
        <w:numPr>
          <w:ilvl w:val="0"/>
          <w:numId w:val="21"/>
        </w:numPr>
        <w:jc w:val="both"/>
        <w:rPr>
          <w:rFonts w:cstheme="minorHAnsi"/>
        </w:rPr>
      </w:pPr>
      <w:r w:rsidRPr="00CF01FB">
        <w:rPr>
          <w:rFonts w:cstheme="minorHAnsi"/>
        </w:rPr>
        <w:t xml:space="preserve">water </w:t>
      </w:r>
      <w:r w:rsidR="00F96441">
        <w:rPr>
          <w:rFonts w:cstheme="minorHAnsi"/>
        </w:rPr>
        <w:t xml:space="preserve">is </w:t>
      </w:r>
      <w:r w:rsidRPr="00610BE1">
        <w:rPr>
          <w:rFonts w:cstheme="minorHAnsi"/>
        </w:rPr>
        <w:t>extracted from a river, lake, spring, channel out of</w:t>
      </w:r>
      <w:r w:rsidRPr="00CF01FB">
        <w:rPr>
          <w:rFonts w:cstheme="minorHAnsi"/>
        </w:rPr>
        <w:t xml:space="preserve"> the yard or other non-identified sources </w:t>
      </w:r>
    </w:p>
    <w:p w14:paraId="4DD4975F" w14:textId="069274F8" w:rsidR="00082663" w:rsidRDefault="0012460E" w:rsidP="00976D0B">
      <w:pPr>
        <w:jc w:val="both"/>
        <w:rPr>
          <w:rFonts w:cstheme="minorHAnsi"/>
        </w:rPr>
      </w:pPr>
      <w:r>
        <w:rPr>
          <w:rFonts w:cstheme="minorHAnsi"/>
        </w:rPr>
        <w:t>Over the period,</w:t>
      </w:r>
      <w:r w:rsidR="00082663">
        <w:rPr>
          <w:rFonts w:cstheme="minorHAnsi"/>
        </w:rPr>
        <w:t xml:space="preserve"> </w:t>
      </w:r>
      <w:r w:rsidR="00240801">
        <w:rPr>
          <w:rFonts w:cstheme="minorHAnsi"/>
        </w:rPr>
        <w:t xml:space="preserve">the share of </w:t>
      </w:r>
      <w:r w:rsidR="0021680A">
        <w:rPr>
          <w:rFonts w:cstheme="minorHAnsi"/>
        </w:rPr>
        <w:t>urban</w:t>
      </w:r>
      <w:r w:rsidR="00240801">
        <w:rPr>
          <w:rFonts w:cstheme="minorHAnsi"/>
        </w:rPr>
        <w:t xml:space="preserve"> households living in unfit </w:t>
      </w:r>
      <w:r w:rsidR="00E039BA">
        <w:rPr>
          <w:rFonts w:cstheme="minorHAnsi"/>
        </w:rPr>
        <w:t xml:space="preserve">houses (according to the SDG definition) is declining </w:t>
      </w:r>
      <w:r w:rsidR="0045141B">
        <w:rPr>
          <w:rFonts w:cstheme="minorHAnsi"/>
        </w:rPr>
        <w:t>from 4</w:t>
      </w:r>
      <w:r w:rsidR="00D40DD9">
        <w:rPr>
          <w:rFonts w:cstheme="minorHAnsi"/>
        </w:rPr>
        <w:t>.</w:t>
      </w:r>
      <w:r w:rsidR="0045141B">
        <w:rPr>
          <w:rFonts w:cstheme="minorHAnsi"/>
        </w:rPr>
        <w:t>9% to</w:t>
      </w:r>
      <w:r>
        <w:rPr>
          <w:rFonts w:cstheme="minorHAnsi"/>
        </w:rPr>
        <w:t xml:space="preserve"> 2</w:t>
      </w:r>
      <w:r w:rsidR="006B6CFB">
        <w:rPr>
          <w:rFonts w:cstheme="minorHAnsi"/>
        </w:rPr>
        <w:t>.</w:t>
      </w:r>
      <w:r>
        <w:rPr>
          <w:rFonts w:cstheme="minorHAnsi"/>
        </w:rPr>
        <w:t>2%</w:t>
      </w:r>
      <w:r w:rsidR="00082663">
        <w:rPr>
          <w:rFonts w:cstheme="minorHAnsi"/>
        </w:rPr>
        <w:t xml:space="preserve"> </w:t>
      </w:r>
      <w:r w:rsidR="00E039BA">
        <w:rPr>
          <w:rFonts w:cstheme="minorHAnsi"/>
        </w:rPr>
        <w:t xml:space="preserve">of </w:t>
      </w:r>
      <w:r w:rsidR="00082663">
        <w:rPr>
          <w:rFonts w:cstheme="minorHAnsi"/>
        </w:rPr>
        <w:t xml:space="preserve">the households </w:t>
      </w:r>
      <w:r w:rsidR="00E039BA">
        <w:rPr>
          <w:rFonts w:cstheme="minorHAnsi"/>
        </w:rPr>
        <w:t>in</w:t>
      </w:r>
      <w:r w:rsidR="00082663">
        <w:rPr>
          <w:rFonts w:cstheme="minorHAnsi"/>
        </w:rPr>
        <w:t xml:space="preserve"> </w:t>
      </w:r>
      <w:r w:rsidR="0021680A">
        <w:rPr>
          <w:rFonts w:cstheme="minorHAnsi"/>
        </w:rPr>
        <w:t>urban</w:t>
      </w:r>
      <w:r w:rsidR="00082663">
        <w:rPr>
          <w:rFonts w:cstheme="minorHAnsi"/>
        </w:rPr>
        <w:t xml:space="preserve"> area</w:t>
      </w:r>
      <w:r w:rsidR="002E3FE7">
        <w:rPr>
          <w:rFonts w:cstheme="minorHAnsi"/>
        </w:rPr>
        <w:t>s</w:t>
      </w:r>
      <w:r>
        <w:rPr>
          <w:rFonts w:cstheme="minorHAnsi"/>
        </w:rPr>
        <w:t xml:space="preserve"> and </w:t>
      </w:r>
      <w:r w:rsidR="00C93299">
        <w:rPr>
          <w:rFonts w:cstheme="minorHAnsi"/>
        </w:rPr>
        <w:t>from 2</w:t>
      </w:r>
      <w:r w:rsidR="00D40DD9">
        <w:rPr>
          <w:rFonts w:cstheme="minorHAnsi"/>
        </w:rPr>
        <w:t>.</w:t>
      </w:r>
      <w:r w:rsidR="00C93299">
        <w:rPr>
          <w:rFonts w:cstheme="minorHAnsi"/>
        </w:rPr>
        <w:t>4% to 1</w:t>
      </w:r>
      <w:r w:rsidR="00D40DD9">
        <w:rPr>
          <w:rFonts w:cstheme="minorHAnsi"/>
        </w:rPr>
        <w:t>.</w:t>
      </w:r>
      <w:r w:rsidR="00C93299">
        <w:rPr>
          <w:rFonts w:cstheme="minorHAnsi"/>
        </w:rPr>
        <w:t xml:space="preserve">2% in </w:t>
      </w:r>
      <w:r w:rsidR="0021680A">
        <w:rPr>
          <w:rFonts w:cstheme="minorHAnsi"/>
        </w:rPr>
        <w:t>rural</w:t>
      </w:r>
      <w:r w:rsidR="00C93299">
        <w:rPr>
          <w:rFonts w:cstheme="minorHAnsi"/>
        </w:rPr>
        <w:t xml:space="preserve"> areas</w:t>
      </w:r>
      <w:r w:rsidR="001C442B">
        <w:rPr>
          <w:rFonts w:cstheme="minorHAnsi"/>
        </w:rPr>
        <w:t>.</w:t>
      </w:r>
      <w:r w:rsidR="0045141B">
        <w:rPr>
          <w:rFonts w:cstheme="minorHAnsi"/>
        </w:rPr>
        <w:t xml:space="preserve"> </w:t>
      </w:r>
    </w:p>
    <w:p w14:paraId="672B619C" w14:textId="49A83792" w:rsidR="002E3FE7" w:rsidRDefault="002E3FE7" w:rsidP="00501A83">
      <w:pPr>
        <w:pStyle w:val="Caption"/>
      </w:pPr>
      <w:r>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38</w:t>
      </w:r>
      <w:r w:rsidR="006C3BD6">
        <w:rPr>
          <w:noProof/>
        </w:rPr>
        <w:fldChar w:fldCharType="end"/>
      </w:r>
      <w:r>
        <w:t xml:space="preserve">: </w:t>
      </w:r>
      <w:r w:rsidR="002F4309">
        <w:t xml:space="preserve">The share of households living in unfit houses </w:t>
      </w:r>
      <w:r w:rsidR="00083474">
        <w:t xml:space="preserve">in </w:t>
      </w:r>
      <w:r w:rsidR="00083474" w:rsidRPr="00AA5768">
        <w:t>urban</w:t>
      </w:r>
      <w:r w:rsidR="00AA5768">
        <w:t xml:space="preserve"> and rural areas </w:t>
      </w:r>
    </w:p>
    <w:p w14:paraId="2FE30F28" w14:textId="131F731A" w:rsidR="00082663" w:rsidRDefault="002F4309" w:rsidP="00976D0B">
      <w:pPr>
        <w:jc w:val="both"/>
        <w:rPr>
          <w:rFonts w:cstheme="minorHAnsi"/>
        </w:rPr>
      </w:pPr>
      <w:r>
        <w:rPr>
          <w:noProof/>
        </w:rPr>
        <w:drawing>
          <wp:anchor distT="0" distB="0" distL="114300" distR="114300" simplePos="0" relativeHeight="251668480" behindDoc="1" locked="0" layoutInCell="1" allowOverlap="1" wp14:anchorId="4B0F768A" wp14:editId="5FCD7C67">
            <wp:simplePos x="0" y="0"/>
            <wp:positionH relativeFrom="page">
              <wp:posOffset>3924300</wp:posOffset>
            </wp:positionH>
            <wp:positionV relativeFrom="paragraph">
              <wp:posOffset>8890</wp:posOffset>
            </wp:positionV>
            <wp:extent cx="2952750" cy="1847850"/>
            <wp:effectExtent l="0" t="0" r="0" b="0"/>
            <wp:wrapNone/>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00082663">
        <w:rPr>
          <w:noProof/>
        </w:rPr>
        <w:drawing>
          <wp:anchor distT="0" distB="0" distL="114300" distR="114300" simplePos="0" relativeHeight="251667456" behindDoc="1" locked="0" layoutInCell="1" allowOverlap="1" wp14:anchorId="7E117D92" wp14:editId="440EF1D6">
            <wp:simplePos x="0" y="0"/>
            <wp:positionH relativeFrom="margin">
              <wp:align>left</wp:align>
            </wp:positionH>
            <wp:positionV relativeFrom="paragraph">
              <wp:posOffset>10795</wp:posOffset>
            </wp:positionV>
            <wp:extent cx="3000375" cy="1866900"/>
            <wp:effectExtent l="0" t="0" r="9525" b="0"/>
            <wp:wrapNone/>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082663">
        <w:rPr>
          <w:noProof/>
        </w:rPr>
        <w:t xml:space="preserve"> </w:t>
      </w:r>
    </w:p>
    <w:p w14:paraId="34C93558" w14:textId="77777777" w:rsidR="00082663" w:rsidRDefault="00082663" w:rsidP="00976D0B">
      <w:pPr>
        <w:jc w:val="both"/>
        <w:rPr>
          <w:rFonts w:cstheme="minorHAnsi"/>
        </w:rPr>
      </w:pPr>
    </w:p>
    <w:p w14:paraId="26103335" w14:textId="057AA06E" w:rsidR="00082663" w:rsidRDefault="001D0BC7" w:rsidP="00976D0B">
      <w:pPr>
        <w:tabs>
          <w:tab w:val="left" w:pos="5268"/>
        </w:tabs>
        <w:jc w:val="both"/>
        <w:rPr>
          <w:rFonts w:cstheme="minorHAnsi"/>
        </w:rPr>
      </w:pPr>
      <w:r>
        <w:rPr>
          <w:rFonts w:cstheme="minorHAnsi"/>
        </w:rPr>
        <w:tab/>
      </w:r>
    </w:p>
    <w:p w14:paraId="5689419C" w14:textId="77777777" w:rsidR="00082663" w:rsidRDefault="00082663" w:rsidP="00976D0B">
      <w:pPr>
        <w:jc w:val="both"/>
        <w:rPr>
          <w:rFonts w:cstheme="minorHAnsi"/>
        </w:rPr>
      </w:pPr>
    </w:p>
    <w:p w14:paraId="6AA6D0D7" w14:textId="77777777" w:rsidR="00082663" w:rsidRDefault="00082663" w:rsidP="00976D0B">
      <w:pPr>
        <w:jc w:val="both"/>
        <w:rPr>
          <w:rFonts w:cstheme="minorHAnsi"/>
        </w:rPr>
      </w:pPr>
    </w:p>
    <w:p w14:paraId="1CA6B9C6" w14:textId="77777777" w:rsidR="00082663" w:rsidRDefault="00082663" w:rsidP="00976D0B">
      <w:pPr>
        <w:jc w:val="both"/>
        <w:rPr>
          <w:rFonts w:cstheme="minorHAnsi"/>
        </w:rPr>
      </w:pPr>
    </w:p>
    <w:p w14:paraId="4331A976" w14:textId="1D859548" w:rsidR="00082663" w:rsidRDefault="00082663" w:rsidP="00976D0B">
      <w:pPr>
        <w:jc w:val="both"/>
        <w:rPr>
          <w:rFonts w:cstheme="minorHAnsi"/>
        </w:rPr>
      </w:pPr>
    </w:p>
    <w:p w14:paraId="6A65D8C2" w14:textId="701D6FF7" w:rsidR="00092187" w:rsidRDefault="00092187" w:rsidP="00976D0B">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F3515CE" w14:textId="0012C698" w:rsidR="00082663" w:rsidRDefault="00AE61E0" w:rsidP="00976D0B">
      <w:pPr>
        <w:jc w:val="both"/>
        <w:rPr>
          <w:rFonts w:cstheme="minorHAnsi"/>
        </w:rPr>
      </w:pPr>
      <w:r>
        <w:rPr>
          <w:rFonts w:cstheme="minorHAnsi"/>
        </w:rPr>
        <w:t>The share of households living in unfit houses</w:t>
      </w:r>
      <w:r w:rsidR="0029257A">
        <w:rPr>
          <w:rFonts w:cstheme="minorHAnsi"/>
        </w:rPr>
        <w:t xml:space="preserve"> estimated on the bases of the self-assessment of survey respondent </w:t>
      </w:r>
      <w:r w:rsidR="00E269D4">
        <w:rPr>
          <w:rFonts w:cstheme="minorHAnsi"/>
        </w:rPr>
        <w:t xml:space="preserve">(where the self-assessment is that the house is in </w:t>
      </w:r>
      <w:r w:rsidR="00E269D4" w:rsidRPr="006066AB">
        <w:rPr>
          <w:rFonts w:cstheme="minorHAnsi"/>
          <w:b/>
          <w:bCs/>
        </w:rPr>
        <w:t>need for capital renovation</w:t>
      </w:r>
      <w:r w:rsidR="00E269D4">
        <w:rPr>
          <w:rFonts w:cstheme="minorHAnsi"/>
        </w:rPr>
        <w:t xml:space="preserve"> </w:t>
      </w:r>
      <w:r w:rsidR="00023594">
        <w:rPr>
          <w:rFonts w:cstheme="minorHAnsi"/>
        </w:rPr>
        <w:t xml:space="preserve">or even </w:t>
      </w:r>
      <w:r w:rsidR="00023594" w:rsidRPr="006066AB">
        <w:rPr>
          <w:rFonts w:cstheme="minorHAnsi"/>
          <w:b/>
          <w:bCs/>
        </w:rPr>
        <w:t>at risk of collapse</w:t>
      </w:r>
      <w:r w:rsidR="00023594">
        <w:rPr>
          <w:rFonts w:cstheme="minorHAnsi"/>
        </w:rPr>
        <w:t xml:space="preserve">) </w:t>
      </w:r>
      <w:r w:rsidR="0029257A">
        <w:rPr>
          <w:rFonts w:cstheme="minorHAnsi"/>
        </w:rPr>
        <w:t>is substantially larger than that</w:t>
      </w:r>
      <w:r w:rsidR="005D09C4">
        <w:rPr>
          <w:rFonts w:cstheme="minorHAnsi"/>
        </w:rPr>
        <w:t xml:space="preserve"> estimated with the SDG method, both in </w:t>
      </w:r>
      <w:r w:rsidR="0021680A">
        <w:rPr>
          <w:rFonts w:cstheme="minorHAnsi"/>
        </w:rPr>
        <w:t>urban</w:t>
      </w:r>
      <w:r w:rsidR="005D09C4">
        <w:rPr>
          <w:rFonts w:cstheme="minorHAnsi"/>
        </w:rPr>
        <w:t xml:space="preserve"> and </w:t>
      </w:r>
      <w:r w:rsidR="0021680A">
        <w:rPr>
          <w:rFonts w:cstheme="minorHAnsi"/>
        </w:rPr>
        <w:t>rural</w:t>
      </w:r>
      <w:r w:rsidR="005D09C4">
        <w:rPr>
          <w:rFonts w:cstheme="minorHAnsi"/>
        </w:rPr>
        <w:t xml:space="preserve"> areas In</w:t>
      </w:r>
      <w:r w:rsidR="00082663">
        <w:rPr>
          <w:rFonts w:cstheme="minorHAnsi"/>
        </w:rPr>
        <w:t xml:space="preserve"> </w:t>
      </w:r>
      <w:r w:rsidR="0021680A">
        <w:rPr>
          <w:rFonts w:cstheme="minorHAnsi"/>
        </w:rPr>
        <w:t>urban</w:t>
      </w:r>
      <w:r w:rsidR="00082663">
        <w:rPr>
          <w:rFonts w:cstheme="minorHAnsi"/>
        </w:rPr>
        <w:t xml:space="preserve"> areas the </w:t>
      </w:r>
      <w:r w:rsidR="005D09C4">
        <w:rPr>
          <w:rFonts w:cstheme="minorHAnsi"/>
        </w:rPr>
        <w:t xml:space="preserve">share </w:t>
      </w:r>
      <w:r w:rsidR="00082663">
        <w:rPr>
          <w:rFonts w:cstheme="minorHAnsi"/>
        </w:rPr>
        <w:t>range</w:t>
      </w:r>
      <w:r w:rsidR="005D09C4">
        <w:rPr>
          <w:rFonts w:cstheme="minorHAnsi"/>
        </w:rPr>
        <w:t>s</w:t>
      </w:r>
      <w:r w:rsidR="00082663">
        <w:rPr>
          <w:rFonts w:cstheme="minorHAnsi"/>
        </w:rPr>
        <w:t xml:space="preserve"> over </w:t>
      </w:r>
      <w:r w:rsidR="005D09C4">
        <w:rPr>
          <w:rFonts w:cstheme="minorHAnsi"/>
        </w:rPr>
        <w:t xml:space="preserve">the </w:t>
      </w:r>
      <w:r w:rsidR="00082663">
        <w:rPr>
          <w:rFonts w:cstheme="minorHAnsi"/>
        </w:rPr>
        <w:t>years between 42% and 50 %</w:t>
      </w:r>
      <w:r w:rsidR="005D09C4">
        <w:rPr>
          <w:rFonts w:cstheme="minorHAnsi"/>
        </w:rPr>
        <w:t>,</w:t>
      </w:r>
      <w:r w:rsidR="00082663">
        <w:rPr>
          <w:rFonts w:cstheme="minorHAnsi"/>
        </w:rPr>
        <w:t xml:space="preserve"> while in </w:t>
      </w:r>
      <w:r w:rsidR="0021680A">
        <w:rPr>
          <w:rFonts w:cstheme="minorHAnsi"/>
        </w:rPr>
        <w:t>rural</w:t>
      </w:r>
      <w:r w:rsidR="00082663">
        <w:rPr>
          <w:rFonts w:cstheme="minorHAnsi"/>
        </w:rPr>
        <w:t xml:space="preserve"> areas it is between 51% </w:t>
      </w:r>
      <w:r w:rsidR="00AB4B04">
        <w:rPr>
          <w:rFonts w:cstheme="minorHAnsi"/>
        </w:rPr>
        <w:t xml:space="preserve">and </w:t>
      </w:r>
      <w:r w:rsidR="00082663">
        <w:rPr>
          <w:rFonts w:cstheme="minorHAnsi"/>
        </w:rPr>
        <w:t>60%</w:t>
      </w:r>
      <w:r w:rsidR="009C6C97">
        <w:rPr>
          <w:rFonts w:cstheme="minorHAnsi"/>
        </w:rPr>
        <w:t>. T</w:t>
      </w:r>
      <w:r w:rsidR="0005537F">
        <w:rPr>
          <w:rFonts w:cstheme="minorHAnsi"/>
        </w:rPr>
        <w:t>he</w:t>
      </w:r>
      <w:r w:rsidR="00082663">
        <w:rPr>
          <w:rFonts w:cstheme="minorHAnsi"/>
        </w:rPr>
        <w:t xml:space="preserve"> trend is downward sloping for </w:t>
      </w:r>
      <w:r w:rsidR="00080B4B">
        <w:rPr>
          <w:rFonts w:cstheme="minorHAnsi"/>
        </w:rPr>
        <w:t xml:space="preserve">both </w:t>
      </w:r>
      <w:r w:rsidR="0021680A">
        <w:rPr>
          <w:rFonts w:cstheme="minorHAnsi"/>
        </w:rPr>
        <w:t>rural</w:t>
      </w:r>
      <w:r w:rsidR="00AB4B04">
        <w:rPr>
          <w:rFonts w:cstheme="minorHAnsi"/>
        </w:rPr>
        <w:t xml:space="preserve"> and </w:t>
      </w:r>
      <w:r w:rsidR="0021680A">
        <w:rPr>
          <w:rFonts w:cstheme="minorHAnsi"/>
        </w:rPr>
        <w:t>urban</w:t>
      </w:r>
      <w:r w:rsidR="00080B4B">
        <w:rPr>
          <w:rFonts w:cstheme="minorHAnsi"/>
        </w:rPr>
        <w:t xml:space="preserve"> areas, but the decline is slow</w:t>
      </w:r>
      <w:r w:rsidR="009C6C97">
        <w:rPr>
          <w:rFonts w:cstheme="minorHAnsi"/>
        </w:rPr>
        <w:t>.</w:t>
      </w:r>
      <w:r w:rsidR="00082663">
        <w:rPr>
          <w:rFonts w:cstheme="minorHAnsi"/>
        </w:rPr>
        <w:t xml:space="preserve"> The indicator for </w:t>
      </w:r>
      <w:r w:rsidR="00092187">
        <w:rPr>
          <w:rFonts w:cstheme="minorHAnsi"/>
        </w:rPr>
        <w:t>the latest year</w:t>
      </w:r>
      <w:r w:rsidR="00080B4B">
        <w:rPr>
          <w:rFonts w:cstheme="minorHAnsi"/>
        </w:rPr>
        <w:t>,</w:t>
      </w:r>
      <w:r w:rsidR="00092187">
        <w:rPr>
          <w:rFonts w:cstheme="minorHAnsi"/>
        </w:rPr>
        <w:t xml:space="preserve"> </w:t>
      </w:r>
      <w:r w:rsidR="00A7274B">
        <w:rPr>
          <w:rFonts w:cstheme="minorHAnsi"/>
        </w:rPr>
        <w:t>2018</w:t>
      </w:r>
      <w:r w:rsidR="00080B4B">
        <w:rPr>
          <w:rFonts w:cstheme="minorHAnsi"/>
        </w:rPr>
        <w:t>,</w:t>
      </w:r>
      <w:r w:rsidR="00A7274B">
        <w:rPr>
          <w:rFonts w:cstheme="minorHAnsi"/>
        </w:rPr>
        <w:t xml:space="preserve"> is</w:t>
      </w:r>
      <w:r w:rsidR="00082663">
        <w:rPr>
          <w:rFonts w:cstheme="minorHAnsi"/>
        </w:rPr>
        <w:t xml:space="preserve"> 4</w:t>
      </w:r>
      <w:r w:rsidR="00AB4B04">
        <w:rPr>
          <w:rFonts w:cstheme="minorHAnsi"/>
        </w:rPr>
        <w:t>4</w:t>
      </w:r>
      <w:r w:rsidR="009C6C97">
        <w:rPr>
          <w:rFonts w:cstheme="minorHAnsi"/>
        </w:rPr>
        <w:t>.</w:t>
      </w:r>
      <w:r w:rsidR="00AB4B04">
        <w:rPr>
          <w:rFonts w:cstheme="minorHAnsi"/>
        </w:rPr>
        <w:t>3</w:t>
      </w:r>
      <w:r w:rsidR="00082663">
        <w:rPr>
          <w:rFonts w:cstheme="minorHAnsi"/>
        </w:rPr>
        <w:t xml:space="preserve">% </w:t>
      </w:r>
      <w:r w:rsidR="00092187">
        <w:rPr>
          <w:rFonts w:cstheme="minorHAnsi"/>
        </w:rPr>
        <w:t xml:space="preserve">of </w:t>
      </w:r>
      <w:r w:rsidR="00082663">
        <w:rPr>
          <w:rFonts w:cstheme="minorHAnsi"/>
        </w:rPr>
        <w:t xml:space="preserve">the </w:t>
      </w:r>
      <w:r w:rsidR="003420DE">
        <w:rPr>
          <w:rFonts w:cstheme="minorHAnsi"/>
        </w:rPr>
        <w:t>households in</w:t>
      </w:r>
      <w:r w:rsidR="00AB4B04">
        <w:rPr>
          <w:rFonts w:cstheme="minorHAnsi"/>
        </w:rPr>
        <w:t xml:space="preserve"> </w:t>
      </w:r>
      <w:r w:rsidR="0021680A">
        <w:rPr>
          <w:rFonts w:cstheme="minorHAnsi"/>
        </w:rPr>
        <w:t>urban</w:t>
      </w:r>
      <w:r w:rsidR="00AB4B04">
        <w:rPr>
          <w:rFonts w:cstheme="minorHAnsi"/>
        </w:rPr>
        <w:t xml:space="preserve"> areas</w:t>
      </w:r>
      <w:r w:rsidR="00082663">
        <w:rPr>
          <w:rFonts w:cstheme="minorHAnsi"/>
        </w:rPr>
        <w:t xml:space="preserve">, </w:t>
      </w:r>
      <w:r w:rsidR="00AB4B04">
        <w:rPr>
          <w:rFonts w:cstheme="minorHAnsi"/>
        </w:rPr>
        <w:t xml:space="preserve">while </w:t>
      </w:r>
      <w:r w:rsidR="00092187">
        <w:rPr>
          <w:rFonts w:cstheme="minorHAnsi"/>
        </w:rPr>
        <w:t xml:space="preserve">in </w:t>
      </w:r>
      <w:r w:rsidR="0021680A">
        <w:rPr>
          <w:rFonts w:cstheme="minorHAnsi"/>
        </w:rPr>
        <w:t>rural</w:t>
      </w:r>
      <w:r w:rsidR="00AB4B04">
        <w:rPr>
          <w:rFonts w:cstheme="minorHAnsi"/>
        </w:rPr>
        <w:t xml:space="preserve"> areas it is 51</w:t>
      </w:r>
      <w:r w:rsidR="009C6C97">
        <w:rPr>
          <w:rFonts w:cstheme="minorHAnsi"/>
        </w:rPr>
        <w:t>.</w:t>
      </w:r>
      <w:r w:rsidR="00AB4B04">
        <w:rPr>
          <w:rFonts w:cstheme="minorHAnsi"/>
        </w:rPr>
        <w:t>7</w:t>
      </w:r>
      <w:r w:rsidR="00082663">
        <w:rPr>
          <w:rFonts w:cstheme="minorHAnsi"/>
        </w:rPr>
        <w:t>%</w:t>
      </w:r>
      <w:r w:rsidR="009C6C97">
        <w:rPr>
          <w:rFonts w:cstheme="minorHAnsi"/>
        </w:rPr>
        <w:t xml:space="preserve"> (Figure </w:t>
      </w:r>
      <w:r w:rsidR="003420DE">
        <w:rPr>
          <w:rFonts w:cstheme="minorHAnsi"/>
        </w:rPr>
        <w:t>39)</w:t>
      </w:r>
      <w:r w:rsidR="009C6C97">
        <w:rPr>
          <w:rFonts w:cstheme="minorHAnsi"/>
        </w:rPr>
        <w:t xml:space="preserve">. </w:t>
      </w:r>
    </w:p>
    <w:p w14:paraId="6A9B6875" w14:textId="40CE9B28" w:rsidR="00AA5768" w:rsidRDefault="00082663" w:rsidP="00AA5768">
      <w:pPr>
        <w:pStyle w:val="Caption"/>
      </w:pPr>
      <w:r>
        <w:lastRenderedPageBreak/>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39</w:t>
      </w:r>
      <w:r w:rsidR="006C3BD6">
        <w:rPr>
          <w:noProof/>
        </w:rPr>
        <w:fldChar w:fldCharType="end"/>
      </w:r>
      <w:r>
        <w:t>: S</w:t>
      </w:r>
      <w:r w:rsidR="00267D55">
        <w:t>elf-assessment of fitness status</w:t>
      </w:r>
      <w:r>
        <w:t xml:space="preserve"> </w:t>
      </w:r>
      <w:r w:rsidR="000846F5">
        <w:t>(</w:t>
      </w:r>
      <w:r w:rsidR="005B7A7B">
        <w:t xml:space="preserve">need for capital renovation and/or at risk of collapse) </w:t>
      </w:r>
      <w:r w:rsidR="000846F5">
        <w:t xml:space="preserve">of housing </w:t>
      </w:r>
      <w:r>
        <w:t xml:space="preserve">for </w:t>
      </w:r>
      <w:r w:rsidR="00AA5768">
        <w:t xml:space="preserve">urban and rural areas </w:t>
      </w:r>
    </w:p>
    <w:p w14:paraId="3610B65E" w14:textId="1175A759" w:rsidR="00082663" w:rsidRDefault="00AA5768" w:rsidP="00AA5768">
      <w:pPr>
        <w:pStyle w:val="Caption"/>
        <w:rPr>
          <w:rFonts w:cstheme="minorHAnsi"/>
        </w:rPr>
      </w:pPr>
      <w:r>
        <w:t xml:space="preserve">                                               </w:t>
      </w:r>
      <w:r w:rsidR="0019727C">
        <w:rPr>
          <w:noProof/>
        </w:rPr>
        <w:drawing>
          <wp:anchor distT="0" distB="0" distL="114300" distR="114300" simplePos="0" relativeHeight="251670528" behindDoc="1" locked="0" layoutInCell="1" allowOverlap="1" wp14:anchorId="5158DB89" wp14:editId="21225494">
            <wp:simplePos x="0" y="0"/>
            <wp:positionH relativeFrom="margin">
              <wp:posOffset>2847975</wp:posOffset>
            </wp:positionH>
            <wp:positionV relativeFrom="paragraph">
              <wp:posOffset>13335</wp:posOffset>
            </wp:positionV>
            <wp:extent cx="2771775" cy="2038350"/>
            <wp:effectExtent l="0" t="0" r="9525" b="0"/>
            <wp:wrapNone/>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19727C">
        <w:rPr>
          <w:noProof/>
        </w:rPr>
        <w:drawing>
          <wp:anchor distT="0" distB="0" distL="114300" distR="114300" simplePos="0" relativeHeight="251669504" behindDoc="1" locked="0" layoutInCell="1" allowOverlap="1" wp14:anchorId="49BE2F97" wp14:editId="7637A97B">
            <wp:simplePos x="0" y="0"/>
            <wp:positionH relativeFrom="margin">
              <wp:align>left</wp:align>
            </wp:positionH>
            <wp:positionV relativeFrom="paragraph">
              <wp:posOffset>11430</wp:posOffset>
            </wp:positionV>
            <wp:extent cx="2847975" cy="2028825"/>
            <wp:effectExtent l="0" t="0" r="9525" b="9525"/>
            <wp:wrapNone/>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082663">
        <w:rPr>
          <w:rFonts w:cstheme="minorHAnsi"/>
        </w:rPr>
        <w:tab/>
      </w:r>
    </w:p>
    <w:p w14:paraId="3A3109DE" w14:textId="77777777" w:rsidR="00082663" w:rsidRDefault="00082663" w:rsidP="00976D0B">
      <w:pPr>
        <w:jc w:val="both"/>
        <w:rPr>
          <w:rFonts w:cstheme="minorHAnsi"/>
        </w:rPr>
      </w:pPr>
    </w:p>
    <w:p w14:paraId="06545BB3" w14:textId="77777777" w:rsidR="00082663" w:rsidRDefault="00082663" w:rsidP="00976D0B">
      <w:pPr>
        <w:jc w:val="both"/>
        <w:rPr>
          <w:rFonts w:cstheme="minorHAnsi"/>
        </w:rPr>
      </w:pPr>
    </w:p>
    <w:p w14:paraId="6D4E9188" w14:textId="77777777" w:rsidR="00082663" w:rsidRDefault="00082663" w:rsidP="00976D0B">
      <w:pPr>
        <w:jc w:val="both"/>
        <w:rPr>
          <w:rFonts w:cstheme="minorHAnsi"/>
        </w:rPr>
      </w:pPr>
    </w:p>
    <w:p w14:paraId="7A31EE63" w14:textId="77777777" w:rsidR="00082663" w:rsidRDefault="00082663" w:rsidP="00976D0B">
      <w:pPr>
        <w:jc w:val="both"/>
        <w:rPr>
          <w:rFonts w:cstheme="minorHAnsi"/>
        </w:rPr>
      </w:pPr>
    </w:p>
    <w:p w14:paraId="68934007" w14:textId="77777777" w:rsidR="00082663" w:rsidRDefault="00082663" w:rsidP="00976D0B">
      <w:pPr>
        <w:jc w:val="both"/>
        <w:rPr>
          <w:rFonts w:cstheme="minorHAnsi"/>
        </w:rPr>
      </w:pPr>
    </w:p>
    <w:p w14:paraId="740C3451" w14:textId="77777777" w:rsidR="00082663" w:rsidRDefault="00082663" w:rsidP="00976D0B">
      <w:pPr>
        <w:jc w:val="both"/>
        <w:rPr>
          <w:rFonts w:cstheme="minorHAnsi"/>
        </w:rPr>
      </w:pPr>
    </w:p>
    <w:p w14:paraId="60879D94" w14:textId="77777777" w:rsidR="008F3E6B" w:rsidRDefault="008F3E6B" w:rsidP="00976D0B">
      <w:pPr>
        <w:jc w:val="both"/>
        <w:rPr>
          <w:i/>
          <w:iCs/>
          <w:color w:val="44546A" w:themeColor="text2"/>
          <w:sz w:val="18"/>
          <w:szCs w:val="18"/>
        </w:rPr>
      </w:pPr>
    </w:p>
    <w:p w14:paraId="2ADAA6B4" w14:textId="44E000B3" w:rsidR="00092187" w:rsidRDefault="00092187" w:rsidP="00976D0B">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7FBF97C" w14:textId="69A1C3DE" w:rsidR="00082663" w:rsidRDefault="00080B4B" w:rsidP="00976D0B">
      <w:pPr>
        <w:jc w:val="both"/>
        <w:rPr>
          <w:rFonts w:cstheme="minorHAnsi"/>
        </w:rPr>
      </w:pPr>
      <w:r>
        <w:rPr>
          <w:rFonts w:cstheme="minorHAnsi"/>
        </w:rPr>
        <w:t>A</w:t>
      </w:r>
      <w:r w:rsidR="00082663">
        <w:rPr>
          <w:rFonts w:cstheme="minorHAnsi"/>
        </w:rPr>
        <w:t xml:space="preserve">s ‘in need for capital renovation’ </w:t>
      </w:r>
      <w:r>
        <w:rPr>
          <w:rFonts w:cstheme="minorHAnsi"/>
        </w:rPr>
        <w:t xml:space="preserve">might be more </w:t>
      </w:r>
      <w:r w:rsidR="00082663">
        <w:rPr>
          <w:rFonts w:cstheme="minorHAnsi"/>
        </w:rPr>
        <w:t xml:space="preserve">subjective </w:t>
      </w:r>
      <w:r w:rsidR="00D40391">
        <w:rPr>
          <w:rFonts w:cstheme="minorHAnsi"/>
        </w:rPr>
        <w:t xml:space="preserve">with respect to ‘at risk of collapse’, </w:t>
      </w:r>
      <w:r w:rsidR="00082663">
        <w:rPr>
          <w:rFonts w:cstheme="minorHAnsi"/>
        </w:rPr>
        <w:t xml:space="preserve">and might </w:t>
      </w:r>
      <w:r w:rsidR="00D40391">
        <w:rPr>
          <w:rFonts w:cstheme="minorHAnsi"/>
        </w:rPr>
        <w:t xml:space="preserve">distort </w:t>
      </w:r>
      <w:r w:rsidR="00082663">
        <w:rPr>
          <w:rFonts w:cstheme="minorHAnsi"/>
        </w:rPr>
        <w:t>the picture,</w:t>
      </w:r>
      <w:r w:rsidR="006D0132">
        <w:rPr>
          <w:rFonts w:cstheme="minorHAnsi"/>
        </w:rPr>
        <w:t xml:space="preserve"> we decided to explore a narrower definition of unfit housing, estimating the </w:t>
      </w:r>
      <w:r w:rsidR="00082663">
        <w:rPr>
          <w:rFonts w:cstheme="minorHAnsi"/>
        </w:rPr>
        <w:t xml:space="preserve">share of the households who claimed that their </w:t>
      </w:r>
      <w:r w:rsidR="00082663" w:rsidRPr="00023594">
        <w:rPr>
          <w:rFonts w:cstheme="minorHAnsi"/>
        </w:rPr>
        <w:t xml:space="preserve">houses </w:t>
      </w:r>
      <w:r w:rsidR="00202405" w:rsidRPr="00023594">
        <w:rPr>
          <w:rFonts w:cstheme="minorHAnsi"/>
        </w:rPr>
        <w:t>were</w:t>
      </w:r>
      <w:r w:rsidR="006D0132" w:rsidRPr="00023594">
        <w:rPr>
          <w:rFonts w:cstheme="minorHAnsi"/>
        </w:rPr>
        <w:t xml:space="preserve"> at risk </w:t>
      </w:r>
      <w:r w:rsidR="00082663" w:rsidRPr="00023594">
        <w:rPr>
          <w:rFonts w:cstheme="minorHAnsi"/>
        </w:rPr>
        <w:t>collapse</w:t>
      </w:r>
      <w:r w:rsidR="009C6C97">
        <w:rPr>
          <w:rFonts w:cstheme="minorHAnsi"/>
        </w:rPr>
        <w:t>.</w:t>
      </w:r>
      <w:r w:rsidR="00082663" w:rsidRPr="00023594">
        <w:rPr>
          <w:rFonts w:cstheme="minorHAnsi"/>
        </w:rPr>
        <w:t xml:space="preserve"> </w:t>
      </w:r>
      <w:r w:rsidR="00082663">
        <w:rPr>
          <w:rFonts w:cstheme="minorHAnsi"/>
        </w:rPr>
        <w:t xml:space="preserve">According to the latest definition the trend for </w:t>
      </w:r>
      <w:r w:rsidR="00115CE1">
        <w:rPr>
          <w:rFonts w:cstheme="minorHAnsi"/>
        </w:rPr>
        <w:t xml:space="preserve">self-assessed </w:t>
      </w:r>
      <w:r w:rsidR="00082663">
        <w:rPr>
          <w:rFonts w:cstheme="minorHAnsi"/>
        </w:rPr>
        <w:t xml:space="preserve">unfit housing is </w:t>
      </w:r>
      <w:r w:rsidR="00115CE1">
        <w:rPr>
          <w:rFonts w:cstheme="minorHAnsi"/>
        </w:rPr>
        <w:t xml:space="preserve">shown in Figure </w:t>
      </w:r>
      <w:r w:rsidR="009C6C97">
        <w:rPr>
          <w:rFonts w:cstheme="minorHAnsi"/>
        </w:rPr>
        <w:t>40.</w:t>
      </w:r>
    </w:p>
    <w:p w14:paraId="7116D740" w14:textId="7BEA3D73" w:rsidR="00AA5768" w:rsidRDefault="008F3E6B" w:rsidP="00AA5768">
      <w:pPr>
        <w:pStyle w:val="Caption"/>
      </w:pPr>
      <w:r>
        <w:rPr>
          <w:noProof/>
        </w:rPr>
        <w:drawing>
          <wp:anchor distT="0" distB="0" distL="114300" distR="114300" simplePos="0" relativeHeight="251672576" behindDoc="1" locked="0" layoutInCell="1" allowOverlap="1" wp14:anchorId="1D8B3C0D" wp14:editId="711A3B7F">
            <wp:simplePos x="0" y="0"/>
            <wp:positionH relativeFrom="column">
              <wp:posOffset>2933700</wp:posOffset>
            </wp:positionH>
            <wp:positionV relativeFrom="paragraph">
              <wp:posOffset>262255</wp:posOffset>
            </wp:positionV>
            <wp:extent cx="2828925" cy="1914525"/>
            <wp:effectExtent l="0" t="0" r="9525" b="9525"/>
            <wp:wrapNone/>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008F62D8">
        <w:rPr>
          <w:noProof/>
        </w:rPr>
        <w:drawing>
          <wp:anchor distT="0" distB="0" distL="114300" distR="114300" simplePos="0" relativeHeight="251671552" behindDoc="1" locked="0" layoutInCell="1" allowOverlap="1" wp14:anchorId="5F832ADC" wp14:editId="6E194770">
            <wp:simplePos x="0" y="0"/>
            <wp:positionH relativeFrom="margin">
              <wp:align>left</wp:align>
            </wp:positionH>
            <wp:positionV relativeFrom="paragraph">
              <wp:posOffset>247650</wp:posOffset>
            </wp:positionV>
            <wp:extent cx="2838450" cy="1933575"/>
            <wp:effectExtent l="0" t="0" r="0" b="9525"/>
            <wp:wrapNone/>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00082663">
        <w:t xml:space="preserve">Figure </w:t>
      </w:r>
      <w:r w:rsidR="006C3BD6">
        <w:rPr>
          <w:noProof/>
        </w:rPr>
        <w:fldChar w:fldCharType="begin"/>
      </w:r>
      <w:r w:rsidR="006C3BD6">
        <w:rPr>
          <w:noProof/>
        </w:rPr>
        <w:instrText xml:space="preserve"> SEQ Figure \* ARABIC </w:instrText>
      </w:r>
      <w:r w:rsidR="006C3BD6">
        <w:rPr>
          <w:noProof/>
        </w:rPr>
        <w:fldChar w:fldCharType="separate"/>
      </w:r>
      <w:r w:rsidR="006B5103">
        <w:rPr>
          <w:noProof/>
        </w:rPr>
        <w:t>40</w:t>
      </w:r>
      <w:r w:rsidR="006C3BD6">
        <w:rPr>
          <w:noProof/>
        </w:rPr>
        <w:fldChar w:fldCharType="end"/>
      </w:r>
      <w:r w:rsidR="00082663">
        <w:t xml:space="preserve">: </w:t>
      </w:r>
      <w:r w:rsidR="005B7A7B">
        <w:t>Self-assessment o</w:t>
      </w:r>
      <w:r w:rsidR="004E4B32">
        <w:t>f houses at risk of collapse</w:t>
      </w:r>
      <w:r w:rsidR="00082663">
        <w:t xml:space="preserve"> for</w:t>
      </w:r>
      <w:r w:rsidR="00AA5768" w:rsidRPr="00AA5768">
        <w:t xml:space="preserve"> </w:t>
      </w:r>
      <w:r w:rsidR="00AA5768">
        <w:t xml:space="preserve">urban and rural areas </w:t>
      </w:r>
    </w:p>
    <w:p w14:paraId="389ED13B" w14:textId="2C48B23B" w:rsidR="00082663" w:rsidRDefault="00082663" w:rsidP="00976D0B">
      <w:pPr>
        <w:pStyle w:val="Caption"/>
        <w:jc w:val="both"/>
        <w:rPr>
          <w:rFonts w:cstheme="minorHAnsi"/>
        </w:rPr>
      </w:pPr>
    </w:p>
    <w:p w14:paraId="3FCD8D57" w14:textId="1703036C" w:rsidR="00082663" w:rsidRDefault="00082663" w:rsidP="00976D0B">
      <w:pPr>
        <w:jc w:val="both"/>
        <w:rPr>
          <w:rFonts w:cstheme="minorHAnsi"/>
        </w:rPr>
      </w:pPr>
    </w:p>
    <w:p w14:paraId="4BB41254" w14:textId="77777777" w:rsidR="00082663" w:rsidRDefault="00082663" w:rsidP="00976D0B">
      <w:pPr>
        <w:jc w:val="both"/>
        <w:rPr>
          <w:rFonts w:cstheme="minorHAnsi"/>
        </w:rPr>
      </w:pPr>
    </w:p>
    <w:p w14:paraId="5630048B" w14:textId="77777777" w:rsidR="00082663" w:rsidRDefault="00082663" w:rsidP="00976D0B">
      <w:pPr>
        <w:jc w:val="both"/>
        <w:rPr>
          <w:rFonts w:cstheme="minorHAnsi"/>
        </w:rPr>
      </w:pPr>
    </w:p>
    <w:p w14:paraId="0B2B3525" w14:textId="77777777" w:rsidR="00082663" w:rsidRDefault="00082663" w:rsidP="00976D0B">
      <w:pPr>
        <w:jc w:val="both"/>
        <w:rPr>
          <w:rFonts w:cstheme="minorHAnsi"/>
        </w:rPr>
      </w:pPr>
    </w:p>
    <w:p w14:paraId="13A28E75" w14:textId="77777777" w:rsidR="00082663" w:rsidRDefault="00082663" w:rsidP="00976D0B">
      <w:pPr>
        <w:jc w:val="both"/>
        <w:rPr>
          <w:rFonts w:cstheme="minorHAnsi"/>
        </w:rPr>
      </w:pPr>
    </w:p>
    <w:p w14:paraId="4CF7532B" w14:textId="473E6C3E" w:rsidR="00092187" w:rsidRDefault="00092187" w:rsidP="00976D0B">
      <w:pPr>
        <w:jc w:val="both"/>
        <w:rPr>
          <w:rFonts w:cstheme="minorHAnsi"/>
        </w:rPr>
      </w:pPr>
    </w:p>
    <w:p w14:paraId="518CBA2C" w14:textId="773B9EF2" w:rsidR="00082663" w:rsidRDefault="00092187" w:rsidP="00976D0B">
      <w:pPr>
        <w:jc w:val="both"/>
        <w:rPr>
          <w:rFonts w:cstheme="minorHAnsi"/>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48051638" w14:textId="4E3876A8" w:rsidR="0004131A" w:rsidRDefault="00115CE1" w:rsidP="00976D0B">
      <w:pPr>
        <w:jc w:val="both"/>
        <w:rPr>
          <w:rFonts w:cstheme="minorHAnsi"/>
          <w:color w:val="000000" w:themeColor="text1"/>
        </w:rPr>
      </w:pPr>
      <w:r>
        <w:rPr>
          <w:rFonts w:cstheme="minorHAnsi"/>
          <w:color w:val="000000" w:themeColor="text1"/>
        </w:rPr>
        <w:t>U</w:t>
      </w:r>
      <w:r w:rsidR="00082663" w:rsidRPr="000009BC">
        <w:rPr>
          <w:rFonts w:cstheme="minorHAnsi"/>
          <w:color w:val="000000" w:themeColor="text1"/>
        </w:rPr>
        <w:t xml:space="preserve">nder this </w:t>
      </w:r>
      <w:r>
        <w:rPr>
          <w:rFonts w:cstheme="minorHAnsi"/>
          <w:color w:val="000000" w:themeColor="text1"/>
        </w:rPr>
        <w:t xml:space="preserve">narrower </w:t>
      </w:r>
      <w:r w:rsidR="00082663" w:rsidRPr="000009BC">
        <w:rPr>
          <w:rFonts w:cstheme="minorHAnsi"/>
          <w:color w:val="000000" w:themeColor="text1"/>
        </w:rPr>
        <w:t>definition</w:t>
      </w:r>
      <w:r>
        <w:rPr>
          <w:rFonts w:cstheme="minorHAnsi"/>
          <w:color w:val="000000" w:themeColor="text1"/>
        </w:rPr>
        <w:t>, a</w:t>
      </w:r>
      <w:r w:rsidR="00082663" w:rsidRPr="000009BC">
        <w:rPr>
          <w:rFonts w:cstheme="minorHAnsi"/>
          <w:color w:val="000000" w:themeColor="text1"/>
        </w:rPr>
        <w:t xml:space="preserve"> substantially lower share </w:t>
      </w:r>
      <w:r>
        <w:rPr>
          <w:rFonts w:cstheme="minorHAnsi"/>
          <w:color w:val="000000" w:themeColor="text1"/>
        </w:rPr>
        <w:t xml:space="preserve">of households </w:t>
      </w:r>
      <w:r w:rsidR="00082663" w:rsidRPr="000009BC">
        <w:rPr>
          <w:rFonts w:cstheme="minorHAnsi"/>
          <w:color w:val="000000" w:themeColor="text1"/>
        </w:rPr>
        <w:t xml:space="preserve">enters </w:t>
      </w:r>
      <w:r>
        <w:rPr>
          <w:rFonts w:cstheme="minorHAnsi"/>
          <w:color w:val="000000" w:themeColor="text1"/>
        </w:rPr>
        <w:t>the</w:t>
      </w:r>
      <w:r w:rsidR="00082663" w:rsidRPr="000009BC">
        <w:rPr>
          <w:rFonts w:cstheme="minorHAnsi"/>
          <w:color w:val="000000" w:themeColor="text1"/>
        </w:rPr>
        <w:t xml:space="preserve"> unfit</w:t>
      </w:r>
      <w:r>
        <w:rPr>
          <w:rFonts w:cstheme="minorHAnsi"/>
          <w:color w:val="000000" w:themeColor="text1"/>
        </w:rPr>
        <w:t xml:space="preserve"> housing</w:t>
      </w:r>
      <w:r w:rsidR="00082663" w:rsidRPr="000009BC">
        <w:rPr>
          <w:rFonts w:cstheme="minorHAnsi"/>
          <w:color w:val="000000" w:themeColor="text1"/>
        </w:rPr>
        <w:t xml:space="preserve"> category</w:t>
      </w:r>
      <w:r>
        <w:rPr>
          <w:rFonts w:cstheme="minorHAnsi"/>
          <w:color w:val="000000" w:themeColor="text1"/>
        </w:rPr>
        <w:t>, more in line with the</w:t>
      </w:r>
      <w:r w:rsidR="002879EA">
        <w:rPr>
          <w:rFonts w:cstheme="minorHAnsi"/>
          <w:color w:val="000000" w:themeColor="text1"/>
        </w:rPr>
        <w:t xml:space="preserve"> SDG definition</w:t>
      </w:r>
      <w:r w:rsidR="009C6C97">
        <w:rPr>
          <w:rFonts w:cstheme="minorHAnsi"/>
          <w:color w:val="000000" w:themeColor="text1"/>
        </w:rPr>
        <w:t>.</w:t>
      </w:r>
      <w:r w:rsidR="00082663">
        <w:rPr>
          <w:rFonts w:cstheme="minorHAnsi"/>
          <w:color w:val="000000" w:themeColor="text1"/>
        </w:rPr>
        <w:t xml:space="preserve"> The trend for</w:t>
      </w:r>
      <w:r w:rsidR="00F8295E">
        <w:rPr>
          <w:rFonts w:cstheme="minorHAnsi"/>
          <w:color w:val="000000" w:themeColor="text1"/>
        </w:rPr>
        <w:t xml:space="preserve"> both</w:t>
      </w:r>
      <w:r w:rsidR="00082663">
        <w:rPr>
          <w:rFonts w:cstheme="minorHAnsi"/>
          <w:color w:val="000000" w:themeColor="text1"/>
        </w:rPr>
        <w:t xml:space="preserve"> </w:t>
      </w:r>
      <w:r w:rsidR="0021680A">
        <w:rPr>
          <w:rFonts w:cstheme="minorHAnsi"/>
          <w:color w:val="000000" w:themeColor="text1"/>
        </w:rPr>
        <w:t>urban</w:t>
      </w:r>
      <w:r w:rsidR="00082663">
        <w:rPr>
          <w:rFonts w:cstheme="minorHAnsi"/>
          <w:color w:val="000000" w:themeColor="text1"/>
        </w:rPr>
        <w:t xml:space="preserve"> </w:t>
      </w:r>
      <w:r w:rsidR="00F8295E">
        <w:rPr>
          <w:rFonts w:cstheme="minorHAnsi"/>
          <w:color w:val="000000" w:themeColor="text1"/>
        </w:rPr>
        <w:t xml:space="preserve">and </w:t>
      </w:r>
      <w:r w:rsidR="0021680A">
        <w:rPr>
          <w:rFonts w:cstheme="minorHAnsi"/>
          <w:color w:val="000000" w:themeColor="text1"/>
        </w:rPr>
        <w:t>rural</w:t>
      </w:r>
      <w:r w:rsidR="00F8295E">
        <w:rPr>
          <w:rFonts w:cstheme="minorHAnsi"/>
          <w:color w:val="000000" w:themeColor="text1"/>
        </w:rPr>
        <w:t xml:space="preserve"> </w:t>
      </w:r>
      <w:r w:rsidR="00082663">
        <w:rPr>
          <w:rFonts w:cstheme="minorHAnsi"/>
          <w:color w:val="000000" w:themeColor="text1"/>
        </w:rPr>
        <w:t xml:space="preserve">areas </w:t>
      </w:r>
      <w:r>
        <w:rPr>
          <w:rFonts w:cstheme="minorHAnsi"/>
          <w:color w:val="000000" w:themeColor="text1"/>
        </w:rPr>
        <w:t xml:space="preserve">is slightly </w:t>
      </w:r>
      <w:r w:rsidR="00082663">
        <w:rPr>
          <w:rFonts w:cstheme="minorHAnsi"/>
          <w:color w:val="000000" w:themeColor="text1"/>
        </w:rPr>
        <w:t>decreasing</w:t>
      </w:r>
      <w:r w:rsidR="009C6C97">
        <w:rPr>
          <w:rFonts w:cstheme="minorHAnsi"/>
          <w:color w:val="000000" w:themeColor="text1"/>
        </w:rPr>
        <w:t>.</w:t>
      </w:r>
      <w:r w:rsidR="00082663">
        <w:rPr>
          <w:rFonts w:cstheme="minorHAnsi"/>
          <w:color w:val="000000" w:themeColor="text1"/>
        </w:rPr>
        <w:t xml:space="preserve"> The </w:t>
      </w:r>
      <w:r w:rsidR="00092187">
        <w:rPr>
          <w:rFonts w:cstheme="minorHAnsi"/>
          <w:color w:val="000000" w:themeColor="text1"/>
        </w:rPr>
        <w:t xml:space="preserve">share of the households living </w:t>
      </w:r>
      <w:r w:rsidR="002879EA">
        <w:rPr>
          <w:rFonts w:cstheme="minorHAnsi"/>
          <w:color w:val="000000" w:themeColor="text1"/>
        </w:rPr>
        <w:t xml:space="preserve">in </w:t>
      </w:r>
      <w:r w:rsidR="00092187">
        <w:rPr>
          <w:rFonts w:cstheme="minorHAnsi"/>
          <w:color w:val="000000" w:themeColor="text1"/>
        </w:rPr>
        <w:t xml:space="preserve">unfit houses </w:t>
      </w:r>
      <w:r w:rsidR="002879EA">
        <w:rPr>
          <w:rFonts w:cstheme="minorHAnsi"/>
          <w:color w:val="000000" w:themeColor="text1"/>
        </w:rPr>
        <w:t xml:space="preserve">declines </w:t>
      </w:r>
      <w:r w:rsidR="00F8295E">
        <w:rPr>
          <w:rFonts w:cstheme="minorHAnsi"/>
          <w:color w:val="000000" w:themeColor="text1"/>
        </w:rPr>
        <w:t>from</w:t>
      </w:r>
      <w:r w:rsidR="00082663">
        <w:rPr>
          <w:rFonts w:cstheme="minorHAnsi"/>
          <w:color w:val="000000" w:themeColor="text1"/>
        </w:rPr>
        <w:t xml:space="preserve"> </w:t>
      </w:r>
      <w:r w:rsidR="00E30BB0">
        <w:rPr>
          <w:rFonts w:cstheme="minorHAnsi"/>
          <w:color w:val="000000" w:themeColor="text1"/>
        </w:rPr>
        <w:t>2</w:t>
      </w:r>
      <w:r w:rsidR="009C6C97">
        <w:rPr>
          <w:rFonts w:cstheme="minorHAnsi"/>
          <w:color w:val="000000" w:themeColor="text1"/>
        </w:rPr>
        <w:t>.</w:t>
      </w:r>
      <w:r w:rsidR="00E30BB0">
        <w:rPr>
          <w:rFonts w:cstheme="minorHAnsi"/>
          <w:color w:val="000000" w:themeColor="text1"/>
        </w:rPr>
        <w:t>7% to 2</w:t>
      </w:r>
      <w:r w:rsidR="009C6C97">
        <w:rPr>
          <w:rFonts w:cstheme="minorHAnsi"/>
          <w:color w:val="000000" w:themeColor="text1"/>
        </w:rPr>
        <w:t>.</w:t>
      </w:r>
      <w:r w:rsidR="00E30BB0">
        <w:rPr>
          <w:rFonts w:cstheme="minorHAnsi"/>
          <w:color w:val="000000" w:themeColor="text1"/>
        </w:rPr>
        <w:t>2% in</w:t>
      </w:r>
      <w:r w:rsidR="00082663">
        <w:rPr>
          <w:rFonts w:cstheme="minorHAnsi"/>
          <w:color w:val="000000" w:themeColor="text1"/>
        </w:rPr>
        <w:t xml:space="preserve"> </w:t>
      </w:r>
      <w:r w:rsidR="0021680A">
        <w:rPr>
          <w:rFonts w:cstheme="minorHAnsi"/>
          <w:color w:val="000000" w:themeColor="text1"/>
        </w:rPr>
        <w:t>urban</w:t>
      </w:r>
      <w:r w:rsidR="00082663">
        <w:rPr>
          <w:rFonts w:cstheme="minorHAnsi"/>
          <w:color w:val="000000" w:themeColor="text1"/>
        </w:rPr>
        <w:t xml:space="preserve"> areas </w:t>
      </w:r>
      <w:r w:rsidR="00E30BB0">
        <w:rPr>
          <w:rFonts w:cstheme="minorHAnsi"/>
          <w:color w:val="000000" w:themeColor="text1"/>
        </w:rPr>
        <w:t>and from 5</w:t>
      </w:r>
      <w:r w:rsidR="009C6C97">
        <w:rPr>
          <w:rFonts w:cstheme="minorHAnsi"/>
          <w:color w:val="000000" w:themeColor="text1"/>
        </w:rPr>
        <w:t>.</w:t>
      </w:r>
      <w:r w:rsidR="00E30BB0">
        <w:rPr>
          <w:rFonts w:cstheme="minorHAnsi"/>
          <w:color w:val="000000" w:themeColor="text1"/>
        </w:rPr>
        <w:t>8% to 5</w:t>
      </w:r>
      <w:r w:rsidR="009C6C97">
        <w:rPr>
          <w:rFonts w:cstheme="minorHAnsi"/>
          <w:color w:val="000000" w:themeColor="text1"/>
        </w:rPr>
        <w:t>.</w:t>
      </w:r>
      <w:r w:rsidR="00E30BB0">
        <w:rPr>
          <w:rFonts w:cstheme="minorHAnsi"/>
          <w:color w:val="000000" w:themeColor="text1"/>
        </w:rPr>
        <w:t xml:space="preserve">1% in </w:t>
      </w:r>
      <w:r w:rsidR="0021680A">
        <w:rPr>
          <w:rFonts w:cstheme="minorHAnsi"/>
          <w:color w:val="000000" w:themeColor="text1"/>
        </w:rPr>
        <w:t>rural</w:t>
      </w:r>
      <w:r w:rsidR="00E30BB0">
        <w:rPr>
          <w:rFonts w:cstheme="minorHAnsi"/>
          <w:color w:val="000000" w:themeColor="text1"/>
        </w:rPr>
        <w:t xml:space="preserve"> areas</w:t>
      </w:r>
      <w:r w:rsidR="00082663">
        <w:rPr>
          <w:rFonts w:cstheme="minorHAnsi"/>
          <w:color w:val="000000" w:themeColor="text1"/>
        </w:rPr>
        <w:t xml:space="preserve"> </w:t>
      </w:r>
    </w:p>
    <w:p w14:paraId="04714980" w14:textId="2FE01739" w:rsidR="00BC0EF7" w:rsidRDefault="007C44B3" w:rsidP="00976D0B">
      <w:pPr>
        <w:jc w:val="both"/>
        <w:rPr>
          <w:rFonts w:cstheme="minorHAnsi"/>
        </w:rPr>
      </w:pPr>
      <w:r>
        <w:rPr>
          <w:rFonts w:cstheme="minorHAnsi"/>
        </w:rPr>
        <w:t>Having a</w:t>
      </w:r>
      <w:r w:rsidR="0004131A">
        <w:rPr>
          <w:rFonts w:cstheme="minorHAnsi"/>
        </w:rPr>
        <w:t>nalyz</w:t>
      </w:r>
      <w:r>
        <w:rPr>
          <w:rFonts w:cstheme="minorHAnsi"/>
        </w:rPr>
        <w:t>ed</w:t>
      </w:r>
      <w:r w:rsidR="0004131A">
        <w:rPr>
          <w:rFonts w:cstheme="minorHAnsi"/>
        </w:rPr>
        <w:t xml:space="preserve"> the trend </w:t>
      </w:r>
      <w:r w:rsidR="00E30BB0">
        <w:rPr>
          <w:rFonts w:cstheme="minorHAnsi"/>
        </w:rPr>
        <w:t>according to both the SDG and the self-assessed</w:t>
      </w:r>
      <w:r w:rsidR="0004131A">
        <w:rPr>
          <w:rFonts w:cstheme="minorHAnsi"/>
        </w:rPr>
        <w:t xml:space="preserve"> unfit housing indicators</w:t>
      </w:r>
      <w:r>
        <w:rPr>
          <w:rFonts w:cstheme="minorHAnsi"/>
        </w:rPr>
        <w:t>,</w:t>
      </w:r>
      <w:r w:rsidR="0004131A">
        <w:rPr>
          <w:rFonts w:cstheme="minorHAnsi"/>
        </w:rPr>
        <w:t xml:space="preserve"> </w:t>
      </w:r>
      <w:r w:rsidR="00921FEB">
        <w:rPr>
          <w:rFonts w:cstheme="minorHAnsi"/>
        </w:rPr>
        <w:t xml:space="preserve">there seem to be some indications that </w:t>
      </w:r>
      <w:r w:rsidR="0004131A">
        <w:rPr>
          <w:rFonts w:cstheme="minorHAnsi"/>
        </w:rPr>
        <w:t xml:space="preserve">the problem of unfit housing </w:t>
      </w:r>
      <w:r w:rsidR="00921FEB">
        <w:rPr>
          <w:rFonts w:cstheme="minorHAnsi"/>
        </w:rPr>
        <w:t>is slowly becoming</w:t>
      </w:r>
      <w:r w:rsidR="0004131A">
        <w:rPr>
          <w:rFonts w:cstheme="minorHAnsi"/>
        </w:rPr>
        <w:t xml:space="preserve"> less </w:t>
      </w:r>
      <w:r w:rsidR="00921FEB">
        <w:rPr>
          <w:rFonts w:cstheme="minorHAnsi"/>
        </w:rPr>
        <w:t>severe</w:t>
      </w:r>
      <w:r w:rsidR="00202405">
        <w:rPr>
          <w:rFonts w:cstheme="minorHAnsi"/>
        </w:rPr>
        <w:t>.</w:t>
      </w:r>
      <w:r w:rsidR="00921FEB">
        <w:rPr>
          <w:rFonts w:cstheme="minorHAnsi"/>
        </w:rPr>
        <w:t xml:space="preserve"> However, </w:t>
      </w:r>
      <w:r w:rsidR="00C5511B">
        <w:rPr>
          <w:rFonts w:cstheme="minorHAnsi"/>
        </w:rPr>
        <w:t xml:space="preserve">due to </w:t>
      </w:r>
      <w:r w:rsidR="000B791D">
        <w:rPr>
          <w:rFonts w:cstheme="minorHAnsi"/>
        </w:rPr>
        <w:t xml:space="preserve">big variation in the indicators, </w:t>
      </w:r>
      <w:r w:rsidR="009E3298">
        <w:rPr>
          <w:rFonts w:cstheme="minorHAnsi"/>
        </w:rPr>
        <w:t xml:space="preserve">to the large share of household reporting to be living in households needing renovation, </w:t>
      </w:r>
      <w:r w:rsidR="000B791D">
        <w:rPr>
          <w:rFonts w:cstheme="minorHAnsi"/>
        </w:rPr>
        <w:t xml:space="preserve">and to the non-negligible share of households reporting to be living in houses at risk of collapse, </w:t>
      </w:r>
      <w:r w:rsidR="003E4E47">
        <w:rPr>
          <w:rFonts w:cstheme="minorHAnsi"/>
        </w:rPr>
        <w:t xml:space="preserve">the need for </w:t>
      </w:r>
      <w:r w:rsidR="0000132B">
        <w:rPr>
          <w:rFonts w:cstheme="minorHAnsi"/>
        </w:rPr>
        <w:t xml:space="preserve">urgent </w:t>
      </w:r>
      <w:r w:rsidR="003E4E47">
        <w:rPr>
          <w:rFonts w:cstheme="minorHAnsi"/>
        </w:rPr>
        <w:t>government intervention cannot be rule</w:t>
      </w:r>
      <w:r w:rsidR="0000132B">
        <w:rPr>
          <w:rFonts w:cstheme="minorHAnsi"/>
        </w:rPr>
        <w:t>d</w:t>
      </w:r>
      <w:r w:rsidR="003E4E47">
        <w:rPr>
          <w:rFonts w:cstheme="minorHAnsi"/>
        </w:rPr>
        <w:t xml:space="preserve"> out</w:t>
      </w:r>
      <w:r w:rsidR="00202405">
        <w:rPr>
          <w:rFonts w:cstheme="minorHAnsi"/>
        </w:rPr>
        <w:t>.</w:t>
      </w:r>
      <w:r w:rsidR="003E4E47">
        <w:rPr>
          <w:rFonts w:cstheme="minorHAnsi"/>
        </w:rPr>
        <w:t xml:space="preserve"> </w:t>
      </w:r>
      <w:r w:rsidR="00BC0EF7">
        <w:rPr>
          <w:rFonts w:cstheme="minorHAnsi"/>
        </w:rPr>
        <w:t xml:space="preserve">This intervention should focus </w:t>
      </w:r>
      <w:r w:rsidR="00EB5695">
        <w:rPr>
          <w:rFonts w:cstheme="minorHAnsi"/>
        </w:rPr>
        <w:t xml:space="preserve">initially on the identification of </w:t>
      </w:r>
      <w:r w:rsidR="006F480B">
        <w:rPr>
          <w:rFonts w:cstheme="minorHAnsi"/>
        </w:rPr>
        <w:t xml:space="preserve">the houses at risk of collapse, in order to </w:t>
      </w:r>
      <w:r w:rsidR="006F480B">
        <w:rPr>
          <w:rFonts w:cstheme="minorHAnsi"/>
        </w:rPr>
        <w:lastRenderedPageBreak/>
        <w:t>prevent not only homelessness</w:t>
      </w:r>
      <w:r w:rsidR="00DF31BC">
        <w:rPr>
          <w:rFonts w:cstheme="minorHAnsi"/>
        </w:rPr>
        <w:t xml:space="preserve"> but also – more importantly – the loss of human lives</w:t>
      </w:r>
      <w:r w:rsidR="00202405">
        <w:rPr>
          <w:rFonts w:cstheme="minorHAnsi"/>
        </w:rPr>
        <w:t>.</w:t>
      </w:r>
      <w:r w:rsidR="00847047">
        <w:rPr>
          <w:rFonts w:cstheme="minorHAnsi"/>
        </w:rPr>
        <w:t xml:space="preserve"> At a later stage, another important action would be the </w:t>
      </w:r>
      <w:r w:rsidR="000638CF">
        <w:rPr>
          <w:rFonts w:cstheme="minorHAnsi"/>
        </w:rPr>
        <w:t>assessment of the fitness of the housing stock, in order to produce more accurate statistics on which to base the</w:t>
      </w:r>
      <w:r w:rsidR="009E722D">
        <w:rPr>
          <w:rFonts w:cstheme="minorHAnsi"/>
        </w:rPr>
        <w:t xml:space="preserve"> national</w:t>
      </w:r>
      <w:r w:rsidR="000638CF">
        <w:rPr>
          <w:rFonts w:cstheme="minorHAnsi"/>
        </w:rPr>
        <w:t xml:space="preserve"> housing</w:t>
      </w:r>
      <w:r w:rsidR="009E3298">
        <w:rPr>
          <w:rFonts w:cstheme="minorHAnsi"/>
        </w:rPr>
        <w:t xml:space="preserve"> policy</w:t>
      </w:r>
      <w:r w:rsidR="00202405">
        <w:rPr>
          <w:rFonts w:cstheme="minorHAnsi"/>
        </w:rPr>
        <w:t>.</w:t>
      </w:r>
    </w:p>
    <w:p w14:paraId="59EC819C" w14:textId="4E125493" w:rsidR="009D2A14" w:rsidRDefault="009D2A14" w:rsidP="009D2A14">
      <w:pPr>
        <w:jc w:val="both"/>
        <w:rPr>
          <w:rFonts w:cstheme="minorHAnsi"/>
        </w:rPr>
      </w:pPr>
      <w:r>
        <w:rPr>
          <w:rFonts w:cstheme="minorHAnsi"/>
        </w:rPr>
        <w:t xml:space="preserve">As an additional proxy of the quality of the housing stock in which people </w:t>
      </w:r>
      <w:r w:rsidR="00202405">
        <w:rPr>
          <w:rFonts w:cstheme="minorHAnsi"/>
        </w:rPr>
        <w:t>live,</w:t>
      </w:r>
      <w:r>
        <w:rPr>
          <w:rFonts w:cstheme="minorHAnsi"/>
        </w:rPr>
        <w:t xml:space="preserve"> we decided to examine the date of construction of buildings</w:t>
      </w:r>
      <w:r w:rsidRPr="00CB6FEA">
        <w:rPr>
          <w:rFonts w:cstheme="minorHAnsi"/>
        </w:rPr>
        <w:t xml:space="preserve"> </w:t>
      </w:r>
      <w:r w:rsidRPr="00454C26">
        <w:rPr>
          <w:rFonts w:cstheme="minorHAnsi"/>
        </w:rPr>
        <w:t xml:space="preserve">Looking at Table </w:t>
      </w:r>
      <w:r w:rsidR="008F3E6B">
        <w:rPr>
          <w:rFonts w:cstheme="minorHAnsi"/>
        </w:rPr>
        <w:t>6</w:t>
      </w:r>
      <w:r w:rsidRPr="00454C26">
        <w:rPr>
          <w:rFonts w:cstheme="minorHAnsi"/>
        </w:rPr>
        <w:t>&amp;</w:t>
      </w:r>
      <w:r w:rsidR="008F3E6B">
        <w:rPr>
          <w:rFonts w:cstheme="minorHAnsi"/>
        </w:rPr>
        <w:t>7</w:t>
      </w:r>
      <w:r w:rsidRPr="00454C26">
        <w:rPr>
          <w:rFonts w:cstheme="minorHAnsi"/>
        </w:rPr>
        <w:t xml:space="preserve"> it</w:t>
      </w:r>
      <w:r>
        <w:rPr>
          <w:rFonts w:cstheme="minorHAnsi"/>
        </w:rPr>
        <w:t xml:space="preserve"> can be told that in </w:t>
      </w:r>
      <w:r w:rsidR="0021680A">
        <w:rPr>
          <w:rFonts w:cstheme="minorHAnsi"/>
        </w:rPr>
        <w:t>urban</w:t>
      </w:r>
      <w:r>
        <w:rPr>
          <w:rFonts w:cstheme="minorHAnsi"/>
        </w:rPr>
        <w:t xml:space="preserve"> areas the majority of households over years live in houses built in </w:t>
      </w:r>
      <w:r w:rsidRPr="00394FBB">
        <w:rPr>
          <w:rFonts w:cstheme="minorHAnsi"/>
        </w:rPr>
        <w:t>19</w:t>
      </w:r>
      <w:r>
        <w:rPr>
          <w:rFonts w:cstheme="minorHAnsi"/>
        </w:rPr>
        <w:t>8</w:t>
      </w:r>
      <w:r w:rsidRPr="00394FBB">
        <w:rPr>
          <w:rFonts w:cstheme="minorHAnsi"/>
        </w:rPr>
        <w:t>0-19</w:t>
      </w:r>
      <w:r>
        <w:rPr>
          <w:rFonts w:cstheme="minorHAnsi"/>
        </w:rPr>
        <w:t>9</w:t>
      </w:r>
      <w:r w:rsidRPr="00394FBB">
        <w:rPr>
          <w:rFonts w:cstheme="minorHAnsi"/>
        </w:rPr>
        <w:t>9</w:t>
      </w:r>
      <w:r>
        <w:rPr>
          <w:rFonts w:cstheme="minorHAnsi"/>
        </w:rPr>
        <w:t xml:space="preserve"> (20 to </w:t>
      </w:r>
      <w:r w:rsidR="00202405">
        <w:rPr>
          <w:rFonts w:cstheme="minorHAnsi"/>
        </w:rPr>
        <w:t>39 years</w:t>
      </w:r>
      <w:r>
        <w:rPr>
          <w:rFonts w:cstheme="minorHAnsi"/>
        </w:rPr>
        <w:t xml:space="preserve"> old). Even though in last two years it has been seen that the share of people who live in newly built (after 2000) houses increases the trend is not so clear over the twelve-year period. As for </w:t>
      </w:r>
      <w:r w:rsidR="0021680A">
        <w:rPr>
          <w:rFonts w:cstheme="minorHAnsi"/>
        </w:rPr>
        <w:t>rural</w:t>
      </w:r>
      <w:r>
        <w:rPr>
          <w:rFonts w:cstheme="minorHAnsi"/>
        </w:rPr>
        <w:t xml:space="preserve"> areas, here the majority of housing stocks occupied by households are built over 1960-1979 period (40 to 59 years old). In 2018, 3.3% and 5.6% of households, from </w:t>
      </w:r>
      <w:r w:rsidR="0021680A">
        <w:rPr>
          <w:rFonts w:cstheme="minorHAnsi"/>
        </w:rPr>
        <w:t>urban</w:t>
      </w:r>
      <w:r>
        <w:rPr>
          <w:rFonts w:cstheme="minorHAnsi"/>
        </w:rPr>
        <w:t xml:space="preserve"> and </w:t>
      </w:r>
      <w:r w:rsidR="0021680A">
        <w:rPr>
          <w:rFonts w:cstheme="minorHAnsi"/>
        </w:rPr>
        <w:t>rural</w:t>
      </w:r>
      <w:r>
        <w:rPr>
          <w:rFonts w:cstheme="minorHAnsi"/>
        </w:rPr>
        <w:t xml:space="preserve"> areas, respectively, lived in houses built after 2000 year. The most vulnerable group from here could be the households who live in old-dated houses. This group contain families who live in the houses built before 1920, even though the average share of households is decreasing over year in both </w:t>
      </w:r>
      <w:r w:rsidR="0021680A">
        <w:rPr>
          <w:rFonts w:cstheme="minorHAnsi"/>
        </w:rPr>
        <w:t>urban</w:t>
      </w:r>
      <w:r>
        <w:rPr>
          <w:rFonts w:cstheme="minorHAnsi"/>
        </w:rPr>
        <w:t xml:space="preserve"> and </w:t>
      </w:r>
      <w:r w:rsidR="0021680A">
        <w:rPr>
          <w:rFonts w:cstheme="minorHAnsi"/>
        </w:rPr>
        <w:t>rural</w:t>
      </w:r>
      <w:r>
        <w:rPr>
          <w:rFonts w:cstheme="minorHAnsi"/>
        </w:rPr>
        <w:t xml:space="preserve"> areas, in 2018 there are still 1.3% and 1.1% of households in </w:t>
      </w:r>
      <w:r w:rsidR="0021680A">
        <w:rPr>
          <w:rFonts w:cstheme="minorHAnsi"/>
        </w:rPr>
        <w:t>urban</w:t>
      </w:r>
      <w:r>
        <w:rPr>
          <w:rFonts w:cstheme="minorHAnsi"/>
        </w:rPr>
        <w:t xml:space="preserve"> and </w:t>
      </w:r>
      <w:r w:rsidR="0021680A">
        <w:rPr>
          <w:rFonts w:cstheme="minorHAnsi"/>
        </w:rPr>
        <w:t>rural</w:t>
      </w:r>
      <w:r>
        <w:rPr>
          <w:rFonts w:cstheme="minorHAnsi"/>
        </w:rPr>
        <w:t xml:space="preserve"> areas living in old dwellings.</w:t>
      </w:r>
    </w:p>
    <w:p w14:paraId="4036B6F6" w14:textId="67C5A423" w:rsidR="00DE7DAB" w:rsidRPr="008F3E6B" w:rsidRDefault="008F3E6B" w:rsidP="008F3E6B">
      <w:pPr>
        <w:pStyle w:val="Caption"/>
        <w:rPr>
          <w:rFonts w:cstheme="minorHAnsi"/>
        </w:rPr>
      </w:pPr>
      <w:r>
        <w:t xml:space="preserve">Table </w:t>
      </w:r>
      <w:fldSimple w:instr=" SEQ Table \* ARABIC ">
        <w:r>
          <w:rPr>
            <w:noProof/>
          </w:rPr>
          <w:t>6</w:t>
        </w:r>
      </w:fldSimple>
      <w:r w:rsidR="00082663">
        <w:t xml:space="preserve">: The average distribution of households in housing stock according to the building age in </w:t>
      </w:r>
      <w:r w:rsidR="0021680A">
        <w:t>urban</w:t>
      </w:r>
      <w:r w:rsidR="00082663">
        <w:t xml:space="preserve"> </w:t>
      </w:r>
      <w:r w:rsidR="0021680A">
        <w:t>a</w:t>
      </w:r>
      <w:r w:rsidR="00082663">
        <w:t>reas</w:t>
      </w:r>
    </w:p>
    <w:tbl>
      <w:tblPr>
        <w:tblStyle w:val="GridTable1Light-Accent1"/>
        <w:tblW w:w="8880" w:type="dxa"/>
        <w:tblLook w:val="04A0" w:firstRow="1" w:lastRow="0" w:firstColumn="1" w:lastColumn="0" w:noHBand="0" w:noVBand="1"/>
      </w:tblPr>
      <w:tblGrid>
        <w:gridCol w:w="758"/>
        <w:gridCol w:w="701"/>
        <w:gridCol w:w="701"/>
        <w:gridCol w:w="701"/>
        <w:gridCol w:w="701"/>
        <w:gridCol w:w="701"/>
        <w:gridCol w:w="701"/>
        <w:gridCol w:w="701"/>
        <w:gridCol w:w="701"/>
        <w:gridCol w:w="701"/>
        <w:gridCol w:w="701"/>
        <w:gridCol w:w="701"/>
        <w:gridCol w:w="701"/>
      </w:tblGrid>
      <w:tr w:rsidR="00DE7DAB" w:rsidRPr="00DE7DAB" w14:paraId="3DB53716" w14:textId="77777777" w:rsidTr="00D74D8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1575CA32" w14:textId="594C8620" w:rsidR="00DE7DAB" w:rsidRPr="00DE7DAB" w:rsidRDefault="0021680A" w:rsidP="00DE7DAB">
            <w:pPr>
              <w:rPr>
                <w:rFonts w:ascii="Calibri" w:eastAsia="Times New Roman" w:hAnsi="Calibri" w:cs="Calibri"/>
                <w:color w:val="000000"/>
              </w:rPr>
            </w:pPr>
            <w:r>
              <w:rPr>
                <w:rFonts w:ascii="Calibri" w:eastAsia="Times New Roman" w:hAnsi="Calibri" w:cs="Calibri"/>
                <w:color w:val="000000"/>
              </w:rPr>
              <w:t>Urban</w:t>
            </w:r>
          </w:p>
        </w:tc>
        <w:tc>
          <w:tcPr>
            <w:tcW w:w="0" w:type="dxa"/>
            <w:noWrap/>
            <w:hideMark/>
          </w:tcPr>
          <w:p w14:paraId="62DA9357"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2007</w:t>
            </w:r>
          </w:p>
        </w:tc>
        <w:tc>
          <w:tcPr>
            <w:tcW w:w="0" w:type="dxa"/>
            <w:noWrap/>
            <w:hideMark/>
          </w:tcPr>
          <w:p w14:paraId="76534CC4"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2008</w:t>
            </w:r>
          </w:p>
        </w:tc>
        <w:tc>
          <w:tcPr>
            <w:tcW w:w="0" w:type="dxa"/>
            <w:noWrap/>
            <w:hideMark/>
          </w:tcPr>
          <w:p w14:paraId="74B4E513"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2009</w:t>
            </w:r>
          </w:p>
        </w:tc>
        <w:tc>
          <w:tcPr>
            <w:tcW w:w="0" w:type="dxa"/>
            <w:noWrap/>
            <w:hideMark/>
          </w:tcPr>
          <w:p w14:paraId="5AC4FD11"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2010</w:t>
            </w:r>
          </w:p>
        </w:tc>
        <w:tc>
          <w:tcPr>
            <w:tcW w:w="0" w:type="dxa"/>
            <w:noWrap/>
            <w:hideMark/>
          </w:tcPr>
          <w:p w14:paraId="522D560F"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2011</w:t>
            </w:r>
          </w:p>
        </w:tc>
        <w:tc>
          <w:tcPr>
            <w:tcW w:w="0" w:type="dxa"/>
            <w:noWrap/>
            <w:hideMark/>
          </w:tcPr>
          <w:p w14:paraId="304B51F8"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2012</w:t>
            </w:r>
          </w:p>
        </w:tc>
        <w:tc>
          <w:tcPr>
            <w:tcW w:w="0" w:type="dxa"/>
            <w:noWrap/>
            <w:hideMark/>
          </w:tcPr>
          <w:p w14:paraId="54946CBC"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2013</w:t>
            </w:r>
          </w:p>
        </w:tc>
        <w:tc>
          <w:tcPr>
            <w:tcW w:w="0" w:type="dxa"/>
            <w:noWrap/>
            <w:hideMark/>
          </w:tcPr>
          <w:p w14:paraId="5D1C59BD"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2014</w:t>
            </w:r>
          </w:p>
        </w:tc>
        <w:tc>
          <w:tcPr>
            <w:tcW w:w="0" w:type="dxa"/>
            <w:noWrap/>
            <w:hideMark/>
          </w:tcPr>
          <w:p w14:paraId="23AB81A7"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2015</w:t>
            </w:r>
          </w:p>
        </w:tc>
        <w:tc>
          <w:tcPr>
            <w:tcW w:w="0" w:type="dxa"/>
            <w:noWrap/>
            <w:hideMark/>
          </w:tcPr>
          <w:p w14:paraId="05999CEB"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2016</w:t>
            </w:r>
          </w:p>
        </w:tc>
        <w:tc>
          <w:tcPr>
            <w:tcW w:w="0" w:type="dxa"/>
            <w:noWrap/>
            <w:hideMark/>
          </w:tcPr>
          <w:p w14:paraId="71258E27"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2017</w:t>
            </w:r>
          </w:p>
        </w:tc>
        <w:tc>
          <w:tcPr>
            <w:tcW w:w="0" w:type="dxa"/>
            <w:noWrap/>
            <w:hideMark/>
          </w:tcPr>
          <w:p w14:paraId="48CB6381" w14:textId="77777777" w:rsidR="00DE7DAB" w:rsidRPr="00DE7DAB" w:rsidRDefault="00DE7DAB" w:rsidP="00DE7DA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DE7DAB">
              <w:rPr>
                <w:rFonts w:ascii="Calibri" w:eastAsia="Times New Roman" w:hAnsi="Calibri" w:cs="Calibri"/>
                <w:color w:val="000000"/>
              </w:rPr>
              <w:t>2018</w:t>
            </w:r>
          </w:p>
        </w:tc>
      </w:tr>
      <w:tr w:rsidR="00DE7DAB" w:rsidRPr="00DE7DAB" w14:paraId="1F766C1D" w14:textId="77777777" w:rsidTr="00D74D8C">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6C0F1E0E" w14:textId="77777777" w:rsidR="00DE7DAB" w:rsidRPr="00DE7DAB" w:rsidRDefault="00DE7DAB" w:rsidP="00DE7DAB">
            <w:pPr>
              <w:rPr>
                <w:rFonts w:ascii="Calibri" w:eastAsia="Times New Roman" w:hAnsi="Calibri" w:cs="Calibri"/>
                <w:color w:val="000000"/>
              </w:rPr>
            </w:pPr>
            <w:r w:rsidRPr="00DE7DAB">
              <w:rPr>
                <w:rFonts w:ascii="Calibri" w:eastAsia="Times New Roman" w:hAnsi="Calibri" w:cs="Calibri"/>
                <w:color w:val="000000"/>
              </w:rPr>
              <w:t>After 2000</w:t>
            </w:r>
          </w:p>
        </w:tc>
        <w:tc>
          <w:tcPr>
            <w:tcW w:w="0" w:type="dxa"/>
            <w:noWrap/>
            <w:hideMark/>
          </w:tcPr>
          <w:p w14:paraId="1B0101D7"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0.4%</w:t>
            </w:r>
          </w:p>
        </w:tc>
        <w:tc>
          <w:tcPr>
            <w:tcW w:w="0" w:type="dxa"/>
            <w:noWrap/>
            <w:hideMark/>
          </w:tcPr>
          <w:p w14:paraId="10B0473C"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0.2%</w:t>
            </w:r>
          </w:p>
        </w:tc>
        <w:tc>
          <w:tcPr>
            <w:tcW w:w="0" w:type="dxa"/>
            <w:noWrap/>
            <w:hideMark/>
          </w:tcPr>
          <w:p w14:paraId="55A99021"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1.5%</w:t>
            </w:r>
          </w:p>
        </w:tc>
        <w:tc>
          <w:tcPr>
            <w:tcW w:w="0" w:type="dxa"/>
            <w:noWrap/>
            <w:hideMark/>
          </w:tcPr>
          <w:p w14:paraId="650B18D4"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1.4%</w:t>
            </w:r>
          </w:p>
        </w:tc>
        <w:tc>
          <w:tcPr>
            <w:tcW w:w="0" w:type="dxa"/>
            <w:noWrap/>
            <w:hideMark/>
          </w:tcPr>
          <w:p w14:paraId="75C46ADC"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0.9%</w:t>
            </w:r>
          </w:p>
        </w:tc>
        <w:tc>
          <w:tcPr>
            <w:tcW w:w="0" w:type="dxa"/>
            <w:noWrap/>
            <w:hideMark/>
          </w:tcPr>
          <w:p w14:paraId="0B445EB4"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1.0%</w:t>
            </w:r>
          </w:p>
        </w:tc>
        <w:tc>
          <w:tcPr>
            <w:tcW w:w="0" w:type="dxa"/>
            <w:noWrap/>
            <w:hideMark/>
          </w:tcPr>
          <w:p w14:paraId="58F1DEB4"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1.4%</w:t>
            </w:r>
          </w:p>
        </w:tc>
        <w:tc>
          <w:tcPr>
            <w:tcW w:w="0" w:type="dxa"/>
            <w:noWrap/>
            <w:hideMark/>
          </w:tcPr>
          <w:p w14:paraId="51F98BE3"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1.6%</w:t>
            </w:r>
          </w:p>
        </w:tc>
        <w:tc>
          <w:tcPr>
            <w:tcW w:w="0" w:type="dxa"/>
            <w:noWrap/>
            <w:hideMark/>
          </w:tcPr>
          <w:p w14:paraId="6D785DE7"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1.3%</w:t>
            </w:r>
          </w:p>
        </w:tc>
        <w:tc>
          <w:tcPr>
            <w:tcW w:w="0" w:type="dxa"/>
            <w:noWrap/>
            <w:hideMark/>
          </w:tcPr>
          <w:p w14:paraId="3DB749F9"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1.7%</w:t>
            </w:r>
          </w:p>
        </w:tc>
        <w:tc>
          <w:tcPr>
            <w:tcW w:w="0" w:type="dxa"/>
            <w:noWrap/>
            <w:hideMark/>
          </w:tcPr>
          <w:p w14:paraId="3B9DB464"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3.8%</w:t>
            </w:r>
          </w:p>
        </w:tc>
        <w:tc>
          <w:tcPr>
            <w:tcW w:w="0" w:type="dxa"/>
            <w:noWrap/>
            <w:hideMark/>
          </w:tcPr>
          <w:p w14:paraId="2C1E3F7D"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3.3%</w:t>
            </w:r>
          </w:p>
        </w:tc>
      </w:tr>
      <w:tr w:rsidR="00DE7DAB" w:rsidRPr="00DE7DAB" w14:paraId="6CA6109A" w14:textId="77777777" w:rsidTr="00D74D8C">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D1E55E0" w14:textId="77777777" w:rsidR="00DE7DAB" w:rsidRPr="00DE7DAB" w:rsidRDefault="00DE7DAB" w:rsidP="00DE7DAB">
            <w:pPr>
              <w:rPr>
                <w:rFonts w:ascii="Calibri" w:eastAsia="Times New Roman" w:hAnsi="Calibri" w:cs="Calibri"/>
                <w:color w:val="000000"/>
              </w:rPr>
            </w:pPr>
            <w:r w:rsidRPr="00DE7DAB">
              <w:rPr>
                <w:rFonts w:ascii="Calibri" w:eastAsia="Times New Roman" w:hAnsi="Calibri" w:cs="Calibri"/>
                <w:color w:val="000000"/>
              </w:rPr>
              <w:t>1980-1999</w:t>
            </w:r>
          </w:p>
        </w:tc>
        <w:tc>
          <w:tcPr>
            <w:tcW w:w="0" w:type="dxa"/>
            <w:noWrap/>
            <w:hideMark/>
          </w:tcPr>
          <w:p w14:paraId="2FD134D6"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28.2%</w:t>
            </w:r>
          </w:p>
        </w:tc>
        <w:tc>
          <w:tcPr>
            <w:tcW w:w="0" w:type="dxa"/>
            <w:noWrap/>
            <w:hideMark/>
          </w:tcPr>
          <w:p w14:paraId="07E4D401"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22.8%</w:t>
            </w:r>
          </w:p>
        </w:tc>
        <w:tc>
          <w:tcPr>
            <w:tcW w:w="0" w:type="dxa"/>
            <w:noWrap/>
            <w:hideMark/>
          </w:tcPr>
          <w:p w14:paraId="70A5F12B"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21.0%</w:t>
            </w:r>
          </w:p>
        </w:tc>
        <w:tc>
          <w:tcPr>
            <w:tcW w:w="0" w:type="dxa"/>
            <w:noWrap/>
            <w:hideMark/>
          </w:tcPr>
          <w:p w14:paraId="2921F16A"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20.3%</w:t>
            </w:r>
          </w:p>
        </w:tc>
        <w:tc>
          <w:tcPr>
            <w:tcW w:w="0" w:type="dxa"/>
            <w:noWrap/>
            <w:hideMark/>
          </w:tcPr>
          <w:p w14:paraId="16372D7A"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17.3%</w:t>
            </w:r>
          </w:p>
        </w:tc>
        <w:tc>
          <w:tcPr>
            <w:tcW w:w="0" w:type="dxa"/>
            <w:noWrap/>
            <w:hideMark/>
          </w:tcPr>
          <w:p w14:paraId="5DD85D1D"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16.8%</w:t>
            </w:r>
          </w:p>
        </w:tc>
        <w:tc>
          <w:tcPr>
            <w:tcW w:w="0" w:type="dxa"/>
            <w:noWrap/>
            <w:hideMark/>
          </w:tcPr>
          <w:p w14:paraId="5078F96D"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21.5%</w:t>
            </w:r>
          </w:p>
        </w:tc>
        <w:tc>
          <w:tcPr>
            <w:tcW w:w="0" w:type="dxa"/>
            <w:noWrap/>
            <w:hideMark/>
          </w:tcPr>
          <w:p w14:paraId="4C05A6E9"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21.7%</w:t>
            </w:r>
          </w:p>
        </w:tc>
        <w:tc>
          <w:tcPr>
            <w:tcW w:w="0" w:type="dxa"/>
            <w:noWrap/>
            <w:hideMark/>
          </w:tcPr>
          <w:p w14:paraId="0FE10A18"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21.0%</w:t>
            </w:r>
          </w:p>
        </w:tc>
        <w:tc>
          <w:tcPr>
            <w:tcW w:w="0" w:type="dxa"/>
            <w:noWrap/>
            <w:hideMark/>
          </w:tcPr>
          <w:p w14:paraId="474CFF34"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18.8%</w:t>
            </w:r>
          </w:p>
        </w:tc>
        <w:tc>
          <w:tcPr>
            <w:tcW w:w="0" w:type="dxa"/>
            <w:noWrap/>
            <w:hideMark/>
          </w:tcPr>
          <w:p w14:paraId="6FE7487A"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18.8%</w:t>
            </w:r>
          </w:p>
        </w:tc>
        <w:tc>
          <w:tcPr>
            <w:tcW w:w="0" w:type="dxa"/>
            <w:noWrap/>
            <w:hideMark/>
          </w:tcPr>
          <w:p w14:paraId="16D46151"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19.7%</w:t>
            </w:r>
          </w:p>
        </w:tc>
      </w:tr>
      <w:tr w:rsidR="00DE7DAB" w:rsidRPr="00DE7DAB" w14:paraId="0E7A9BF4" w14:textId="77777777" w:rsidTr="00D74D8C">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9D7DC48" w14:textId="77777777" w:rsidR="00DE7DAB" w:rsidRPr="00DE7DAB" w:rsidRDefault="00DE7DAB" w:rsidP="00DE7DAB">
            <w:pPr>
              <w:rPr>
                <w:rFonts w:ascii="Calibri" w:eastAsia="Times New Roman" w:hAnsi="Calibri" w:cs="Calibri"/>
                <w:color w:val="000000"/>
              </w:rPr>
            </w:pPr>
            <w:r w:rsidRPr="00DE7DAB">
              <w:rPr>
                <w:rFonts w:ascii="Calibri" w:eastAsia="Times New Roman" w:hAnsi="Calibri" w:cs="Calibri"/>
                <w:color w:val="000000"/>
              </w:rPr>
              <w:t>1960-1979</w:t>
            </w:r>
          </w:p>
        </w:tc>
        <w:tc>
          <w:tcPr>
            <w:tcW w:w="0" w:type="dxa"/>
            <w:noWrap/>
            <w:hideMark/>
          </w:tcPr>
          <w:p w14:paraId="292A8535"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17.6%</w:t>
            </w:r>
          </w:p>
        </w:tc>
        <w:tc>
          <w:tcPr>
            <w:tcW w:w="0" w:type="dxa"/>
            <w:noWrap/>
            <w:hideMark/>
          </w:tcPr>
          <w:p w14:paraId="5F450DEE"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16.7%</w:t>
            </w:r>
          </w:p>
        </w:tc>
        <w:tc>
          <w:tcPr>
            <w:tcW w:w="0" w:type="dxa"/>
            <w:noWrap/>
            <w:hideMark/>
          </w:tcPr>
          <w:p w14:paraId="77344ED5"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13.2%</w:t>
            </w:r>
          </w:p>
        </w:tc>
        <w:tc>
          <w:tcPr>
            <w:tcW w:w="0" w:type="dxa"/>
            <w:noWrap/>
            <w:hideMark/>
          </w:tcPr>
          <w:p w14:paraId="2CC12662"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13.6%</w:t>
            </w:r>
          </w:p>
        </w:tc>
        <w:tc>
          <w:tcPr>
            <w:tcW w:w="0" w:type="dxa"/>
            <w:noWrap/>
            <w:hideMark/>
          </w:tcPr>
          <w:p w14:paraId="08EA51C0"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15.2%</w:t>
            </w:r>
          </w:p>
        </w:tc>
        <w:tc>
          <w:tcPr>
            <w:tcW w:w="0" w:type="dxa"/>
            <w:noWrap/>
            <w:hideMark/>
          </w:tcPr>
          <w:p w14:paraId="204EE58E"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13.3%</w:t>
            </w:r>
          </w:p>
        </w:tc>
        <w:tc>
          <w:tcPr>
            <w:tcW w:w="0" w:type="dxa"/>
            <w:noWrap/>
            <w:hideMark/>
          </w:tcPr>
          <w:p w14:paraId="0DC931E9"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14.3%</w:t>
            </w:r>
          </w:p>
        </w:tc>
        <w:tc>
          <w:tcPr>
            <w:tcW w:w="0" w:type="dxa"/>
            <w:noWrap/>
            <w:hideMark/>
          </w:tcPr>
          <w:p w14:paraId="7A8C6965"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14.7%</w:t>
            </w:r>
          </w:p>
        </w:tc>
        <w:tc>
          <w:tcPr>
            <w:tcW w:w="0" w:type="dxa"/>
            <w:noWrap/>
            <w:hideMark/>
          </w:tcPr>
          <w:p w14:paraId="77B438E8"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14.1%</w:t>
            </w:r>
          </w:p>
        </w:tc>
        <w:tc>
          <w:tcPr>
            <w:tcW w:w="0" w:type="dxa"/>
            <w:noWrap/>
            <w:hideMark/>
          </w:tcPr>
          <w:p w14:paraId="57F807CD"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14.3%</w:t>
            </w:r>
          </w:p>
        </w:tc>
        <w:tc>
          <w:tcPr>
            <w:tcW w:w="0" w:type="dxa"/>
            <w:noWrap/>
            <w:hideMark/>
          </w:tcPr>
          <w:p w14:paraId="6150367C"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13.6%</w:t>
            </w:r>
          </w:p>
        </w:tc>
        <w:tc>
          <w:tcPr>
            <w:tcW w:w="0" w:type="dxa"/>
            <w:noWrap/>
            <w:hideMark/>
          </w:tcPr>
          <w:p w14:paraId="5D472C48"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14.7%</w:t>
            </w:r>
          </w:p>
        </w:tc>
      </w:tr>
      <w:tr w:rsidR="00DE7DAB" w:rsidRPr="00DE7DAB" w14:paraId="19C7FB26" w14:textId="77777777" w:rsidTr="00D74D8C">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10BD924C" w14:textId="77777777" w:rsidR="00DE7DAB" w:rsidRPr="00DE7DAB" w:rsidRDefault="00DE7DAB" w:rsidP="00DE7DAB">
            <w:pPr>
              <w:rPr>
                <w:rFonts w:ascii="Calibri" w:eastAsia="Times New Roman" w:hAnsi="Calibri" w:cs="Calibri"/>
                <w:color w:val="000000"/>
              </w:rPr>
            </w:pPr>
            <w:r w:rsidRPr="00DE7DAB">
              <w:rPr>
                <w:rFonts w:ascii="Calibri" w:eastAsia="Times New Roman" w:hAnsi="Calibri" w:cs="Calibri"/>
                <w:color w:val="000000"/>
              </w:rPr>
              <w:t>1940-1959</w:t>
            </w:r>
          </w:p>
        </w:tc>
        <w:tc>
          <w:tcPr>
            <w:tcW w:w="0" w:type="dxa"/>
            <w:noWrap/>
            <w:hideMark/>
          </w:tcPr>
          <w:p w14:paraId="53A218FE"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15.7%</w:t>
            </w:r>
          </w:p>
        </w:tc>
        <w:tc>
          <w:tcPr>
            <w:tcW w:w="0" w:type="dxa"/>
            <w:noWrap/>
            <w:hideMark/>
          </w:tcPr>
          <w:p w14:paraId="0CA5A8A2"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15.2%</w:t>
            </w:r>
          </w:p>
        </w:tc>
        <w:tc>
          <w:tcPr>
            <w:tcW w:w="0" w:type="dxa"/>
            <w:noWrap/>
            <w:hideMark/>
          </w:tcPr>
          <w:p w14:paraId="4A4318F5"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4.7%</w:t>
            </w:r>
          </w:p>
        </w:tc>
        <w:tc>
          <w:tcPr>
            <w:tcW w:w="0" w:type="dxa"/>
            <w:noWrap/>
            <w:hideMark/>
          </w:tcPr>
          <w:p w14:paraId="0B213B22"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2.8%</w:t>
            </w:r>
          </w:p>
        </w:tc>
        <w:tc>
          <w:tcPr>
            <w:tcW w:w="0" w:type="dxa"/>
            <w:noWrap/>
            <w:hideMark/>
          </w:tcPr>
          <w:p w14:paraId="14E64FCF"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3.6%</w:t>
            </w:r>
          </w:p>
        </w:tc>
        <w:tc>
          <w:tcPr>
            <w:tcW w:w="0" w:type="dxa"/>
            <w:noWrap/>
            <w:hideMark/>
          </w:tcPr>
          <w:p w14:paraId="62908479"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3.2%</w:t>
            </w:r>
          </w:p>
        </w:tc>
        <w:tc>
          <w:tcPr>
            <w:tcW w:w="0" w:type="dxa"/>
            <w:noWrap/>
            <w:hideMark/>
          </w:tcPr>
          <w:p w14:paraId="5D3712B6"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5.0%</w:t>
            </w:r>
          </w:p>
        </w:tc>
        <w:tc>
          <w:tcPr>
            <w:tcW w:w="0" w:type="dxa"/>
            <w:noWrap/>
            <w:hideMark/>
          </w:tcPr>
          <w:p w14:paraId="24D5BA84"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3.0%</w:t>
            </w:r>
          </w:p>
        </w:tc>
        <w:tc>
          <w:tcPr>
            <w:tcW w:w="0" w:type="dxa"/>
            <w:noWrap/>
            <w:hideMark/>
          </w:tcPr>
          <w:p w14:paraId="36613118"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2.0%</w:t>
            </w:r>
          </w:p>
        </w:tc>
        <w:tc>
          <w:tcPr>
            <w:tcW w:w="0" w:type="dxa"/>
            <w:noWrap/>
            <w:hideMark/>
          </w:tcPr>
          <w:p w14:paraId="49A54913"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2.3%</w:t>
            </w:r>
          </w:p>
        </w:tc>
        <w:tc>
          <w:tcPr>
            <w:tcW w:w="0" w:type="dxa"/>
            <w:noWrap/>
            <w:hideMark/>
          </w:tcPr>
          <w:p w14:paraId="64F13232"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2.3%</w:t>
            </w:r>
          </w:p>
        </w:tc>
        <w:tc>
          <w:tcPr>
            <w:tcW w:w="0" w:type="dxa"/>
            <w:noWrap/>
            <w:hideMark/>
          </w:tcPr>
          <w:p w14:paraId="141F8F45"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2.5%</w:t>
            </w:r>
          </w:p>
        </w:tc>
      </w:tr>
      <w:tr w:rsidR="00DE7DAB" w:rsidRPr="00DE7DAB" w14:paraId="11ED9650" w14:textId="77777777" w:rsidTr="00D74D8C">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7FA934F" w14:textId="77777777" w:rsidR="00DE7DAB" w:rsidRPr="00DE7DAB" w:rsidRDefault="00DE7DAB" w:rsidP="00DE7DAB">
            <w:pPr>
              <w:rPr>
                <w:rFonts w:ascii="Calibri" w:eastAsia="Times New Roman" w:hAnsi="Calibri" w:cs="Calibri"/>
                <w:color w:val="000000"/>
              </w:rPr>
            </w:pPr>
            <w:r w:rsidRPr="00DE7DAB">
              <w:rPr>
                <w:rFonts w:ascii="Calibri" w:eastAsia="Times New Roman" w:hAnsi="Calibri" w:cs="Calibri"/>
                <w:color w:val="000000"/>
              </w:rPr>
              <w:t>1920-1939</w:t>
            </w:r>
          </w:p>
        </w:tc>
        <w:tc>
          <w:tcPr>
            <w:tcW w:w="0" w:type="dxa"/>
            <w:noWrap/>
            <w:hideMark/>
          </w:tcPr>
          <w:p w14:paraId="52F20182"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0.0%</w:t>
            </w:r>
          </w:p>
        </w:tc>
        <w:tc>
          <w:tcPr>
            <w:tcW w:w="0" w:type="dxa"/>
            <w:noWrap/>
            <w:hideMark/>
          </w:tcPr>
          <w:p w14:paraId="2930C0D4"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0.3%</w:t>
            </w:r>
          </w:p>
        </w:tc>
        <w:tc>
          <w:tcPr>
            <w:tcW w:w="0" w:type="dxa"/>
            <w:noWrap/>
            <w:hideMark/>
          </w:tcPr>
          <w:p w14:paraId="4E624E5F"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2.2%</w:t>
            </w:r>
          </w:p>
        </w:tc>
        <w:tc>
          <w:tcPr>
            <w:tcW w:w="0" w:type="dxa"/>
            <w:noWrap/>
            <w:hideMark/>
          </w:tcPr>
          <w:p w14:paraId="2C6565AF"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2.3%</w:t>
            </w:r>
          </w:p>
        </w:tc>
        <w:tc>
          <w:tcPr>
            <w:tcW w:w="0" w:type="dxa"/>
            <w:noWrap/>
            <w:hideMark/>
          </w:tcPr>
          <w:p w14:paraId="48FAB5E0"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2.2%</w:t>
            </w:r>
          </w:p>
        </w:tc>
        <w:tc>
          <w:tcPr>
            <w:tcW w:w="0" w:type="dxa"/>
            <w:noWrap/>
            <w:hideMark/>
          </w:tcPr>
          <w:p w14:paraId="55204145"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2.6%</w:t>
            </w:r>
          </w:p>
        </w:tc>
        <w:tc>
          <w:tcPr>
            <w:tcW w:w="0" w:type="dxa"/>
            <w:noWrap/>
            <w:hideMark/>
          </w:tcPr>
          <w:p w14:paraId="5174C750"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1.5%</w:t>
            </w:r>
          </w:p>
        </w:tc>
        <w:tc>
          <w:tcPr>
            <w:tcW w:w="0" w:type="dxa"/>
            <w:noWrap/>
            <w:hideMark/>
          </w:tcPr>
          <w:p w14:paraId="080F1A56"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1.6%</w:t>
            </w:r>
          </w:p>
        </w:tc>
        <w:tc>
          <w:tcPr>
            <w:tcW w:w="0" w:type="dxa"/>
            <w:noWrap/>
            <w:hideMark/>
          </w:tcPr>
          <w:p w14:paraId="467219A7"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2.0%</w:t>
            </w:r>
          </w:p>
        </w:tc>
        <w:tc>
          <w:tcPr>
            <w:tcW w:w="0" w:type="dxa"/>
            <w:noWrap/>
            <w:hideMark/>
          </w:tcPr>
          <w:p w14:paraId="224EEF4A"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2.0%</w:t>
            </w:r>
          </w:p>
        </w:tc>
        <w:tc>
          <w:tcPr>
            <w:tcW w:w="0" w:type="dxa"/>
            <w:noWrap/>
            <w:hideMark/>
          </w:tcPr>
          <w:p w14:paraId="493EB8A2"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1.7%</w:t>
            </w:r>
          </w:p>
        </w:tc>
        <w:tc>
          <w:tcPr>
            <w:tcW w:w="0" w:type="dxa"/>
            <w:noWrap/>
            <w:hideMark/>
          </w:tcPr>
          <w:p w14:paraId="063DF506"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1.3%</w:t>
            </w:r>
          </w:p>
        </w:tc>
      </w:tr>
      <w:tr w:rsidR="00DE7DAB" w:rsidRPr="00DE7DAB" w14:paraId="212E0D92" w14:textId="77777777" w:rsidTr="00D74D8C">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2AC3834" w14:textId="77777777" w:rsidR="00DE7DAB" w:rsidRPr="00DE7DAB" w:rsidRDefault="00DE7DAB" w:rsidP="00DE7DAB">
            <w:pPr>
              <w:rPr>
                <w:rFonts w:ascii="Calibri" w:eastAsia="Times New Roman" w:hAnsi="Calibri" w:cs="Calibri"/>
                <w:color w:val="000000"/>
              </w:rPr>
            </w:pPr>
            <w:r w:rsidRPr="00DE7DAB">
              <w:rPr>
                <w:rFonts w:ascii="Calibri" w:eastAsia="Times New Roman" w:hAnsi="Calibri" w:cs="Calibri"/>
                <w:color w:val="000000"/>
              </w:rPr>
              <w:t>Before 1920</w:t>
            </w:r>
          </w:p>
        </w:tc>
        <w:tc>
          <w:tcPr>
            <w:tcW w:w="0" w:type="dxa"/>
            <w:noWrap/>
            <w:hideMark/>
          </w:tcPr>
          <w:p w14:paraId="03F50520"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0.0%</w:t>
            </w:r>
          </w:p>
        </w:tc>
        <w:tc>
          <w:tcPr>
            <w:tcW w:w="0" w:type="dxa"/>
            <w:noWrap/>
            <w:hideMark/>
          </w:tcPr>
          <w:p w14:paraId="69D2551E"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0.3%</w:t>
            </w:r>
          </w:p>
        </w:tc>
        <w:tc>
          <w:tcPr>
            <w:tcW w:w="0" w:type="dxa"/>
            <w:noWrap/>
            <w:hideMark/>
          </w:tcPr>
          <w:p w14:paraId="45185E74"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2.2%</w:t>
            </w:r>
          </w:p>
        </w:tc>
        <w:tc>
          <w:tcPr>
            <w:tcW w:w="0" w:type="dxa"/>
            <w:noWrap/>
            <w:hideMark/>
          </w:tcPr>
          <w:p w14:paraId="52EC59F6"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2.3%</w:t>
            </w:r>
          </w:p>
        </w:tc>
        <w:tc>
          <w:tcPr>
            <w:tcW w:w="0" w:type="dxa"/>
            <w:noWrap/>
            <w:hideMark/>
          </w:tcPr>
          <w:p w14:paraId="504419B1"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2.2%</w:t>
            </w:r>
          </w:p>
        </w:tc>
        <w:tc>
          <w:tcPr>
            <w:tcW w:w="0" w:type="dxa"/>
            <w:noWrap/>
            <w:hideMark/>
          </w:tcPr>
          <w:p w14:paraId="5F9A87A5"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2.6%</w:t>
            </w:r>
          </w:p>
        </w:tc>
        <w:tc>
          <w:tcPr>
            <w:tcW w:w="0" w:type="dxa"/>
            <w:noWrap/>
            <w:hideMark/>
          </w:tcPr>
          <w:p w14:paraId="4652B7CE"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1.5%</w:t>
            </w:r>
          </w:p>
        </w:tc>
        <w:tc>
          <w:tcPr>
            <w:tcW w:w="0" w:type="dxa"/>
            <w:noWrap/>
            <w:hideMark/>
          </w:tcPr>
          <w:p w14:paraId="6E624521"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1.6%</w:t>
            </w:r>
          </w:p>
        </w:tc>
        <w:tc>
          <w:tcPr>
            <w:tcW w:w="0" w:type="dxa"/>
            <w:noWrap/>
            <w:hideMark/>
          </w:tcPr>
          <w:p w14:paraId="4B030763"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2.0%</w:t>
            </w:r>
          </w:p>
        </w:tc>
        <w:tc>
          <w:tcPr>
            <w:tcW w:w="0" w:type="dxa"/>
            <w:noWrap/>
            <w:hideMark/>
          </w:tcPr>
          <w:p w14:paraId="4E3F394E"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2.0%</w:t>
            </w:r>
          </w:p>
        </w:tc>
        <w:tc>
          <w:tcPr>
            <w:tcW w:w="0" w:type="dxa"/>
            <w:noWrap/>
            <w:hideMark/>
          </w:tcPr>
          <w:p w14:paraId="6A864518"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1.7%</w:t>
            </w:r>
          </w:p>
        </w:tc>
        <w:tc>
          <w:tcPr>
            <w:tcW w:w="0" w:type="dxa"/>
            <w:noWrap/>
            <w:hideMark/>
          </w:tcPr>
          <w:p w14:paraId="3C1588CE"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1.3%</w:t>
            </w:r>
          </w:p>
        </w:tc>
      </w:tr>
      <w:tr w:rsidR="00DE7DAB" w:rsidRPr="00DE7DAB" w14:paraId="600A13E6" w14:textId="77777777" w:rsidTr="00D74D8C">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7ECB5F7E" w14:textId="77777777" w:rsidR="00DE7DAB" w:rsidRPr="00DE7DAB" w:rsidRDefault="00DE7DAB" w:rsidP="00DE7DAB">
            <w:pPr>
              <w:rPr>
                <w:rFonts w:ascii="Calibri" w:eastAsia="Times New Roman" w:hAnsi="Calibri" w:cs="Calibri"/>
                <w:color w:val="000000"/>
              </w:rPr>
            </w:pPr>
            <w:r w:rsidRPr="00DE7DAB">
              <w:rPr>
                <w:rFonts w:ascii="Calibri" w:eastAsia="Times New Roman" w:hAnsi="Calibri" w:cs="Calibri"/>
                <w:color w:val="000000"/>
              </w:rPr>
              <w:t>N/A</w:t>
            </w:r>
          </w:p>
        </w:tc>
        <w:tc>
          <w:tcPr>
            <w:tcW w:w="0" w:type="dxa"/>
            <w:noWrap/>
            <w:hideMark/>
          </w:tcPr>
          <w:p w14:paraId="5B1B7396"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0.0%</w:t>
            </w:r>
          </w:p>
        </w:tc>
        <w:tc>
          <w:tcPr>
            <w:tcW w:w="0" w:type="dxa"/>
            <w:noWrap/>
            <w:hideMark/>
          </w:tcPr>
          <w:p w14:paraId="472E236C"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1.9%</w:t>
            </w:r>
          </w:p>
        </w:tc>
        <w:tc>
          <w:tcPr>
            <w:tcW w:w="0" w:type="dxa"/>
            <w:noWrap/>
            <w:hideMark/>
          </w:tcPr>
          <w:p w14:paraId="5011CF95"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15.8%</w:t>
            </w:r>
          </w:p>
        </w:tc>
        <w:tc>
          <w:tcPr>
            <w:tcW w:w="0" w:type="dxa"/>
            <w:noWrap/>
            <w:hideMark/>
          </w:tcPr>
          <w:p w14:paraId="56556FCD"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21.6%</w:t>
            </w:r>
          </w:p>
        </w:tc>
        <w:tc>
          <w:tcPr>
            <w:tcW w:w="0" w:type="dxa"/>
            <w:noWrap/>
            <w:hideMark/>
          </w:tcPr>
          <w:p w14:paraId="26AF0229"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27.9%</w:t>
            </w:r>
          </w:p>
        </w:tc>
        <w:tc>
          <w:tcPr>
            <w:tcW w:w="0" w:type="dxa"/>
            <w:noWrap/>
            <w:hideMark/>
          </w:tcPr>
          <w:p w14:paraId="22F2ADF2"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32.1%</w:t>
            </w:r>
          </w:p>
        </w:tc>
        <w:tc>
          <w:tcPr>
            <w:tcW w:w="0" w:type="dxa"/>
            <w:noWrap/>
            <w:hideMark/>
          </w:tcPr>
          <w:p w14:paraId="5307E897"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26.1%</w:t>
            </w:r>
          </w:p>
        </w:tc>
        <w:tc>
          <w:tcPr>
            <w:tcW w:w="0" w:type="dxa"/>
            <w:noWrap/>
            <w:hideMark/>
          </w:tcPr>
          <w:p w14:paraId="7172D43A"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24.0%</w:t>
            </w:r>
          </w:p>
        </w:tc>
        <w:tc>
          <w:tcPr>
            <w:tcW w:w="0" w:type="dxa"/>
            <w:noWrap/>
            <w:hideMark/>
          </w:tcPr>
          <w:p w14:paraId="5D449A12"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25.6%</w:t>
            </w:r>
          </w:p>
        </w:tc>
        <w:tc>
          <w:tcPr>
            <w:tcW w:w="0" w:type="dxa"/>
            <w:noWrap/>
            <w:hideMark/>
          </w:tcPr>
          <w:p w14:paraId="2BD79F0C"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27.1%</w:t>
            </w:r>
          </w:p>
        </w:tc>
        <w:tc>
          <w:tcPr>
            <w:tcW w:w="0" w:type="dxa"/>
            <w:noWrap/>
            <w:hideMark/>
          </w:tcPr>
          <w:p w14:paraId="09FD6887"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24.7%</w:t>
            </w:r>
          </w:p>
        </w:tc>
        <w:tc>
          <w:tcPr>
            <w:tcW w:w="0" w:type="dxa"/>
            <w:noWrap/>
            <w:hideMark/>
          </w:tcPr>
          <w:p w14:paraId="599FBC5D" w14:textId="77777777" w:rsidR="00DE7DAB" w:rsidRPr="008F3E6B" w:rsidRDefault="00DE7DAB" w:rsidP="00DE7DA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8F3E6B">
              <w:rPr>
                <w:rFonts w:ascii="Calibri" w:eastAsia="Times New Roman" w:hAnsi="Calibri" w:cs="Calibri"/>
                <w:color w:val="000000"/>
              </w:rPr>
              <w:t>24.7%</w:t>
            </w:r>
          </w:p>
        </w:tc>
      </w:tr>
    </w:tbl>
    <w:p w14:paraId="451ACBBF" w14:textId="76C28DAB" w:rsidR="00082663" w:rsidRDefault="00082663" w:rsidP="008F3E6B">
      <w:pPr>
        <w:pStyle w:val="Caption"/>
        <w:spacing w:before="240"/>
        <w:jc w:val="both"/>
        <w:rPr>
          <w:i w:val="0"/>
          <w:iCs w:val="0"/>
        </w:rPr>
      </w:pPr>
      <w:r>
        <w:rPr>
          <w:rFonts w:cstheme="minorHAnsi"/>
        </w:rPr>
        <w:t xml:space="preserve"> </w:t>
      </w:r>
      <w:r w:rsidR="001C44D3">
        <w:rPr>
          <w:i w:val="0"/>
          <w:iCs w:val="0"/>
        </w:rPr>
        <w:t>Source: National Statistics Office of Georgia (</w:t>
      </w:r>
      <w:proofErr w:type="spellStart"/>
      <w:r w:rsidR="001C44D3">
        <w:rPr>
          <w:i w:val="0"/>
          <w:iCs w:val="0"/>
        </w:rPr>
        <w:t>Geostat</w:t>
      </w:r>
      <w:proofErr w:type="spellEnd"/>
      <w:r w:rsidR="001C44D3">
        <w:rPr>
          <w:i w:val="0"/>
          <w:iCs w:val="0"/>
        </w:rPr>
        <w:t>)</w:t>
      </w:r>
    </w:p>
    <w:p w14:paraId="3488C825" w14:textId="48336550" w:rsidR="006C3BD6" w:rsidRPr="008F3E6B" w:rsidRDefault="008F3E6B" w:rsidP="008F3E6B">
      <w:pPr>
        <w:pStyle w:val="Caption"/>
        <w:rPr>
          <w:rFonts w:cstheme="minorHAnsi"/>
        </w:rPr>
      </w:pPr>
      <w:r>
        <w:t xml:space="preserve">Table </w:t>
      </w:r>
      <w:fldSimple w:instr=" SEQ Table \* ARABIC ">
        <w:r>
          <w:rPr>
            <w:noProof/>
          </w:rPr>
          <w:t>7</w:t>
        </w:r>
      </w:fldSimple>
      <w:r w:rsidR="00082663">
        <w:t xml:space="preserve">: The average distribution of households in housing stock according to the building age in </w:t>
      </w:r>
      <w:r w:rsidR="0021680A">
        <w:t>rural</w:t>
      </w:r>
      <w:r w:rsidR="00082663" w:rsidRPr="00804AD6">
        <w:t xml:space="preserve"> </w:t>
      </w:r>
      <w:r w:rsidR="00082663">
        <w:t>Areas</w:t>
      </w:r>
    </w:p>
    <w:tbl>
      <w:tblPr>
        <w:tblStyle w:val="GridTable1Light-Accent1"/>
        <w:tblW w:w="8880" w:type="dxa"/>
        <w:tblLook w:val="04A0" w:firstRow="1" w:lastRow="0" w:firstColumn="1" w:lastColumn="0" w:noHBand="0" w:noVBand="1"/>
      </w:tblPr>
      <w:tblGrid>
        <w:gridCol w:w="758"/>
        <w:gridCol w:w="701"/>
        <w:gridCol w:w="701"/>
        <w:gridCol w:w="701"/>
        <w:gridCol w:w="701"/>
        <w:gridCol w:w="701"/>
        <w:gridCol w:w="701"/>
        <w:gridCol w:w="701"/>
        <w:gridCol w:w="701"/>
        <w:gridCol w:w="701"/>
        <w:gridCol w:w="701"/>
        <w:gridCol w:w="701"/>
        <w:gridCol w:w="701"/>
      </w:tblGrid>
      <w:tr w:rsidR="006C3BD6" w:rsidRPr="006C3BD6" w14:paraId="7B20A45E" w14:textId="77777777" w:rsidTr="00D74D8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7E73106D" w14:textId="291F1ED4" w:rsidR="006C3BD6" w:rsidRPr="006C3BD6" w:rsidRDefault="0021680A" w:rsidP="006C3BD6">
            <w:pPr>
              <w:rPr>
                <w:rFonts w:ascii="Calibri" w:eastAsia="Times New Roman" w:hAnsi="Calibri" w:cs="Calibri"/>
                <w:color w:val="000000"/>
              </w:rPr>
            </w:pPr>
            <w:r>
              <w:rPr>
                <w:rFonts w:ascii="Calibri" w:eastAsia="Times New Roman" w:hAnsi="Calibri" w:cs="Calibri"/>
                <w:color w:val="000000"/>
              </w:rPr>
              <w:t>Rural</w:t>
            </w:r>
          </w:p>
        </w:tc>
        <w:tc>
          <w:tcPr>
            <w:tcW w:w="0" w:type="dxa"/>
            <w:noWrap/>
            <w:hideMark/>
          </w:tcPr>
          <w:p w14:paraId="1F4A0F66"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2007</w:t>
            </w:r>
          </w:p>
        </w:tc>
        <w:tc>
          <w:tcPr>
            <w:tcW w:w="0" w:type="dxa"/>
            <w:noWrap/>
            <w:hideMark/>
          </w:tcPr>
          <w:p w14:paraId="773D81CF"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2008</w:t>
            </w:r>
          </w:p>
        </w:tc>
        <w:tc>
          <w:tcPr>
            <w:tcW w:w="0" w:type="dxa"/>
            <w:noWrap/>
            <w:hideMark/>
          </w:tcPr>
          <w:p w14:paraId="0DA9E687"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2009</w:t>
            </w:r>
          </w:p>
        </w:tc>
        <w:tc>
          <w:tcPr>
            <w:tcW w:w="0" w:type="dxa"/>
            <w:noWrap/>
            <w:hideMark/>
          </w:tcPr>
          <w:p w14:paraId="49FD7420"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2010</w:t>
            </w:r>
          </w:p>
        </w:tc>
        <w:tc>
          <w:tcPr>
            <w:tcW w:w="0" w:type="dxa"/>
            <w:noWrap/>
            <w:hideMark/>
          </w:tcPr>
          <w:p w14:paraId="1B5CDA7A"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2011</w:t>
            </w:r>
          </w:p>
        </w:tc>
        <w:tc>
          <w:tcPr>
            <w:tcW w:w="0" w:type="dxa"/>
            <w:noWrap/>
            <w:hideMark/>
          </w:tcPr>
          <w:p w14:paraId="54362E8B"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2012</w:t>
            </w:r>
          </w:p>
        </w:tc>
        <w:tc>
          <w:tcPr>
            <w:tcW w:w="0" w:type="dxa"/>
            <w:noWrap/>
            <w:hideMark/>
          </w:tcPr>
          <w:p w14:paraId="3DA47B7D"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2013</w:t>
            </w:r>
          </w:p>
        </w:tc>
        <w:tc>
          <w:tcPr>
            <w:tcW w:w="0" w:type="dxa"/>
            <w:noWrap/>
            <w:hideMark/>
          </w:tcPr>
          <w:p w14:paraId="6A2240F3"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2014</w:t>
            </w:r>
          </w:p>
        </w:tc>
        <w:tc>
          <w:tcPr>
            <w:tcW w:w="0" w:type="dxa"/>
            <w:noWrap/>
            <w:hideMark/>
          </w:tcPr>
          <w:p w14:paraId="3F22A29D"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2015</w:t>
            </w:r>
          </w:p>
        </w:tc>
        <w:tc>
          <w:tcPr>
            <w:tcW w:w="0" w:type="dxa"/>
            <w:noWrap/>
            <w:hideMark/>
          </w:tcPr>
          <w:p w14:paraId="2EC52FF0"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2016</w:t>
            </w:r>
          </w:p>
        </w:tc>
        <w:tc>
          <w:tcPr>
            <w:tcW w:w="0" w:type="dxa"/>
            <w:noWrap/>
            <w:hideMark/>
          </w:tcPr>
          <w:p w14:paraId="5DCCC7ED"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2017</w:t>
            </w:r>
          </w:p>
        </w:tc>
        <w:tc>
          <w:tcPr>
            <w:tcW w:w="0" w:type="dxa"/>
            <w:noWrap/>
            <w:hideMark/>
          </w:tcPr>
          <w:p w14:paraId="141EC2B7" w14:textId="77777777" w:rsidR="006C3BD6" w:rsidRPr="006C3BD6" w:rsidRDefault="006C3BD6" w:rsidP="006C3BD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2018</w:t>
            </w:r>
          </w:p>
        </w:tc>
      </w:tr>
      <w:tr w:rsidR="006C3BD6" w:rsidRPr="006C3BD6" w14:paraId="32C92D70" w14:textId="77777777" w:rsidTr="00D74D8C">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E4EABB3" w14:textId="77777777" w:rsidR="006C3BD6" w:rsidRPr="006C3BD6" w:rsidRDefault="006C3BD6" w:rsidP="006C3BD6">
            <w:pPr>
              <w:rPr>
                <w:rFonts w:ascii="Calibri" w:eastAsia="Times New Roman" w:hAnsi="Calibri" w:cs="Calibri"/>
                <w:color w:val="000000"/>
              </w:rPr>
            </w:pPr>
            <w:r w:rsidRPr="006C3BD6">
              <w:rPr>
                <w:rFonts w:ascii="Calibri" w:eastAsia="Times New Roman" w:hAnsi="Calibri" w:cs="Calibri"/>
                <w:color w:val="000000"/>
              </w:rPr>
              <w:t>After 2000</w:t>
            </w:r>
          </w:p>
        </w:tc>
        <w:tc>
          <w:tcPr>
            <w:tcW w:w="0" w:type="dxa"/>
            <w:noWrap/>
            <w:hideMark/>
          </w:tcPr>
          <w:p w14:paraId="1B1DCE1E"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1.3%</w:t>
            </w:r>
          </w:p>
        </w:tc>
        <w:tc>
          <w:tcPr>
            <w:tcW w:w="0" w:type="dxa"/>
            <w:noWrap/>
            <w:hideMark/>
          </w:tcPr>
          <w:p w14:paraId="61791170"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0.8%</w:t>
            </w:r>
          </w:p>
        </w:tc>
        <w:tc>
          <w:tcPr>
            <w:tcW w:w="0" w:type="dxa"/>
            <w:noWrap/>
            <w:hideMark/>
          </w:tcPr>
          <w:p w14:paraId="7C9EECE5"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1.4%</w:t>
            </w:r>
          </w:p>
        </w:tc>
        <w:tc>
          <w:tcPr>
            <w:tcW w:w="0" w:type="dxa"/>
            <w:noWrap/>
            <w:hideMark/>
          </w:tcPr>
          <w:p w14:paraId="77F30D04"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1.7%</w:t>
            </w:r>
          </w:p>
        </w:tc>
        <w:tc>
          <w:tcPr>
            <w:tcW w:w="0" w:type="dxa"/>
            <w:noWrap/>
            <w:hideMark/>
          </w:tcPr>
          <w:p w14:paraId="42474E29"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1.7%</w:t>
            </w:r>
          </w:p>
        </w:tc>
        <w:tc>
          <w:tcPr>
            <w:tcW w:w="0" w:type="dxa"/>
            <w:noWrap/>
            <w:hideMark/>
          </w:tcPr>
          <w:p w14:paraId="448E508A"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w:t>
            </w:r>
          </w:p>
        </w:tc>
        <w:tc>
          <w:tcPr>
            <w:tcW w:w="0" w:type="dxa"/>
            <w:noWrap/>
            <w:hideMark/>
          </w:tcPr>
          <w:p w14:paraId="22B48937"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2.2%</w:t>
            </w:r>
          </w:p>
        </w:tc>
        <w:tc>
          <w:tcPr>
            <w:tcW w:w="0" w:type="dxa"/>
            <w:noWrap/>
            <w:hideMark/>
          </w:tcPr>
          <w:p w14:paraId="0300B69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2.4%</w:t>
            </w:r>
          </w:p>
        </w:tc>
        <w:tc>
          <w:tcPr>
            <w:tcW w:w="0" w:type="dxa"/>
            <w:noWrap/>
            <w:hideMark/>
          </w:tcPr>
          <w:p w14:paraId="4D6A37EB"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2.5%</w:t>
            </w:r>
          </w:p>
        </w:tc>
        <w:tc>
          <w:tcPr>
            <w:tcW w:w="0" w:type="dxa"/>
            <w:noWrap/>
            <w:hideMark/>
          </w:tcPr>
          <w:p w14:paraId="7EF00384"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2.5%</w:t>
            </w:r>
          </w:p>
        </w:tc>
        <w:tc>
          <w:tcPr>
            <w:tcW w:w="0" w:type="dxa"/>
            <w:noWrap/>
            <w:hideMark/>
          </w:tcPr>
          <w:p w14:paraId="58C3EB4B"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5.6%</w:t>
            </w:r>
          </w:p>
        </w:tc>
        <w:tc>
          <w:tcPr>
            <w:tcW w:w="0" w:type="dxa"/>
            <w:noWrap/>
            <w:hideMark/>
          </w:tcPr>
          <w:p w14:paraId="6F267E53"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5.6%</w:t>
            </w:r>
          </w:p>
        </w:tc>
      </w:tr>
      <w:tr w:rsidR="006C3BD6" w:rsidRPr="006C3BD6" w14:paraId="2F7F8576" w14:textId="77777777" w:rsidTr="00D74D8C">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AE1021E" w14:textId="77777777" w:rsidR="006C3BD6" w:rsidRPr="006C3BD6" w:rsidRDefault="006C3BD6" w:rsidP="006C3BD6">
            <w:pPr>
              <w:rPr>
                <w:rFonts w:ascii="Calibri" w:eastAsia="Times New Roman" w:hAnsi="Calibri" w:cs="Calibri"/>
                <w:color w:val="000000"/>
              </w:rPr>
            </w:pPr>
            <w:r w:rsidRPr="006C3BD6">
              <w:rPr>
                <w:rFonts w:ascii="Calibri" w:eastAsia="Times New Roman" w:hAnsi="Calibri" w:cs="Calibri"/>
                <w:color w:val="000000"/>
              </w:rPr>
              <w:t>1980-1999</w:t>
            </w:r>
          </w:p>
        </w:tc>
        <w:tc>
          <w:tcPr>
            <w:tcW w:w="0" w:type="dxa"/>
            <w:noWrap/>
            <w:hideMark/>
          </w:tcPr>
          <w:p w14:paraId="551B3055"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29.1%</w:t>
            </w:r>
          </w:p>
        </w:tc>
        <w:tc>
          <w:tcPr>
            <w:tcW w:w="0" w:type="dxa"/>
            <w:noWrap/>
            <w:hideMark/>
          </w:tcPr>
          <w:p w14:paraId="0F1A1B67"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22.0%</w:t>
            </w:r>
          </w:p>
        </w:tc>
        <w:tc>
          <w:tcPr>
            <w:tcW w:w="0" w:type="dxa"/>
            <w:noWrap/>
            <w:hideMark/>
          </w:tcPr>
          <w:p w14:paraId="7799EED2"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22.7%</w:t>
            </w:r>
          </w:p>
        </w:tc>
        <w:tc>
          <w:tcPr>
            <w:tcW w:w="0" w:type="dxa"/>
            <w:noWrap/>
            <w:hideMark/>
          </w:tcPr>
          <w:p w14:paraId="676BD52A"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21.0%</w:t>
            </w:r>
          </w:p>
        </w:tc>
        <w:tc>
          <w:tcPr>
            <w:tcW w:w="0" w:type="dxa"/>
            <w:noWrap/>
            <w:hideMark/>
          </w:tcPr>
          <w:p w14:paraId="2EDD953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21.4%</w:t>
            </w:r>
          </w:p>
        </w:tc>
        <w:tc>
          <w:tcPr>
            <w:tcW w:w="0" w:type="dxa"/>
            <w:noWrap/>
            <w:hideMark/>
          </w:tcPr>
          <w:p w14:paraId="05B2E4A2"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22.4%</w:t>
            </w:r>
          </w:p>
        </w:tc>
        <w:tc>
          <w:tcPr>
            <w:tcW w:w="0" w:type="dxa"/>
            <w:noWrap/>
            <w:hideMark/>
          </w:tcPr>
          <w:p w14:paraId="3AF9D96B"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20.3%</w:t>
            </w:r>
          </w:p>
        </w:tc>
        <w:tc>
          <w:tcPr>
            <w:tcW w:w="0" w:type="dxa"/>
            <w:noWrap/>
            <w:hideMark/>
          </w:tcPr>
          <w:p w14:paraId="1E16AB0D"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21.3%</w:t>
            </w:r>
          </w:p>
        </w:tc>
        <w:tc>
          <w:tcPr>
            <w:tcW w:w="0" w:type="dxa"/>
            <w:noWrap/>
            <w:hideMark/>
          </w:tcPr>
          <w:p w14:paraId="66ACC8A5"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20.6%</w:t>
            </w:r>
          </w:p>
        </w:tc>
        <w:tc>
          <w:tcPr>
            <w:tcW w:w="0" w:type="dxa"/>
            <w:noWrap/>
            <w:hideMark/>
          </w:tcPr>
          <w:p w14:paraId="0D9A4141"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20.5%</w:t>
            </w:r>
          </w:p>
        </w:tc>
        <w:tc>
          <w:tcPr>
            <w:tcW w:w="0" w:type="dxa"/>
            <w:noWrap/>
            <w:hideMark/>
          </w:tcPr>
          <w:p w14:paraId="71C60FE2"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22.0%</w:t>
            </w:r>
          </w:p>
        </w:tc>
        <w:tc>
          <w:tcPr>
            <w:tcW w:w="0" w:type="dxa"/>
            <w:noWrap/>
            <w:hideMark/>
          </w:tcPr>
          <w:p w14:paraId="565C56E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22.3%</w:t>
            </w:r>
          </w:p>
        </w:tc>
      </w:tr>
      <w:tr w:rsidR="006C3BD6" w:rsidRPr="006C3BD6" w14:paraId="16EEBF12" w14:textId="77777777" w:rsidTr="00D74D8C">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4A2FBEA8" w14:textId="77777777" w:rsidR="006C3BD6" w:rsidRPr="006C3BD6" w:rsidRDefault="006C3BD6" w:rsidP="006C3BD6">
            <w:pPr>
              <w:rPr>
                <w:rFonts w:ascii="Calibri" w:eastAsia="Times New Roman" w:hAnsi="Calibri" w:cs="Calibri"/>
                <w:color w:val="000000"/>
              </w:rPr>
            </w:pPr>
            <w:r w:rsidRPr="006C3BD6">
              <w:rPr>
                <w:rFonts w:ascii="Calibri" w:eastAsia="Times New Roman" w:hAnsi="Calibri" w:cs="Calibri"/>
                <w:color w:val="000000"/>
              </w:rPr>
              <w:t>1960-1979</w:t>
            </w:r>
          </w:p>
        </w:tc>
        <w:tc>
          <w:tcPr>
            <w:tcW w:w="0" w:type="dxa"/>
            <w:noWrap/>
            <w:hideMark/>
          </w:tcPr>
          <w:p w14:paraId="24B2151D"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43.8%</w:t>
            </w:r>
          </w:p>
        </w:tc>
        <w:tc>
          <w:tcPr>
            <w:tcW w:w="0" w:type="dxa"/>
            <w:noWrap/>
            <w:hideMark/>
          </w:tcPr>
          <w:p w14:paraId="5EE0CA75"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47.7%</w:t>
            </w:r>
          </w:p>
        </w:tc>
        <w:tc>
          <w:tcPr>
            <w:tcW w:w="0" w:type="dxa"/>
            <w:noWrap/>
            <w:hideMark/>
          </w:tcPr>
          <w:p w14:paraId="70C3CAEF"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43.3%</w:t>
            </w:r>
          </w:p>
        </w:tc>
        <w:tc>
          <w:tcPr>
            <w:tcW w:w="0" w:type="dxa"/>
            <w:noWrap/>
            <w:hideMark/>
          </w:tcPr>
          <w:p w14:paraId="224D2A43"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32.2%</w:t>
            </w:r>
          </w:p>
        </w:tc>
        <w:tc>
          <w:tcPr>
            <w:tcW w:w="0" w:type="dxa"/>
            <w:noWrap/>
            <w:hideMark/>
          </w:tcPr>
          <w:p w14:paraId="055B1480"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42.1%</w:t>
            </w:r>
          </w:p>
        </w:tc>
        <w:tc>
          <w:tcPr>
            <w:tcW w:w="0" w:type="dxa"/>
            <w:noWrap/>
            <w:hideMark/>
          </w:tcPr>
          <w:p w14:paraId="122E22E8"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37.9%</w:t>
            </w:r>
          </w:p>
        </w:tc>
        <w:tc>
          <w:tcPr>
            <w:tcW w:w="0" w:type="dxa"/>
            <w:noWrap/>
            <w:hideMark/>
          </w:tcPr>
          <w:p w14:paraId="0EFDDEC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40.4%</w:t>
            </w:r>
          </w:p>
        </w:tc>
        <w:tc>
          <w:tcPr>
            <w:tcW w:w="0" w:type="dxa"/>
            <w:noWrap/>
            <w:hideMark/>
          </w:tcPr>
          <w:p w14:paraId="3C58FAA5"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41.2%</w:t>
            </w:r>
          </w:p>
        </w:tc>
        <w:tc>
          <w:tcPr>
            <w:tcW w:w="0" w:type="dxa"/>
            <w:noWrap/>
            <w:hideMark/>
          </w:tcPr>
          <w:p w14:paraId="3C94712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37.8%</w:t>
            </w:r>
          </w:p>
        </w:tc>
        <w:tc>
          <w:tcPr>
            <w:tcW w:w="0" w:type="dxa"/>
            <w:noWrap/>
            <w:hideMark/>
          </w:tcPr>
          <w:p w14:paraId="25C667A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38.0%</w:t>
            </w:r>
          </w:p>
        </w:tc>
        <w:tc>
          <w:tcPr>
            <w:tcW w:w="0" w:type="dxa"/>
            <w:noWrap/>
            <w:hideMark/>
          </w:tcPr>
          <w:p w14:paraId="4783FE49"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38.9%</w:t>
            </w:r>
          </w:p>
        </w:tc>
        <w:tc>
          <w:tcPr>
            <w:tcW w:w="0" w:type="dxa"/>
            <w:noWrap/>
            <w:hideMark/>
          </w:tcPr>
          <w:p w14:paraId="2DBF1754"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39.1%</w:t>
            </w:r>
          </w:p>
        </w:tc>
      </w:tr>
      <w:tr w:rsidR="006C3BD6" w:rsidRPr="006C3BD6" w14:paraId="56242266" w14:textId="77777777" w:rsidTr="00D74D8C">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024C8F0" w14:textId="77777777" w:rsidR="006C3BD6" w:rsidRPr="006C3BD6" w:rsidRDefault="006C3BD6" w:rsidP="006C3BD6">
            <w:pPr>
              <w:rPr>
                <w:rFonts w:ascii="Calibri" w:eastAsia="Times New Roman" w:hAnsi="Calibri" w:cs="Calibri"/>
                <w:color w:val="000000"/>
              </w:rPr>
            </w:pPr>
            <w:r w:rsidRPr="006C3BD6">
              <w:rPr>
                <w:rFonts w:ascii="Calibri" w:eastAsia="Times New Roman" w:hAnsi="Calibri" w:cs="Calibri"/>
                <w:color w:val="000000"/>
              </w:rPr>
              <w:lastRenderedPageBreak/>
              <w:t>1940-1959</w:t>
            </w:r>
          </w:p>
        </w:tc>
        <w:tc>
          <w:tcPr>
            <w:tcW w:w="0" w:type="dxa"/>
            <w:noWrap/>
            <w:hideMark/>
          </w:tcPr>
          <w:p w14:paraId="7E3D9040"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20.3%</w:t>
            </w:r>
          </w:p>
        </w:tc>
        <w:tc>
          <w:tcPr>
            <w:tcW w:w="0" w:type="dxa"/>
            <w:noWrap/>
            <w:hideMark/>
          </w:tcPr>
          <w:p w14:paraId="1AD3EB20"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22.9%</w:t>
            </w:r>
          </w:p>
        </w:tc>
        <w:tc>
          <w:tcPr>
            <w:tcW w:w="0" w:type="dxa"/>
            <w:noWrap/>
            <w:hideMark/>
          </w:tcPr>
          <w:p w14:paraId="4EEFF87A"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21.1%</w:t>
            </w:r>
          </w:p>
        </w:tc>
        <w:tc>
          <w:tcPr>
            <w:tcW w:w="0" w:type="dxa"/>
            <w:noWrap/>
            <w:hideMark/>
          </w:tcPr>
          <w:p w14:paraId="671C2F98"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19.4%</w:t>
            </w:r>
          </w:p>
        </w:tc>
        <w:tc>
          <w:tcPr>
            <w:tcW w:w="0" w:type="dxa"/>
            <w:noWrap/>
            <w:hideMark/>
          </w:tcPr>
          <w:p w14:paraId="3F5ABACD"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16.7%</w:t>
            </w:r>
          </w:p>
        </w:tc>
        <w:tc>
          <w:tcPr>
            <w:tcW w:w="0" w:type="dxa"/>
            <w:noWrap/>
            <w:hideMark/>
          </w:tcPr>
          <w:p w14:paraId="16BD297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17.0%</w:t>
            </w:r>
          </w:p>
        </w:tc>
        <w:tc>
          <w:tcPr>
            <w:tcW w:w="0" w:type="dxa"/>
            <w:noWrap/>
            <w:hideMark/>
          </w:tcPr>
          <w:p w14:paraId="71ED39CF"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16.8%</w:t>
            </w:r>
          </w:p>
        </w:tc>
        <w:tc>
          <w:tcPr>
            <w:tcW w:w="0" w:type="dxa"/>
            <w:noWrap/>
            <w:hideMark/>
          </w:tcPr>
          <w:p w14:paraId="34CFAA25"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13.4%</w:t>
            </w:r>
          </w:p>
        </w:tc>
        <w:tc>
          <w:tcPr>
            <w:tcW w:w="0" w:type="dxa"/>
            <w:noWrap/>
            <w:hideMark/>
          </w:tcPr>
          <w:p w14:paraId="1DBF0F4E"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16.7%</w:t>
            </w:r>
          </w:p>
        </w:tc>
        <w:tc>
          <w:tcPr>
            <w:tcW w:w="0" w:type="dxa"/>
            <w:noWrap/>
            <w:hideMark/>
          </w:tcPr>
          <w:p w14:paraId="45BAF036"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15.6%</w:t>
            </w:r>
          </w:p>
        </w:tc>
        <w:tc>
          <w:tcPr>
            <w:tcW w:w="0" w:type="dxa"/>
            <w:noWrap/>
            <w:hideMark/>
          </w:tcPr>
          <w:p w14:paraId="2F9E2F65"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15.3%</w:t>
            </w:r>
          </w:p>
        </w:tc>
        <w:tc>
          <w:tcPr>
            <w:tcW w:w="0" w:type="dxa"/>
            <w:noWrap/>
            <w:hideMark/>
          </w:tcPr>
          <w:p w14:paraId="628CFF1F"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15.8%</w:t>
            </w:r>
          </w:p>
        </w:tc>
      </w:tr>
      <w:tr w:rsidR="006C3BD6" w:rsidRPr="006C3BD6" w14:paraId="1667E0E2" w14:textId="77777777" w:rsidTr="00D74D8C">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4348909A" w14:textId="77777777" w:rsidR="006C3BD6" w:rsidRPr="006C3BD6" w:rsidRDefault="006C3BD6" w:rsidP="006C3BD6">
            <w:pPr>
              <w:rPr>
                <w:rFonts w:ascii="Calibri" w:eastAsia="Times New Roman" w:hAnsi="Calibri" w:cs="Calibri"/>
                <w:color w:val="000000"/>
              </w:rPr>
            </w:pPr>
            <w:r w:rsidRPr="006C3BD6">
              <w:rPr>
                <w:rFonts w:ascii="Calibri" w:eastAsia="Times New Roman" w:hAnsi="Calibri" w:cs="Calibri"/>
                <w:color w:val="000000"/>
              </w:rPr>
              <w:t>1920-1939</w:t>
            </w:r>
          </w:p>
        </w:tc>
        <w:tc>
          <w:tcPr>
            <w:tcW w:w="0" w:type="dxa"/>
            <w:noWrap/>
            <w:hideMark/>
          </w:tcPr>
          <w:p w14:paraId="51E02CDA"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5.6%</w:t>
            </w:r>
          </w:p>
        </w:tc>
        <w:tc>
          <w:tcPr>
            <w:tcW w:w="0" w:type="dxa"/>
            <w:noWrap/>
            <w:hideMark/>
          </w:tcPr>
          <w:p w14:paraId="202576E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6.0%</w:t>
            </w:r>
          </w:p>
        </w:tc>
        <w:tc>
          <w:tcPr>
            <w:tcW w:w="0" w:type="dxa"/>
            <w:noWrap/>
            <w:hideMark/>
          </w:tcPr>
          <w:p w14:paraId="584FF966"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4.8%</w:t>
            </w:r>
          </w:p>
        </w:tc>
        <w:tc>
          <w:tcPr>
            <w:tcW w:w="0" w:type="dxa"/>
            <w:noWrap/>
            <w:hideMark/>
          </w:tcPr>
          <w:p w14:paraId="0F1FAAB4"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4.0%</w:t>
            </w:r>
          </w:p>
        </w:tc>
        <w:tc>
          <w:tcPr>
            <w:tcW w:w="0" w:type="dxa"/>
            <w:noWrap/>
            <w:hideMark/>
          </w:tcPr>
          <w:p w14:paraId="4CE47D67"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3.0%</w:t>
            </w:r>
          </w:p>
        </w:tc>
        <w:tc>
          <w:tcPr>
            <w:tcW w:w="0" w:type="dxa"/>
            <w:noWrap/>
            <w:hideMark/>
          </w:tcPr>
          <w:p w14:paraId="74ABB33A"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3.4%</w:t>
            </w:r>
          </w:p>
        </w:tc>
        <w:tc>
          <w:tcPr>
            <w:tcW w:w="0" w:type="dxa"/>
            <w:noWrap/>
            <w:hideMark/>
          </w:tcPr>
          <w:p w14:paraId="7A07BDF7"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3.5%</w:t>
            </w:r>
          </w:p>
        </w:tc>
        <w:tc>
          <w:tcPr>
            <w:tcW w:w="0" w:type="dxa"/>
            <w:noWrap/>
            <w:hideMark/>
          </w:tcPr>
          <w:p w14:paraId="160F9D5A"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2.5%</w:t>
            </w:r>
          </w:p>
        </w:tc>
        <w:tc>
          <w:tcPr>
            <w:tcW w:w="0" w:type="dxa"/>
            <w:noWrap/>
            <w:hideMark/>
          </w:tcPr>
          <w:p w14:paraId="70143978"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3.3%</w:t>
            </w:r>
          </w:p>
        </w:tc>
        <w:tc>
          <w:tcPr>
            <w:tcW w:w="0" w:type="dxa"/>
            <w:noWrap/>
            <w:hideMark/>
          </w:tcPr>
          <w:p w14:paraId="52ED9E23"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2.6%</w:t>
            </w:r>
          </w:p>
        </w:tc>
        <w:tc>
          <w:tcPr>
            <w:tcW w:w="0" w:type="dxa"/>
            <w:noWrap/>
            <w:hideMark/>
          </w:tcPr>
          <w:p w14:paraId="00D89423"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3.1%</w:t>
            </w:r>
          </w:p>
        </w:tc>
        <w:tc>
          <w:tcPr>
            <w:tcW w:w="0" w:type="dxa"/>
            <w:noWrap/>
            <w:hideMark/>
          </w:tcPr>
          <w:p w14:paraId="0FB7BA04"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3.3%</w:t>
            </w:r>
          </w:p>
        </w:tc>
      </w:tr>
      <w:tr w:rsidR="006C3BD6" w:rsidRPr="006C3BD6" w14:paraId="111E6F99" w14:textId="77777777" w:rsidTr="00D74D8C">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2A2AEA46" w14:textId="77777777" w:rsidR="006C3BD6" w:rsidRPr="006C3BD6" w:rsidRDefault="006C3BD6" w:rsidP="006C3BD6">
            <w:pPr>
              <w:rPr>
                <w:rFonts w:ascii="Calibri" w:eastAsia="Times New Roman" w:hAnsi="Calibri" w:cs="Calibri"/>
                <w:color w:val="000000"/>
              </w:rPr>
            </w:pPr>
            <w:r w:rsidRPr="006C3BD6">
              <w:rPr>
                <w:rFonts w:ascii="Calibri" w:eastAsia="Times New Roman" w:hAnsi="Calibri" w:cs="Calibri"/>
                <w:color w:val="000000"/>
              </w:rPr>
              <w:t>Before 1920</w:t>
            </w:r>
          </w:p>
        </w:tc>
        <w:tc>
          <w:tcPr>
            <w:tcW w:w="0" w:type="dxa"/>
            <w:noWrap/>
            <w:hideMark/>
          </w:tcPr>
          <w:p w14:paraId="4B6A490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0.0%</w:t>
            </w:r>
          </w:p>
        </w:tc>
        <w:tc>
          <w:tcPr>
            <w:tcW w:w="0" w:type="dxa"/>
            <w:noWrap/>
            <w:hideMark/>
          </w:tcPr>
          <w:p w14:paraId="478129BD"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0.1%</w:t>
            </w:r>
          </w:p>
        </w:tc>
        <w:tc>
          <w:tcPr>
            <w:tcW w:w="0" w:type="dxa"/>
            <w:noWrap/>
            <w:hideMark/>
          </w:tcPr>
          <w:p w14:paraId="412B07AF"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1.0%</w:t>
            </w:r>
          </w:p>
        </w:tc>
        <w:tc>
          <w:tcPr>
            <w:tcW w:w="0" w:type="dxa"/>
            <w:noWrap/>
            <w:hideMark/>
          </w:tcPr>
          <w:p w14:paraId="2AD29E1D"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0.9%</w:t>
            </w:r>
          </w:p>
        </w:tc>
        <w:tc>
          <w:tcPr>
            <w:tcW w:w="0" w:type="dxa"/>
            <w:noWrap/>
            <w:hideMark/>
          </w:tcPr>
          <w:p w14:paraId="6D089AB2"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1.3%</w:t>
            </w:r>
          </w:p>
        </w:tc>
        <w:tc>
          <w:tcPr>
            <w:tcW w:w="0" w:type="dxa"/>
            <w:noWrap/>
            <w:hideMark/>
          </w:tcPr>
          <w:p w14:paraId="7E238889"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1.2%</w:t>
            </w:r>
          </w:p>
        </w:tc>
        <w:tc>
          <w:tcPr>
            <w:tcW w:w="0" w:type="dxa"/>
            <w:noWrap/>
            <w:hideMark/>
          </w:tcPr>
          <w:p w14:paraId="3439E2EF"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1.2%</w:t>
            </w:r>
          </w:p>
        </w:tc>
        <w:tc>
          <w:tcPr>
            <w:tcW w:w="0" w:type="dxa"/>
            <w:noWrap/>
            <w:hideMark/>
          </w:tcPr>
          <w:p w14:paraId="2BC3CBB5"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0.9%</w:t>
            </w:r>
          </w:p>
        </w:tc>
        <w:tc>
          <w:tcPr>
            <w:tcW w:w="0" w:type="dxa"/>
            <w:noWrap/>
            <w:hideMark/>
          </w:tcPr>
          <w:p w14:paraId="116AB347"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0.9%</w:t>
            </w:r>
          </w:p>
        </w:tc>
        <w:tc>
          <w:tcPr>
            <w:tcW w:w="0" w:type="dxa"/>
            <w:noWrap/>
            <w:hideMark/>
          </w:tcPr>
          <w:p w14:paraId="456C5A13"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0.3%</w:t>
            </w:r>
          </w:p>
        </w:tc>
        <w:tc>
          <w:tcPr>
            <w:tcW w:w="0" w:type="dxa"/>
            <w:noWrap/>
            <w:hideMark/>
          </w:tcPr>
          <w:p w14:paraId="68C855FA"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1.0%</w:t>
            </w:r>
          </w:p>
        </w:tc>
        <w:tc>
          <w:tcPr>
            <w:tcW w:w="0" w:type="dxa"/>
            <w:noWrap/>
            <w:hideMark/>
          </w:tcPr>
          <w:p w14:paraId="6897582C"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1.1%</w:t>
            </w:r>
          </w:p>
        </w:tc>
      </w:tr>
      <w:tr w:rsidR="006C3BD6" w:rsidRPr="006C3BD6" w14:paraId="0844AEFF" w14:textId="77777777" w:rsidTr="00D74D8C">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57ABEB5D" w14:textId="77777777" w:rsidR="006C3BD6" w:rsidRPr="006C3BD6" w:rsidRDefault="006C3BD6" w:rsidP="006C3BD6">
            <w:pPr>
              <w:rPr>
                <w:rFonts w:ascii="Calibri" w:eastAsia="Times New Roman" w:hAnsi="Calibri" w:cs="Calibri"/>
                <w:color w:val="000000"/>
              </w:rPr>
            </w:pPr>
            <w:r w:rsidRPr="006C3BD6">
              <w:rPr>
                <w:rFonts w:ascii="Calibri" w:eastAsia="Times New Roman" w:hAnsi="Calibri" w:cs="Calibri"/>
                <w:color w:val="000000"/>
              </w:rPr>
              <w:t>N/A</w:t>
            </w:r>
          </w:p>
        </w:tc>
        <w:tc>
          <w:tcPr>
            <w:tcW w:w="0" w:type="dxa"/>
            <w:noWrap/>
            <w:hideMark/>
          </w:tcPr>
          <w:p w14:paraId="7971441F"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0.0%</w:t>
            </w:r>
          </w:p>
        </w:tc>
        <w:tc>
          <w:tcPr>
            <w:tcW w:w="0" w:type="dxa"/>
            <w:noWrap/>
            <w:hideMark/>
          </w:tcPr>
          <w:p w14:paraId="094F4457"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0.4%</w:t>
            </w:r>
          </w:p>
        </w:tc>
        <w:tc>
          <w:tcPr>
            <w:tcW w:w="0" w:type="dxa"/>
            <w:noWrap/>
            <w:hideMark/>
          </w:tcPr>
          <w:p w14:paraId="40FD6073"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5.8%</w:t>
            </w:r>
          </w:p>
        </w:tc>
        <w:tc>
          <w:tcPr>
            <w:tcW w:w="0" w:type="dxa"/>
            <w:noWrap/>
            <w:hideMark/>
          </w:tcPr>
          <w:p w14:paraId="5369E103"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10.2%</w:t>
            </w:r>
          </w:p>
        </w:tc>
        <w:tc>
          <w:tcPr>
            <w:tcW w:w="0" w:type="dxa"/>
            <w:noWrap/>
            <w:hideMark/>
          </w:tcPr>
          <w:p w14:paraId="1FEA03A3"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13.7%</w:t>
            </w:r>
          </w:p>
        </w:tc>
        <w:tc>
          <w:tcPr>
            <w:tcW w:w="0" w:type="dxa"/>
            <w:noWrap/>
            <w:hideMark/>
          </w:tcPr>
          <w:p w14:paraId="6F9A4BFE"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16.2%</w:t>
            </w:r>
          </w:p>
        </w:tc>
        <w:tc>
          <w:tcPr>
            <w:tcW w:w="0" w:type="dxa"/>
            <w:noWrap/>
            <w:hideMark/>
          </w:tcPr>
          <w:p w14:paraId="0D624FEE"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15.5%</w:t>
            </w:r>
          </w:p>
        </w:tc>
        <w:tc>
          <w:tcPr>
            <w:tcW w:w="0" w:type="dxa"/>
            <w:noWrap/>
            <w:hideMark/>
          </w:tcPr>
          <w:p w14:paraId="0FA10C4B"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18.2%</w:t>
            </w:r>
          </w:p>
        </w:tc>
        <w:tc>
          <w:tcPr>
            <w:tcW w:w="0" w:type="dxa"/>
            <w:noWrap/>
            <w:hideMark/>
          </w:tcPr>
          <w:p w14:paraId="306160E1"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18.2%</w:t>
            </w:r>
          </w:p>
        </w:tc>
        <w:tc>
          <w:tcPr>
            <w:tcW w:w="0" w:type="dxa"/>
            <w:noWrap/>
            <w:hideMark/>
          </w:tcPr>
          <w:p w14:paraId="22CE6418"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20.3%</w:t>
            </w:r>
          </w:p>
        </w:tc>
        <w:tc>
          <w:tcPr>
            <w:tcW w:w="0" w:type="dxa"/>
            <w:noWrap/>
            <w:hideMark/>
          </w:tcPr>
          <w:p w14:paraId="62E2A3B7"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14.1%</w:t>
            </w:r>
          </w:p>
        </w:tc>
        <w:tc>
          <w:tcPr>
            <w:tcW w:w="0" w:type="dxa"/>
            <w:noWrap/>
            <w:hideMark/>
          </w:tcPr>
          <w:p w14:paraId="2BAF89C2" w14:textId="77777777" w:rsidR="006C3BD6" w:rsidRPr="006C3BD6" w:rsidRDefault="006C3BD6" w:rsidP="006C3B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C3BD6">
              <w:rPr>
                <w:rFonts w:ascii="Calibri" w:eastAsia="Times New Roman" w:hAnsi="Calibri" w:cs="Calibri"/>
                <w:color w:val="000000"/>
              </w:rPr>
              <w:t>12.9%</w:t>
            </w:r>
          </w:p>
        </w:tc>
      </w:tr>
    </w:tbl>
    <w:p w14:paraId="467AE61D" w14:textId="6C26C166" w:rsidR="00082663" w:rsidRPr="00776AB0" w:rsidRDefault="001C44D3" w:rsidP="008F3E6B">
      <w:pPr>
        <w:spacing w:before="240"/>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6847F7DB" w14:textId="1CA905EE" w:rsidR="00B001FE" w:rsidRDefault="00082663" w:rsidP="00976D0B">
      <w:pPr>
        <w:ind w:right="90"/>
        <w:jc w:val="both"/>
        <w:rPr>
          <w:rFonts w:cstheme="minorHAnsi"/>
        </w:rPr>
      </w:pPr>
      <w:r>
        <w:rPr>
          <w:rFonts w:cstheme="minorHAnsi"/>
        </w:rPr>
        <w:t xml:space="preserve">The last subcategory </w:t>
      </w:r>
      <w:r w:rsidR="008E1B6F">
        <w:rPr>
          <w:rFonts w:cstheme="minorHAnsi"/>
        </w:rPr>
        <w:t xml:space="preserve">we are going to </w:t>
      </w:r>
      <w:r w:rsidR="00060A25">
        <w:rPr>
          <w:rFonts w:cstheme="minorHAnsi"/>
        </w:rPr>
        <w:t xml:space="preserve">discuss is that of </w:t>
      </w:r>
      <w:r w:rsidRPr="006066AB">
        <w:rPr>
          <w:rFonts w:cstheme="minorHAnsi"/>
          <w:b/>
          <w:bCs/>
          <w:i/>
          <w:iCs/>
        </w:rPr>
        <w:t>households</w:t>
      </w:r>
      <w:r w:rsidR="00060A25" w:rsidRPr="006066AB">
        <w:rPr>
          <w:rFonts w:cstheme="minorHAnsi"/>
          <w:b/>
          <w:bCs/>
          <w:i/>
          <w:iCs/>
        </w:rPr>
        <w:t xml:space="preserve"> living in overcrowded spaces</w:t>
      </w:r>
      <w:r w:rsidR="001C442B">
        <w:rPr>
          <w:rFonts w:cstheme="minorHAnsi"/>
          <w:b/>
          <w:bCs/>
          <w:i/>
          <w:iCs/>
        </w:rPr>
        <w:t>.</w:t>
      </w:r>
      <w:r w:rsidR="004B1B66">
        <w:rPr>
          <w:rFonts w:cstheme="minorHAnsi"/>
        </w:rPr>
        <w:t xml:space="preserve"> Our</w:t>
      </w:r>
      <w:r>
        <w:rPr>
          <w:rFonts w:cstheme="minorHAnsi"/>
        </w:rPr>
        <w:t xml:space="preserve"> analysis </w:t>
      </w:r>
      <w:r w:rsidR="004B1B66">
        <w:rPr>
          <w:rFonts w:cstheme="minorHAnsi"/>
        </w:rPr>
        <w:t xml:space="preserve">in </w:t>
      </w:r>
      <w:r w:rsidR="00B001FE">
        <w:rPr>
          <w:rFonts w:cstheme="minorHAnsi"/>
        </w:rPr>
        <w:t xml:space="preserve">performed with respect to </w:t>
      </w:r>
      <w:r>
        <w:rPr>
          <w:rFonts w:cstheme="minorHAnsi"/>
        </w:rPr>
        <w:t>two main definitions</w:t>
      </w:r>
      <w:r w:rsidR="00B001FE">
        <w:rPr>
          <w:rFonts w:cstheme="minorHAnsi"/>
        </w:rPr>
        <w:t>:</w:t>
      </w:r>
    </w:p>
    <w:p w14:paraId="080A7E8C" w14:textId="2243E109" w:rsidR="00666886" w:rsidRDefault="00B001FE" w:rsidP="00454C26">
      <w:pPr>
        <w:pStyle w:val="ListParagraph"/>
        <w:numPr>
          <w:ilvl w:val="0"/>
          <w:numId w:val="23"/>
        </w:numPr>
        <w:ind w:right="90"/>
        <w:jc w:val="both"/>
        <w:rPr>
          <w:rFonts w:cstheme="minorHAnsi"/>
        </w:rPr>
      </w:pPr>
      <w:r>
        <w:rPr>
          <w:rFonts w:cstheme="minorHAnsi"/>
        </w:rPr>
        <w:t>the</w:t>
      </w:r>
      <w:r w:rsidR="00082663" w:rsidRPr="00610BE1">
        <w:rPr>
          <w:rFonts w:cstheme="minorHAnsi"/>
        </w:rPr>
        <w:t xml:space="preserve"> UN habitat definition</w:t>
      </w:r>
      <w:r w:rsidR="00666886">
        <w:rPr>
          <w:rStyle w:val="FootnoteReference"/>
          <w:rFonts w:cstheme="minorHAnsi"/>
        </w:rPr>
        <w:footnoteReference w:id="35"/>
      </w:r>
      <w:r w:rsidR="00666886">
        <w:rPr>
          <w:rFonts w:cstheme="minorHAnsi"/>
        </w:rPr>
        <w:t>;</w:t>
      </w:r>
    </w:p>
    <w:p w14:paraId="73DAC5B1" w14:textId="1B5544BE" w:rsidR="00082663" w:rsidRPr="00610BE1" w:rsidRDefault="00666886" w:rsidP="00454C26">
      <w:pPr>
        <w:pStyle w:val="ListParagraph"/>
        <w:numPr>
          <w:ilvl w:val="0"/>
          <w:numId w:val="23"/>
        </w:numPr>
        <w:ind w:right="90"/>
        <w:jc w:val="both"/>
        <w:rPr>
          <w:rFonts w:cstheme="minorHAnsi"/>
        </w:rPr>
      </w:pPr>
      <w:r>
        <w:rPr>
          <w:rFonts w:cstheme="minorHAnsi"/>
        </w:rPr>
        <w:t xml:space="preserve">the </w:t>
      </w:r>
      <w:r w:rsidR="00092187" w:rsidRPr="00610BE1">
        <w:rPr>
          <w:rFonts w:cstheme="minorHAnsi"/>
        </w:rPr>
        <w:t xml:space="preserve">SDG </w:t>
      </w:r>
      <w:r>
        <w:rPr>
          <w:rFonts w:cstheme="minorHAnsi"/>
        </w:rPr>
        <w:t>definition</w:t>
      </w:r>
      <w:r>
        <w:rPr>
          <w:rStyle w:val="FootnoteReference"/>
          <w:rFonts w:cstheme="minorHAnsi"/>
        </w:rPr>
        <w:footnoteReference w:id="36"/>
      </w:r>
      <w:r w:rsidR="00092187" w:rsidDel="00092187">
        <w:rPr>
          <w:rStyle w:val="CommentReference"/>
        </w:rPr>
        <w:t xml:space="preserve"> </w:t>
      </w:r>
    </w:p>
    <w:p w14:paraId="20FE309B" w14:textId="372368AD" w:rsidR="00F95A5F" w:rsidRDefault="00082663" w:rsidP="00976D0B">
      <w:pPr>
        <w:jc w:val="both"/>
        <w:rPr>
          <w:rFonts w:cstheme="minorHAnsi"/>
        </w:rPr>
      </w:pPr>
      <w:r>
        <w:rPr>
          <w:rFonts w:cstheme="minorHAnsi"/>
        </w:rPr>
        <w:t>According to UN habitat</w:t>
      </w:r>
      <w:r w:rsidR="001340CF">
        <w:rPr>
          <w:rFonts w:cstheme="minorHAnsi"/>
        </w:rPr>
        <w:t xml:space="preserve"> definition</w:t>
      </w:r>
      <w:r>
        <w:rPr>
          <w:rFonts w:cstheme="minorHAnsi"/>
        </w:rPr>
        <w:t xml:space="preserve">, the </w:t>
      </w:r>
      <w:r w:rsidR="00035106">
        <w:rPr>
          <w:rFonts w:cstheme="minorHAnsi"/>
        </w:rPr>
        <w:t>share of household living in</w:t>
      </w:r>
      <w:r w:rsidR="001340CF">
        <w:rPr>
          <w:rFonts w:cstheme="minorHAnsi"/>
        </w:rPr>
        <w:t xml:space="preserve"> overcrow</w:t>
      </w:r>
      <w:r w:rsidR="00035106">
        <w:rPr>
          <w:rFonts w:cstheme="minorHAnsi"/>
        </w:rPr>
        <w:t>ded spaces</w:t>
      </w:r>
      <w:r w:rsidR="001340CF">
        <w:rPr>
          <w:rFonts w:cstheme="minorHAnsi"/>
        </w:rPr>
        <w:t xml:space="preserve"> </w:t>
      </w:r>
      <w:r>
        <w:rPr>
          <w:rFonts w:cstheme="minorHAnsi"/>
        </w:rPr>
        <w:t xml:space="preserve">is </w:t>
      </w:r>
      <w:r w:rsidR="00035106">
        <w:rPr>
          <w:rFonts w:cstheme="minorHAnsi"/>
        </w:rPr>
        <w:t>declining in</w:t>
      </w:r>
      <w:r>
        <w:rPr>
          <w:rFonts w:cstheme="minorHAnsi"/>
        </w:rPr>
        <w:t xml:space="preserve"> both </w:t>
      </w:r>
      <w:r w:rsidR="0021680A">
        <w:rPr>
          <w:rFonts w:cstheme="minorHAnsi"/>
        </w:rPr>
        <w:t>urban</w:t>
      </w:r>
      <w:r w:rsidR="00610BE1">
        <w:rPr>
          <w:rFonts w:cstheme="minorHAnsi"/>
        </w:rPr>
        <w:t xml:space="preserve"> (from</w:t>
      </w:r>
      <w:r w:rsidR="00083144">
        <w:rPr>
          <w:rFonts w:cstheme="minorHAnsi"/>
        </w:rPr>
        <w:t xml:space="preserve"> </w:t>
      </w:r>
      <w:r w:rsidR="00202405">
        <w:rPr>
          <w:rFonts w:cstheme="minorHAnsi"/>
        </w:rPr>
        <w:t>4.1</w:t>
      </w:r>
      <w:r w:rsidR="00083144">
        <w:rPr>
          <w:rFonts w:cstheme="minorHAnsi"/>
        </w:rPr>
        <w:t xml:space="preserve">% to </w:t>
      </w:r>
      <w:r w:rsidR="00202405">
        <w:rPr>
          <w:rFonts w:cstheme="minorHAnsi"/>
        </w:rPr>
        <w:t>1.4</w:t>
      </w:r>
      <w:r w:rsidR="00083144">
        <w:rPr>
          <w:rFonts w:cstheme="minorHAnsi"/>
        </w:rPr>
        <w:t>%)</w:t>
      </w:r>
      <w:r>
        <w:rPr>
          <w:rFonts w:cstheme="minorHAnsi"/>
        </w:rPr>
        <w:t xml:space="preserve"> and </w:t>
      </w:r>
      <w:r w:rsidR="0021680A">
        <w:rPr>
          <w:rFonts w:cstheme="minorHAnsi"/>
        </w:rPr>
        <w:t>rural</w:t>
      </w:r>
      <w:r>
        <w:rPr>
          <w:rFonts w:cstheme="minorHAnsi"/>
        </w:rPr>
        <w:t xml:space="preserve"> areas</w:t>
      </w:r>
      <w:r w:rsidR="00083144">
        <w:rPr>
          <w:rFonts w:cstheme="minorHAnsi"/>
        </w:rPr>
        <w:t xml:space="preserve"> (from </w:t>
      </w:r>
      <w:r w:rsidR="00202405">
        <w:rPr>
          <w:rFonts w:cstheme="minorHAnsi"/>
        </w:rPr>
        <w:t>1.5</w:t>
      </w:r>
      <w:r w:rsidR="007E25A2">
        <w:rPr>
          <w:rFonts w:cstheme="minorHAnsi"/>
        </w:rPr>
        <w:t xml:space="preserve">% to </w:t>
      </w:r>
      <w:r w:rsidR="00202405">
        <w:rPr>
          <w:rFonts w:cstheme="minorHAnsi"/>
        </w:rPr>
        <w:t>0.5</w:t>
      </w:r>
      <w:r w:rsidR="007E25A2">
        <w:rPr>
          <w:rFonts w:cstheme="minorHAnsi"/>
        </w:rPr>
        <w:t>%)</w:t>
      </w:r>
      <w:r w:rsidR="001C442B">
        <w:rPr>
          <w:rFonts w:cstheme="minorHAnsi"/>
        </w:rPr>
        <w:t xml:space="preserve"> (Figure 41).</w:t>
      </w:r>
      <w:r w:rsidR="00092187">
        <w:rPr>
          <w:rFonts w:cstheme="minorHAnsi"/>
        </w:rPr>
        <w:t xml:space="preserve"> </w:t>
      </w:r>
    </w:p>
    <w:p w14:paraId="6DBA19F9" w14:textId="3E88F970" w:rsidR="008F62D8" w:rsidRPr="00D74D8C" w:rsidRDefault="0004131A" w:rsidP="006066AB">
      <w:pPr>
        <w:rPr>
          <w:i/>
          <w:iCs/>
          <w:color w:val="44546A" w:themeColor="text2"/>
          <w:sz w:val="18"/>
          <w:szCs w:val="18"/>
        </w:rPr>
      </w:pPr>
      <w:r w:rsidRPr="001C442B">
        <w:rPr>
          <w:i/>
          <w:iCs/>
          <w:color w:val="44546A" w:themeColor="text2"/>
          <w:sz w:val="18"/>
          <w:szCs w:val="18"/>
        </w:rPr>
        <w:t xml:space="preserve">Figure </w:t>
      </w:r>
      <w:r w:rsidR="00D76E58" w:rsidRPr="001C442B">
        <w:rPr>
          <w:i/>
          <w:iCs/>
          <w:color w:val="44546A" w:themeColor="text2"/>
          <w:sz w:val="18"/>
          <w:szCs w:val="18"/>
        </w:rPr>
        <w:fldChar w:fldCharType="begin"/>
      </w:r>
      <w:r w:rsidR="00D76E58" w:rsidRPr="001C442B">
        <w:rPr>
          <w:i/>
          <w:iCs/>
          <w:color w:val="44546A" w:themeColor="text2"/>
          <w:sz w:val="18"/>
          <w:szCs w:val="18"/>
        </w:rPr>
        <w:instrText xml:space="preserve"> SEQ Figure \* ARABIC </w:instrText>
      </w:r>
      <w:r w:rsidR="00D76E58" w:rsidRPr="001C442B">
        <w:rPr>
          <w:i/>
          <w:iCs/>
          <w:color w:val="44546A" w:themeColor="text2"/>
          <w:sz w:val="18"/>
          <w:szCs w:val="18"/>
        </w:rPr>
        <w:fldChar w:fldCharType="separate"/>
      </w:r>
      <w:r w:rsidR="006B5103">
        <w:rPr>
          <w:i/>
          <w:iCs/>
          <w:noProof/>
          <w:color w:val="44546A" w:themeColor="text2"/>
          <w:sz w:val="18"/>
          <w:szCs w:val="18"/>
        </w:rPr>
        <w:t>41</w:t>
      </w:r>
      <w:r w:rsidR="00D76E58" w:rsidRPr="001C442B">
        <w:rPr>
          <w:i/>
          <w:iCs/>
          <w:color w:val="44546A" w:themeColor="text2"/>
          <w:sz w:val="18"/>
          <w:szCs w:val="18"/>
        </w:rPr>
        <w:fldChar w:fldCharType="end"/>
      </w:r>
      <w:r w:rsidR="008F62D8">
        <w:rPr>
          <w:i/>
          <w:iCs/>
          <w:color w:val="44546A" w:themeColor="text2"/>
          <w:sz w:val="18"/>
          <w:szCs w:val="18"/>
        </w:rPr>
        <w:t xml:space="preserve">: </w:t>
      </w:r>
      <w:r w:rsidR="002F4309" w:rsidRPr="002F4309">
        <w:rPr>
          <w:i/>
          <w:iCs/>
          <w:color w:val="44546A" w:themeColor="text2"/>
          <w:sz w:val="18"/>
          <w:szCs w:val="18"/>
        </w:rPr>
        <w:t>The share of households living in</w:t>
      </w:r>
      <w:r w:rsidR="002F4309">
        <w:rPr>
          <w:i/>
          <w:iCs/>
          <w:color w:val="44546A" w:themeColor="text2"/>
          <w:sz w:val="18"/>
          <w:szCs w:val="18"/>
        </w:rPr>
        <w:t xml:space="preserve"> overcrowded</w:t>
      </w:r>
      <w:r w:rsidR="002F4309" w:rsidRPr="002F4309">
        <w:rPr>
          <w:i/>
          <w:iCs/>
          <w:color w:val="44546A" w:themeColor="text2"/>
          <w:sz w:val="18"/>
          <w:szCs w:val="18"/>
        </w:rPr>
        <w:t xml:space="preserve"> houses</w:t>
      </w:r>
      <w:r w:rsidR="00172328">
        <w:rPr>
          <w:i/>
          <w:iCs/>
          <w:color w:val="44546A" w:themeColor="text2"/>
          <w:sz w:val="18"/>
          <w:szCs w:val="18"/>
        </w:rPr>
        <w:t xml:space="preserve"> (UN habitat </w:t>
      </w:r>
      <w:r w:rsidR="008F3E6B">
        <w:rPr>
          <w:i/>
          <w:iCs/>
          <w:color w:val="44546A" w:themeColor="text2"/>
          <w:sz w:val="18"/>
          <w:szCs w:val="18"/>
        </w:rPr>
        <w:t>definition)</w:t>
      </w:r>
      <w:r w:rsidR="008F3E6B" w:rsidRPr="00D74D8C">
        <w:rPr>
          <w:i/>
          <w:iCs/>
          <w:color w:val="44546A" w:themeColor="text2"/>
          <w:sz w:val="18"/>
          <w:szCs w:val="18"/>
        </w:rPr>
        <w:t xml:space="preserve"> </w:t>
      </w:r>
      <w:r w:rsidR="008F3E6B">
        <w:rPr>
          <w:i/>
          <w:iCs/>
          <w:color w:val="44546A" w:themeColor="text2"/>
          <w:sz w:val="18"/>
          <w:szCs w:val="18"/>
        </w:rPr>
        <w:t xml:space="preserve">in </w:t>
      </w:r>
      <w:r w:rsidR="008F3E6B" w:rsidRPr="0021680A">
        <w:rPr>
          <w:i/>
          <w:iCs/>
          <w:color w:val="44546A" w:themeColor="text2"/>
          <w:sz w:val="18"/>
          <w:szCs w:val="18"/>
        </w:rPr>
        <w:t>urban</w:t>
      </w:r>
      <w:r w:rsidR="0021680A" w:rsidRPr="00D74D8C">
        <w:rPr>
          <w:i/>
          <w:iCs/>
          <w:color w:val="44546A" w:themeColor="text2"/>
          <w:sz w:val="18"/>
          <w:szCs w:val="18"/>
        </w:rPr>
        <w:t xml:space="preserve"> and </w:t>
      </w:r>
      <w:r w:rsidR="0021680A">
        <w:rPr>
          <w:i/>
          <w:iCs/>
          <w:color w:val="44546A" w:themeColor="text2"/>
          <w:sz w:val="18"/>
          <w:szCs w:val="18"/>
        </w:rPr>
        <w:t>rural</w:t>
      </w:r>
      <w:r w:rsidR="0021680A" w:rsidRPr="00D74D8C">
        <w:rPr>
          <w:i/>
          <w:iCs/>
          <w:color w:val="44546A" w:themeColor="text2"/>
          <w:sz w:val="18"/>
          <w:szCs w:val="18"/>
        </w:rPr>
        <w:t xml:space="preserve"> </w:t>
      </w:r>
      <w:r w:rsidR="0021680A">
        <w:rPr>
          <w:i/>
          <w:iCs/>
          <w:color w:val="44546A" w:themeColor="text2"/>
          <w:sz w:val="18"/>
          <w:szCs w:val="18"/>
        </w:rPr>
        <w:t>a</w:t>
      </w:r>
      <w:r w:rsidR="0021680A" w:rsidRPr="00D74D8C">
        <w:rPr>
          <w:i/>
          <w:iCs/>
          <w:color w:val="44546A" w:themeColor="text2"/>
          <w:sz w:val="18"/>
          <w:szCs w:val="18"/>
        </w:rPr>
        <w:t xml:space="preserve">reas    </w:t>
      </w:r>
    </w:p>
    <w:p w14:paraId="790B1BBD" w14:textId="243D2B2A" w:rsidR="00082663" w:rsidRDefault="00202405" w:rsidP="00976D0B">
      <w:pPr>
        <w:tabs>
          <w:tab w:val="left" w:pos="5370"/>
        </w:tabs>
        <w:jc w:val="both"/>
        <w:rPr>
          <w:rFonts w:cstheme="minorHAnsi"/>
        </w:rPr>
      </w:pPr>
      <w:r>
        <w:rPr>
          <w:noProof/>
        </w:rPr>
        <w:drawing>
          <wp:anchor distT="0" distB="0" distL="114300" distR="114300" simplePos="0" relativeHeight="251726848" behindDoc="1" locked="0" layoutInCell="1" allowOverlap="1" wp14:anchorId="55F804DE" wp14:editId="44E478EF">
            <wp:simplePos x="0" y="0"/>
            <wp:positionH relativeFrom="margin">
              <wp:posOffset>2962275</wp:posOffset>
            </wp:positionH>
            <wp:positionV relativeFrom="paragraph">
              <wp:posOffset>15875</wp:posOffset>
            </wp:positionV>
            <wp:extent cx="2762250" cy="2085975"/>
            <wp:effectExtent l="0" t="0" r="0" b="9525"/>
            <wp:wrapNone/>
            <wp:docPr id="119" name="Chart 119">
              <a:extLst xmlns:a="http://schemas.openxmlformats.org/drawingml/2006/main">
                <a:ext uri="{FF2B5EF4-FFF2-40B4-BE49-F238E27FC236}">
                  <a16:creationId xmlns:a16="http://schemas.microsoft.com/office/drawing/2014/main" id="{00000000-0008-0000-1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1" locked="0" layoutInCell="1" allowOverlap="1" wp14:anchorId="759A305D" wp14:editId="7E709F29">
            <wp:simplePos x="0" y="0"/>
            <wp:positionH relativeFrom="margin">
              <wp:align>left</wp:align>
            </wp:positionH>
            <wp:positionV relativeFrom="paragraph">
              <wp:posOffset>6350</wp:posOffset>
            </wp:positionV>
            <wp:extent cx="2943225" cy="2095500"/>
            <wp:effectExtent l="0" t="0" r="9525" b="0"/>
            <wp:wrapNone/>
            <wp:docPr id="118" name="Chart 118">
              <a:extLst xmlns:a="http://schemas.openxmlformats.org/drawingml/2006/main">
                <a:ext uri="{FF2B5EF4-FFF2-40B4-BE49-F238E27FC236}">
                  <a16:creationId xmlns:a16="http://schemas.microsoft.com/office/drawing/2014/main" id="{00000000-0008-0000-1D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sidR="002E3FE7">
        <w:rPr>
          <w:rFonts w:cstheme="minorHAnsi"/>
        </w:rPr>
        <w:tab/>
      </w:r>
    </w:p>
    <w:p w14:paraId="3A34222A" w14:textId="28F277F8" w:rsidR="00082663" w:rsidRDefault="002E3FE7" w:rsidP="00976D0B">
      <w:pPr>
        <w:tabs>
          <w:tab w:val="left" w:pos="5355"/>
        </w:tabs>
        <w:jc w:val="both"/>
        <w:rPr>
          <w:rFonts w:cstheme="minorHAnsi"/>
        </w:rPr>
      </w:pPr>
      <w:r>
        <w:rPr>
          <w:rFonts w:cstheme="minorHAnsi"/>
        </w:rPr>
        <w:tab/>
      </w:r>
    </w:p>
    <w:p w14:paraId="7D0F6C83" w14:textId="64DFB3F8" w:rsidR="00082663" w:rsidRDefault="002E3FE7" w:rsidP="00976D0B">
      <w:pPr>
        <w:tabs>
          <w:tab w:val="left" w:pos="5145"/>
        </w:tabs>
        <w:jc w:val="both"/>
        <w:rPr>
          <w:rFonts w:cstheme="minorHAnsi"/>
        </w:rPr>
      </w:pPr>
      <w:r>
        <w:rPr>
          <w:rFonts w:cstheme="minorHAnsi"/>
        </w:rPr>
        <w:tab/>
      </w:r>
    </w:p>
    <w:p w14:paraId="53C2D3D3" w14:textId="77777777" w:rsidR="00082663" w:rsidRDefault="00082663" w:rsidP="00454C26">
      <w:pPr>
        <w:jc w:val="center"/>
        <w:rPr>
          <w:rFonts w:cstheme="minorHAnsi"/>
        </w:rPr>
      </w:pPr>
    </w:p>
    <w:p w14:paraId="744537C4" w14:textId="77777777" w:rsidR="00082663" w:rsidRDefault="00082663" w:rsidP="00976D0B">
      <w:pPr>
        <w:jc w:val="both"/>
        <w:rPr>
          <w:rFonts w:cstheme="minorHAnsi"/>
        </w:rPr>
      </w:pPr>
    </w:p>
    <w:p w14:paraId="3B8DABFC" w14:textId="77777777" w:rsidR="008F62D8" w:rsidRDefault="008F62D8" w:rsidP="00976D0B">
      <w:pPr>
        <w:jc w:val="both"/>
        <w:rPr>
          <w:i/>
          <w:iCs/>
          <w:color w:val="44546A" w:themeColor="text2"/>
          <w:sz w:val="18"/>
          <w:szCs w:val="18"/>
        </w:rPr>
      </w:pPr>
    </w:p>
    <w:p w14:paraId="450BB8B7" w14:textId="77777777" w:rsidR="008F62D8" w:rsidRDefault="008F62D8" w:rsidP="00976D0B">
      <w:pPr>
        <w:jc w:val="both"/>
        <w:rPr>
          <w:i/>
          <w:iCs/>
          <w:color w:val="44546A" w:themeColor="text2"/>
          <w:sz w:val="18"/>
          <w:szCs w:val="18"/>
        </w:rPr>
      </w:pPr>
    </w:p>
    <w:p w14:paraId="2E16F6C2" w14:textId="77777777" w:rsidR="008F62D8" w:rsidRDefault="008F62D8" w:rsidP="00976D0B">
      <w:pPr>
        <w:jc w:val="both"/>
        <w:rPr>
          <w:i/>
          <w:iCs/>
          <w:color w:val="44546A" w:themeColor="text2"/>
          <w:sz w:val="18"/>
          <w:szCs w:val="18"/>
        </w:rPr>
      </w:pPr>
    </w:p>
    <w:p w14:paraId="36415CD4" w14:textId="2CFF60CF" w:rsidR="00AB76C1" w:rsidRDefault="001C44D3" w:rsidP="009C48A0">
      <w:pPr>
        <w:jc w:val="both"/>
        <w:rPr>
          <w:rFonts w:cstheme="minorHAnsi"/>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DC9A913" w14:textId="42E7A360" w:rsidR="00082663" w:rsidRDefault="007E25A2" w:rsidP="00976D0B">
      <w:pPr>
        <w:jc w:val="both"/>
        <w:rPr>
          <w:rFonts w:cstheme="minorHAnsi"/>
        </w:rPr>
      </w:pPr>
      <w:r>
        <w:rPr>
          <w:rFonts w:cstheme="minorHAnsi"/>
        </w:rPr>
        <w:t>Following the SDG</w:t>
      </w:r>
      <w:r w:rsidR="00082663">
        <w:rPr>
          <w:rFonts w:cstheme="minorHAnsi"/>
        </w:rPr>
        <w:t xml:space="preserve"> methodology</w:t>
      </w:r>
      <w:r w:rsidR="00677767">
        <w:rPr>
          <w:rFonts w:cstheme="minorHAnsi"/>
        </w:rPr>
        <w:t>, instead,</w:t>
      </w:r>
      <w:r w:rsidR="00082663">
        <w:rPr>
          <w:rFonts w:cstheme="minorHAnsi"/>
        </w:rPr>
        <w:t xml:space="preserve"> the indicators reveal the subsequent trend</w:t>
      </w:r>
      <w:r w:rsidR="00677767">
        <w:rPr>
          <w:rFonts w:cstheme="minorHAnsi"/>
        </w:rPr>
        <w:t>:</w:t>
      </w:r>
    </w:p>
    <w:p w14:paraId="4B736028" w14:textId="243CC6E9" w:rsidR="00202405" w:rsidRDefault="00202405" w:rsidP="00976D0B">
      <w:pPr>
        <w:jc w:val="both"/>
        <w:rPr>
          <w:rFonts w:cstheme="minorHAnsi"/>
        </w:rPr>
      </w:pPr>
    </w:p>
    <w:p w14:paraId="4AA78D18" w14:textId="1F4F299E" w:rsidR="00202405" w:rsidRDefault="00202405" w:rsidP="00976D0B">
      <w:pPr>
        <w:jc w:val="both"/>
        <w:rPr>
          <w:rFonts w:cstheme="minorHAnsi"/>
        </w:rPr>
      </w:pPr>
    </w:p>
    <w:p w14:paraId="3AFC45E0" w14:textId="7B11740B" w:rsidR="0021680A" w:rsidRDefault="0021680A" w:rsidP="00976D0B">
      <w:pPr>
        <w:jc w:val="both"/>
        <w:rPr>
          <w:rFonts w:cstheme="minorHAnsi"/>
        </w:rPr>
      </w:pPr>
    </w:p>
    <w:p w14:paraId="679DC9BF" w14:textId="77777777" w:rsidR="0021680A" w:rsidRDefault="0021680A" w:rsidP="00976D0B">
      <w:pPr>
        <w:jc w:val="both"/>
        <w:rPr>
          <w:rFonts w:cstheme="minorHAnsi"/>
        </w:rPr>
      </w:pPr>
    </w:p>
    <w:p w14:paraId="6588D4CA" w14:textId="77777777" w:rsidR="00202405" w:rsidRDefault="00202405" w:rsidP="00976D0B">
      <w:pPr>
        <w:jc w:val="both"/>
        <w:rPr>
          <w:rFonts w:cstheme="minorHAnsi"/>
        </w:rPr>
      </w:pPr>
    </w:p>
    <w:p w14:paraId="3F82DDF4" w14:textId="595C575A" w:rsidR="00C12D37" w:rsidRPr="002F4309" w:rsidRDefault="00082663" w:rsidP="002F4309">
      <w:pPr>
        <w:rPr>
          <w:i/>
          <w:iCs/>
          <w:color w:val="44546A" w:themeColor="text2"/>
          <w:sz w:val="18"/>
          <w:szCs w:val="18"/>
        </w:rPr>
      </w:pPr>
      <w:r w:rsidRPr="00097B0D">
        <w:rPr>
          <w:i/>
          <w:iCs/>
          <w:color w:val="44546A" w:themeColor="text2"/>
          <w:sz w:val="18"/>
          <w:szCs w:val="18"/>
        </w:rPr>
        <w:t xml:space="preserve">Figure </w:t>
      </w:r>
      <w:r w:rsidR="006C3BD6" w:rsidRPr="00097B0D">
        <w:rPr>
          <w:i/>
          <w:iCs/>
          <w:color w:val="44546A" w:themeColor="text2"/>
          <w:sz w:val="18"/>
          <w:szCs w:val="18"/>
        </w:rPr>
        <w:fldChar w:fldCharType="begin"/>
      </w:r>
      <w:r w:rsidR="006C3BD6" w:rsidRPr="00097B0D">
        <w:rPr>
          <w:i/>
          <w:iCs/>
          <w:color w:val="44546A" w:themeColor="text2"/>
          <w:sz w:val="18"/>
          <w:szCs w:val="18"/>
        </w:rPr>
        <w:instrText xml:space="preserve"> SEQ Figure \* ARABIC </w:instrText>
      </w:r>
      <w:r w:rsidR="006C3BD6" w:rsidRPr="00097B0D">
        <w:rPr>
          <w:i/>
          <w:iCs/>
          <w:color w:val="44546A" w:themeColor="text2"/>
          <w:sz w:val="18"/>
          <w:szCs w:val="18"/>
        </w:rPr>
        <w:fldChar w:fldCharType="separate"/>
      </w:r>
      <w:r w:rsidR="006B5103">
        <w:rPr>
          <w:i/>
          <w:iCs/>
          <w:noProof/>
          <w:color w:val="44546A" w:themeColor="text2"/>
          <w:sz w:val="18"/>
          <w:szCs w:val="18"/>
        </w:rPr>
        <w:t>42</w:t>
      </w:r>
      <w:r w:rsidR="006C3BD6" w:rsidRPr="00097B0D">
        <w:rPr>
          <w:i/>
          <w:iCs/>
          <w:color w:val="44546A" w:themeColor="text2"/>
          <w:sz w:val="18"/>
          <w:szCs w:val="18"/>
        </w:rPr>
        <w:fldChar w:fldCharType="end"/>
      </w:r>
      <w:r w:rsidRPr="00097B0D">
        <w:rPr>
          <w:i/>
          <w:iCs/>
          <w:color w:val="44546A" w:themeColor="text2"/>
          <w:sz w:val="18"/>
          <w:szCs w:val="18"/>
        </w:rPr>
        <w:t>:</w:t>
      </w:r>
      <w:r>
        <w:t xml:space="preserve"> </w:t>
      </w:r>
      <w:r w:rsidR="002F4309" w:rsidRPr="002F4309">
        <w:rPr>
          <w:i/>
          <w:iCs/>
          <w:color w:val="44546A" w:themeColor="text2"/>
          <w:sz w:val="18"/>
          <w:szCs w:val="18"/>
        </w:rPr>
        <w:t>The share of households living in</w:t>
      </w:r>
      <w:r w:rsidR="002F4309">
        <w:rPr>
          <w:i/>
          <w:iCs/>
          <w:color w:val="44546A" w:themeColor="text2"/>
          <w:sz w:val="18"/>
          <w:szCs w:val="18"/>
        </w:rPr>
        <w:t xml:space="preserve"> overcrowded</w:t>
      </w:r>
      <w:r w:rsidR="002F4309" w:rsidRPr="002F4309">
        <w:rPr>
          <w:i/>
          <w:iCs/>
          <w:color w:val="44546A" w:themeColor="text2"/>
          <w:sz w:val="18"/>
          <w:szCs w:val="18"/>
        </w:rPr>
        <w:t xml:space="preserve"> houses</w:t>
      </w:r>
      <w:r w:rsidR="00172328">
        <w:rPr>
          <w:i/>
          <w:iCs/>
          <w:color w:val="44546A" w:themeColor="text2"/>
          <w:sz w:val="18"/>
          <w:szCs w:val="18"/>
        </w:rPr>
        <w:t xml:space="preserve"> (SDG </w:t>
      </w:r>
      <w:r w:rsidR="009C48A0">
        <w:rPr>
          <w:i/>
          <w:iCs/>
          <w:color w:val="44546A" w:themeColor="text2"/>
          <w:sz w:val="18"/>
          <w:szCs w:val="18"/>
        </w:rPr>
        <w:t>definition)</w:t>
      </w:r>
      <w:r w:rsidR="008F3E6B">
        <w:rPr>
          <w:i/>
          <w:iCs/>
          <w:color w:val="44546A" w:themeColor="text2"/>
          <w:sz w:val="18"/>
          <w:szCs w:val="18"/>
        </w:rPr>
        <w:t xml:space="preserve"> in</w:t>
      </w:r>
      <w:r w:rsidR="009C48A0">
        <w:rPr>
          <w:i/>
          <w:iCs/>
          <w:color w:val="44546A" w:themeColor="text2"/>
          <w:sz w:val="18"/>
          <w:szCs w:val="18"/>
        </w:rPr>
        <w:t xml:space="preserve"> </w:t>
      </w:r>
      <w:r w:rsidR="0021680A">
        <w:rPr>
          <w:i/>
          <w:iCs/>
          <w:color w:val="44546A" w:themeColor="text2"/>
          <w:sz w:val="18"/>
          <w:szCs w:val="18"/>
        </w:rPr>
        <w:t>urban</w:t>
      </w:r>
      <w:r w:rsidR="002F4309" w:rsidRPr="00D74D8C">
        <w:rPr>
          <w:i/>
          <w:iCs/>
          <w:color w:val="44546A" w:themeColor="text2"/>
          <w:sz w:val="18"/>
          <w:szCs w:val="18"/>
        </w:rPr>
        <w:t xml:space="preserve"> and </w:t>
      </w:r>
      <w:r w:rsidR="0021680A">
        <w:rPr>
          <w:i/>
          <w:iCs/>
          <w:color w:val="44546A" w:themeColor="text2"/>
          <w:sz w:val="18"/>
          <w:szCs w:val="18"/>
        </w:rPr>
        <w:t>rural</w:t>
      </w:r>
      <w:r w:rsidR="002F4309" w:rsidRPr="00D74D8C">
        <w:rPr>
          <w:i/>
          <w:iCs/>
          <w:color w:val="44546A" w:themeColor="text2"/>
          <w:sz w:val="18"/>
          <w:szCs w:val="18"/>
        </w:rPr>
        <w:t xml:space="preserve"> </w:t>
      </w:r>
      <w:r w:rsidR="0021680A">
        <w:rPr>
          <w:i/>
          <w:iCs/>
          <w:color w:val="44546A" w:themeColor="text2"/>
          <w:sz w:val="18"/>
          <w:szCs w:val="18"/>
        </w:rPr>
        <w:t>a</w:t>
      </w:r>
      <w:r w:rsidR="002F4309" w:rsidRPr="00D74D8C">
        <w:rPr>
          <w:i/>
          <w:iCs/>
          <w:color w:val="44546A" w:themeColor="text2"/>
          <w:sz w:val="18"/>
          <w:szCs w:val="18"/>
        </w:rPr>
        <w:t xml:space="preserve">reas    </w:t>
      </w:r>
    </w:p>
    <w:p w14:paraId="0CDA2EE6" w14:textId="468FF7E7" w:rsidR="00202405" w:rsidRDefault="00202405" w:rsidP="008F3E6B">
      <w:pPr>
        <w:spacing w:after="0"/>
        <w:rPr>
          <w:i/>
          <w:iCs/>
          <w:color w:val="44546A" w:themeColor="text2"/>
          <w:sz w:val="18"/>
          <w:szCs w:val="18"/>
        </w:rPr>
      </w:pPr>
      <w:r>
        <w:rPr>
          <w:noProof/>
        </w:rPr>
        <w:drawing>
          <wp:anchor distT="0" distB="0" distL="114300" distR="114300" simplePos="0" relativeHeight="251728896" behindDoc="1" locked="0" layoutInCell="1" allowOverlap="1" wp14:anchorId="7AF4414F" wp14:editId="06003E7B">
            <wp:simplePos x="0" y="0"/>
            <wp:positionH relativeFrom="margin">
              <wp:posOffset>2857500</wp:posOffset>
            </wp:positionH>
            <wp:positionV relativeFrom="paragraph">
              <wp:posOffset>5080</wp:posOffset>
            </wp:positionV>
            <wp:extent cx="2819400" cy="2200275"/>
            <wp:effectExtent l="0" t="0" r="0" b="9525"/>
            <wp:wrapSquare wrapText="bothSides"/>
            <wp:docPr id="121" name="Chart 121">
              <a:extLst xmlns:a="http://schemas.openxmlformats.org/drawingml/2006/main">
                <a:ext uri="{FF2B5EF4-FFF2-40B4-BE49-F238E27FC236}">
                  <a16:creationId xmlns:a16="http://schemas.microsoft.com/office/drawing/2014/main" id="{00000000-0008-0000-1D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1" locked="0" layoutInCell="1" allowOverlap="1" wp14:anchorId="69361FEC" wp14:editId="3664EE8C">
            <wp:simplePos x="0" y="0"/>
            <wp:positionH relativeFrom="margin">
              <wp:align>left</wp:align>
            </wp:positionH>
            <wp:positionV relativeFrom="paragraph">
              <wp:posOffset>5080</wp:posOffset>
            </wp:positionV>
            <wp:extent cx="2838450" cy="2181225"/>
            <wp:effectExtent l="0" t="0" r="0" b="9525"/>
            <wp:wrapSquare wrapText="bothSides"/>
            <wp:docPr id="120" name="Chart 120">
              <a:extLst xmlns:a="http://schemas.openxmlformats.org/drawingml/2006/main">
                <a:ext uri="{FF2B5EF4-FFF2-40B4-BE49-F238E27FC236}">
                  <a16:creationId xmlns:a16="http://schemas.microsoft.com/office/drawing/2014/main" id="{00000000-0008-0000-1D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070288AD" w14:textId="45CAB6F8" w:rsidR="00082663" w:rsidRDefault="001C44D3" w:rsidP="00976D0B">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AEECC2C" w14:textId="252D44B2" w:rsidR="0004131A" w:rsidRDefault="009C48A0" w:rsidP="00976D0B">
      <w:pPr>
        <w:jc w:val="both"/>
        <w:rPr>
          <w:rFonts w:cstheme="minorHAnsi"/>
        </w:rPr>
      </w:pPr>
      <w:r>
        <w:t>Also,</w:t>
      </w:r>
      <w:r w:rsidR="00677767">
        <w:t xml:space="preserve"> in this case, the share of families living in overcrowded spaces is declining</w:t>
      </w:r>
      <w:r w:rsidR="005C6B76">
        <w:t>.</w:t>
      </w:r>
      <w:r w:rsidR="00677767">
        <w:t xml:space="preserve"> Moreover, </w:t>
      </w:r>
      <w:r w:rsidR="00F81FF7">
        <w:t>a</w:t>
      </w:r>
      <w:r w:rsidR="006066AB">
        <w:t xml:space="preserve"> </w:t>
      </w:r>
      <w:r w:rsidR="0004131A">
        <w:t xml:space="preserve">smaller share of households </w:t>
      </w:r>
      <w:r w:rsidR="009711FA">
        <w:t>is</w:t>
      </w:r>
      <w:r w:rsidR="0004131A">
        <w:t xml:space="preserve"> assumed to be overcrowded</w:t>
      </w:r>
      <w:r w:rsidR="00F81FF7">
        <w:t xml:space="preserve">, both in </w:t>
      </w:r>
      <w:r w:rsidR="0021680A">
        <w:t>urban</w:t>
      </w:r>
      <w:r w:rsidR="00F81FF7">
        <w:t xml:space="preserve"> and </w:t>
      </w:r>
      <w:r w:rsidR="0021680A">
        <w:t>rural</w:t>
      </w:r>
      <w:r w:rsidR="00F81FF7">
        <w:t xml:space="preserve"> areas</w:t>
      </w:r>
      <w:r w:rsidR="0004131A">
        <w:t xml:space="preserve"> </w:t>
      </w:r>
    </w:p>
    <w:p w14:paraId="6CD27577" w14:textId="54B1364E" w:rsidR="00B8247B" w:rsidRDefault="00F81FF7" w:rsidP="00976D0B">
      <w:pPr>
        <w:jc w:val="both"/>
      </w:pPr>
      <w:r>
        <w:rPr>
          <w:rFonts w:cstheme="minorHAnsi"/>
        </w:rPr>
        <w:t>On the basis of our estimates,</w:t>
      </w:r>
      <w:r w:rsidR="003979A7">
        <w:rPr>
          <w:rFonts w:cstheme="minorHAnsi"/>
        </w:rPr>
        <w:t xml:space="preserve"> overcrowding does not </w:t>
      </w:r>
      <w:r>
        <w:rPr>
          <w:rFonts w:cstheme="minorHAnsi"/>
        </w:rPr>
        <w:t xml:space="preserve">seem to constitute </w:t>
      </w:r>
      <w:r w:rsidR="003979A7">
        <w:rPr>
          <w:rFonts w:cstheme="minorHAnsi"/>
        </w:rPr>
        <w:t xml:space="preserve">a severe housing problem in Georgia, especially </w:t>
      </w:r>
      <w:r>
        <w:rPr>
          <w:rFonts w:cstheme="minorHAnsi"/>
        </w:rPr>
        <w:t xml:space="preserve">as </w:t>
      </w:r>
      <w:r w:rsidR="003979A7">
        <w:rPr>
          <w:rFonts w:cstheme="minorHAnsi"/>
        </w:rPr>
        <w:t xml:space="preserve">the </w:t>
      </w:r>
      <w:r>
        <w:rPr>
          <w:rFonts w:cstheme="minorHAnsi"/>
        </w:rPr>
        <w:t xml:space="preserve">(low) </w:t>
      </w:r>
      <w:r w:rsidR="003979A7">
        <w:rPr>
          <w:rFonts w:cstheme="minorHAnsi"/>
        </w:rPr>
        <w:t xml:space="preserve">share of </w:t>
      </w:r>
      <w:r w:rsidR="00D97C0D">
        <w:t xml:space="preserve">families living in overcrowded spaces </w:t>
      </w:r>
      <w:r w:rsidR="00D97C0D">
        <w:rPr>
          <w:rFonts w:cstheme="minorHAnsi"/>
        </w:rPr>
        <w:t>appears to be</w:t>
      </w:r>
      <w:r w:rsidR="003979A7">
        <w:rPr>
          <w:rFonts w:cstheme="minorHAnsi"/>
        </w:rPr>
        <w:t xml:space="preserve"> </w:t>
      </w:r>
      <w:r>
        <w:rPr>
          <w:rFonts w:cstheme="minorHAnsi"/>
        </w:rPr>
        <w:t xml:space="preserve">steadily </w:t>
      </w:r>
      <w:r w:rsidR="003979A7">
        <w:rPr>
          <w:rFonts w:cstheme="minorHAnsi"/>
        </w:rPr>
        <w:t>declining over yea</w:t>
      </w:r>
      <w:r w:rsidR="00D97C0D">
        <w:rPr>
          <w:rFonts w:cstheme="minorHAnsi"/>
        </w:rPr>
        <w:t>rs</w:t>
      </w:r>
      <w:r w:rsidR="00984E17">
        <w:rPr>
          <w:rFonts w:cstheme="minorHAnsi"/>
        </w:rPr>
        <w:t>.</w:t>
      </w:r>
    </w:p>
    <w:p w14:paraId="0F4873DE" w14:textId="05A6F3D4" w:rsidR="009E2516" w:rsidRDefault="00D74D8C" w:rsidP="009E2516">
      <w:pPr>
        <w:pStyle w:val="Heading2"/>
        <w:jc w:val="both"/>
      </w:pPr>
      <w:r>
        <w:t>Disaggregated analysis</w:t>
      </w:r>
    </w:p>
    <w:p w14:paraId="41FAF23C" w14:textId="32CF152C" w:rsidR="00D74D8C" w:rsidRDefault="00D74D8C" w:rsidP="00D74D8C"/>
    <w:p w14:paraId="4D6C18F8" w14:textId="2D7D3FC7" w:rsidR="00D74D8C" w:rsidRDefault="00D74D8C" w:rsidP="00D74D8C">
      <w:r>
        <w:t>As averages can</w:t>
      </w:r>
      <w:r w:rsidR="000D7F02">
        <w:t xml:space="preserve"> hide very different underlying trends characterizing </w:t>
      </w:r>
      <w:r w:rsidR="00023AB9">
        <w:t xml:space="preserve">various subgroups of the population, we decided to explore the </w:t>
      </w:r>
      <w:r w:rsidR="00D02CAE">
        <w:t xml:space="preserve">trends in </w:t>
      </w:r>
      <w:r w:rsidR="00DC738D">
        <w:t>u</w:t>
      </w:r>
      <w:r w:rsidR="00D02CAE">
        <w:t>nstable and inadequate housing</w:t>
      </w:r>
      <w:r w:rsidR="00450A92">
        <w:t xml:space="preserve"> discussed above</w:t>
      </w:r>
      <w:r w:rsidR="001B3A55">
        <w:t xml:space="preserve"> </w:t>
      </w:r>
      <w:r w:rsidR="00D02CAE">
        <w:t>at a more disaggregate level, fo</w:t>
      </w:r>
      <w:r w:rsidR="001B3A55">
        <w:t>r:</w:t>
      </w:r>
    </w:p>
    <w:p w14:paraId="75B4A002" w14:textId="67916C14" w:rsidR="001B3A55" w:rsidRDefault="001B3A55" w:rsidP="00454C26">
      <w:pPr>
        <w:pStyle w:val="ListParagraph"/>
        <w:numPr>
          <w:ilvl w:val="0"/>
          <w:numId w:val="23"/>
        </w:numPr>
      </w:pPr>
      <w:r>
        <w:t xml:space="preserve">households belonging to different </w:t>
      </w:r>
      <w:r w:rsidR="004D5B78">
        <w:t>parts of the income distribution (dividing the overall distribution in four quartiles);</w:t>
      </w:r>
    </w:p>
    <w:p w14:paraId="50EC29B6" w14:textId="678C2E8B" w:rsidR="004D5B78" w:rsidRDefault="004D5B78" w:rsidP="00454C26">
      <w:pPr>
        <w:pStyle w:val="ListParagraph"/>
        <w:numPr>
          <w:ilvl w:val="0"/>
          <w:numId w:val="23"/>
        </w:numPr>
      </w:pPr>
      <w:r>
        <w:t xml:space="preserve">groups identified as potentially vulnerable </w:t>
      </w:r>
      <w:r w:rsidR="00825FFF">
        <w:t>by the literature, experts and/or relevant stakeholders:</w:t>
      </w:r>
    </w:p>
    <w:p w14:paraId="07E27486" w14:textId="0072B05F" w:rsidR="00825FFF" w:rsidRDefault="001563A5" w:rsidP="00454C26">
      <w:pPr>
        <w:pStyle w:val="ListParagraph"/>
        <w:numPr>
          <w:ilvl w:val="1"/>
          <w:numId w:val="23"/>
        </w:numPr>
      </w:pPr>
      <w:r>
        <w:t>IDP households;</w:t>
      </w:r>
    </w:p>
    <w:p w14:paraId="514B641D" w14:textId="4AE4DA11" w:rsidR="001563A5" w:rsidRDefault="001563A5" w:rsidP="00454C26">
      <w:pPr>
        <w:pStyle w:val="ListParagraph"/>
        <w:numPr>
          <w:ilvl w:val="1"/>
          <w:numId w:val="23"/>
        </w:numPr>
      </w:pPr>
      <w:r>
        <w:t>Households headed by women;</w:t>
      </w:r>
    </w:p>
    <w:p w14:paraId="5E19EE94" w14:textId="77777777" w:rsidR="0093229B" w:rsidRDefault="001563A5" w:rsidP="00454C26">
      <w:pPr>
        <w:pStyle w:val="ListParagraph"/>
        <w:numPr>
          <w:ilvl w:val="1"/>
          <w:numId w:val="23"/>
        </w:numPr>
      </w:pPr>
      <w:r>
        <w:t>Households with disabled members</w:t>
      </w:r>
      <w:r w:rsidR="0093229B">
        <w:t>;</w:t>
      </w:r>
    </w:p>
    <w:p w14:paraId="363BA064" w14:textId="77777777" w:rsidR="0093229B" w:rsidRDefault="0093229B" w:rsidP="00454C26">
      <w:pPr>
        <w:pStyle w:val="ListParagraph"/>
        <w:numPr>
          <w:ilvl w:val="1"/>
          <w:numId w:val="23"/>
        </w:numPr>
      </w:pPr>
      <w:r>
        <w:t>Members of ethnic minorities;</w:t>
      </w:r>
    </w:p>
    <w:p w14:paraId="0E8A1F74" w14:textId="39048F48" w:rsidR="001563A5" w:rsidRPr="00D74D8C" w:rsidRDefault="008E1CB4" w:rsidP="00454C26">
      <w:pPr>
        <w:pStyle w:val="ListParagraph"/>
        <w:numPr>
          <w:ilvl w:val="1"/>
          <w:numId w:val="23"/>
        </w:numPr>
      </w:pPr>
      <w:r>
        <w:t>“Elderly” households</w:t>
      </w:r>
      <w:r>
        <w:rPr>
          <w:rStyle w:val="FootnoteReference"/>
        </w:rPr>
        <w:footnoteReference w:id="37"/>
      </w:r>
      <w:r>
        <w:t>.</w:t>
      </w:r>
    </w:p>
    <w:p w14:paraId="24496A30" w14:textId="05C1EDB2" w:rsidR="003F5D0A" w:rsidRDefault="0021460B" w:rsidP="00976D0B">
      <w:pPr>
        <w:jc w:val="both"/>
        <w:rPr>
          <w:rFonts w:cstheme="minorHAnsi"/>
        </w:rPr>
      </w:pPr>
      <w:r>
        <w:rPr>
          <w:rFonts w:cstheme="minorHAnsi"/>
        </w:rPr>
        <w:lastRenderedPageBreak/>
        <w:t xml:space="preserve">In this section we will be highlighting </w:t>
      </w:r>
      <w:r w:rsidR="00E90630">
        <w:rPr>
          <w:rFonts w:cstheme="minorHAnsi"/>
        </w:rPr>
        <w:t>the cases in which the disaggregated analysis provides greater and/or di</w:t>
      </w:r>
      <w:r w:rsidR="000E69CF">
        <w:rPr>
          <w:rFonts w:cstheme="minorHAnsi"/>
        </w:rPr>
        <w:t>verging</w:t>
      </w:r>
      <w:r w:rsidR="00E90630">
        <w:rPr>
          <w:rFonts w:cstheme="minorHAnsi"/>
        </w:rPr>
        <w:t xml:space="preserve"> insights with respect</w:t>
      </w:r>
      <w:r w:rsidR="000E69CF">
        <w:rPr>
          <w:rFonts w:cstheme="minorHAnsi"/>
        </w:rPr>
        <w:t xml:space="preserve"> to the general picture</w:t>
      </w:r>
      <w:r w:rsidR="007D6D99">
        <w:rPr>
          <w:rFonts w:cstheme="minorHAnsi"/>
        </w:rPr>
        <w:t>, by discussing the existing evidence</w:t>
      </w:r>
      <w:r w:rsidR="00DC62CF">
        <w:rPr>
          <w:rFonts w:cstheme="minorHAnsi"/>
        </w:rPr>
        <w:t xml:space="preserve"> as emerges from </w:t>
      </w:r>
      <w:r w:rsidR="0001598D">
        <w:rPr>
          <w:rFonts w:cstheme="minorHAnsi"/>
        </w:rPr>
        <w:t xml:space="preserve">the </w:t>
      </w:r>
      <w:r w:rsidR="00DC62CF">
        <w:rPr>
          <w:rFonts w:cstheme="minorHAnsi"/>
        </w:rPr>
        <w:t xml:space="preserve">analysis of selected </w:t>
      </w:r>
      <w:r w:rsidR="00B66D18">
        <w:rPr>
          <w:rFonts w:cstheme="minorHAnsi"/>
        </w:rPr>
        <w:t>figures</w:t>
      </w:r>
      <w:r w:rsidR="000E69CF">
        <w:rPr>
          <w:rFonts w:cstheme="minorHAnsi"/>
        </w:rPr>
        <w:t>.</w:t>
      </w:r>
      <w:r w:rsidR="00DC62CF">
        <w:rPr>
          <w:rFonts w:cstheme="minorHAnsi"/>
        </w:rPr>
        <w:t xml:space="preserve"> All remaining </w:t>
      </w:r>
      <w:r w:rsidR="00B66D18">
        <w:rPr>
          <w:rFonts w:cstheme="minorHAnsi"/>
        </w:rPr>
        <w:t>disaggregated figures</w:t>
      </w:r>
      <w:r w:rsidR="00DC62CF">
        <w:rPr>
          <w:rFonts w:cstheme="minorHAnsi"/>
        </w:rPr>
        <w:t xml:space="preserve"> will be shown in the appendix.</w:t>
      </w:r>
      <w:r w:rsidR="007D6D99">
        <w:rPr>
          <w:rFonts w:cstheme="minorHAnsi"/>
        </w:rPr>
        <w:t xml:space="preserve"> </w:t>
      </w:r>
    </w:p>
    <w:p w14:paraId="232789C2" w14:textId="251CDF77" w:rsidR="00E242DF" w:rsidRDefault="00B66D18" w:rsidP="00B66D18">
      <w:pPr>
        <w:jc w:val="both"/>
      </w:pPr>
      <w:r>
        <w:rPr>
          <w:b/>
          <w:bCs/>
          <w:i/>
          <w:iCs/>
        </w:rPr>
        <w:t>D</w:t>
      </w:r>
      <w:r w:rsidRPr="00B66D18">
        <w:rPr>
          <w:b/>
          <w:bCs/>
          <w:i/>
          <w:iCs/>
        </w:rPr>
        <w:t>oubled-up families</w:t>
      </w:r>
      <w:r>
        <w:t xml:space="preserve">. </w:t>
      </w:r>
    </w:p>
    <w:p w14:paraId="2D97C6A4" w14:textId="7F303225" w:rsidR="00E242DF" w:rsidRDefault="00C275E1" w:rsidP="00B66D18">
      <w:pPr>
        <w:jc w:val="both"/>
      </w:pPr>
      <w:r>
        <w:t xml:space="preserve">As it can be seen from Figures </w:t>
      </w:r>
      <w:r w:rsidR="00EB1F8C">
        <w:t>4</w:t>
      </w:r>
      <w:r w:rsidR="00F87C3F">
        <w:t>3</w:t>
      </w:r>
      <w:r w:rsidR="00EB1F8C">
        <w:t xml:space="preserve"> and 4</w:t>
      </w:r>
      <w:r w:rsidR="00F87C3F">
        <w:t>4</w:t>
      </w:r>
      <w:r w:rsidR="00EB1F8C">
        <w:t xml:space="preserve">, the phenomenon of doubling up </w:t>
      </w:r>
      <w:r w:rsidR="00524644">
        <w:t>is – surprisingly - more relevant for more affluent households than for poorer ones. The highest share of doubled up households is among th</w:t>
      </w:r>
      <w:r w:rsidR="00BC672A">
        <w:t xml:space="preserve">e top quartile of the income distribution, which could potentially afford </w:t>
      </w:r>
      <w:r w:rsidR="002C7F06">
        <w:t>splitting more than poorer ones. This might be an indication of a saving</w:t>
      </w:r>
      <w:r w:rsidR="007665D8">
        <w:t xml:space="preserve"> strategy aiming at increasing affordability of housing and/or </w:t>
      </w:r>
      <w:r w:rsidR="00CD57B2">
        <w:t>at increasing household incomes (e.g. by renting out the additional space).</w:t>
      </w:r>
    </w:p>
    <w:p w14:paraId="143BFE03" w14:textId="0F3B9A6A" w:rsidR="00F87C3F" w:rsidRDefault="000A6CC2"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43</w:t>
      </w:r>
      <w:r w:rsidR="009E6455">
        <w:rPr>
          <w:noProof/>
        </w:rPr>
        <w:fldChar w:fldCharType="end"/>
      </w:r>
      <w:r>
        <w:t xml:space="preserve"> </w:t>
      </w:r>
      <w:r w:rsidR="00F87C3F">
        <w:t xml:space="preserve">: </w:t>
      </w:r>
      <w:r>
        <w:t xml:space="preserve">The share of doubled up households in </w:t>
      </w:r>
      <w:r w:rsidR="004531A1">
        <w:t xml:space="preserve">urban areas </w:t>
      </w:r>
      <w:r w:rsidR="00F87C3F">
        <w:t>– by quartile of income distribution</w:t>
      </w:r>
    </w:p>
    <w:p w14:paraId="18C8EEB8" w14:textId="40AB87FE" w:rsidR="00E242DF" w:rsidRDefault="00FB024A" w:rsidP="00B66D18">
      <w:pPr>
        <w:jc w:val="both"/>
      </w:pPr>
      <w:r>
        <w:rPr>
          <w:noProof/>
        </w:rPr>
        <w:drawing>
          <wp:inline distT="0" distB="0" distL="0" distR="0" wp14:anchorId="04DDD255" wp14:editId="7310578C">
            <wp:extent cx="5724525" cy="2362200"/>
            <wp:effectExtent l="0" t="0" r="9525" b="0"/>
            <wp:docPr id="82" name="Grafico 82">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D81ACC3" w14:textId="4617C30E" w:rsidR="005D487C" w:rsidRDefault="005D487C" w:rsidP="005D487C">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8A2B7A5" w14:textId="45E5DF59" w:rsidR="00774544" w:rsidRDefault="000A6CC2"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44</w:t>
      </w:r>
      <w:r w:rsidR="009E6455">
        <w:rPr>
          <w:noProof/>
        </w:rPr>
        <w:fldChar w:fldCharType="end"/>
      </w:r>
      <w:r>
        <w:t xml:space="preserve"> </w:t>
      </w:r>
      <w:r w:rsidR="00774544">
        <w:t xml:space="preserve">: </w:t>
      </w:r>
      <w:r>
        <w:t xml:space="preserve">The share of doubled up households in </w:t>
      </w:r>
      <w:r w:rsidR="004531A1">
        <w:t xml:space="preserve">rural areas </w:t>
      </w:r>
      <w:r w:rsidR="00774544">
        <w:t>– by quartile of income distribution</w:t>
      </w:r>
    </w:p>
    <w:p w14:paraId="59B85644" w14:textId="1992B1C7" w:rsidR="00FB024A" w:rsidRDefault="00C275E1" w:rsidP="00B66D18">
      <w:pPr>
        <w:jc w:val="both"/>
      </w:pPr>
      <w:r>
        <w:rPr>
          <w:noProof/>
        </w:rPr>
        <w:drawing>
          <wp:inline distT="0" distB="0" distL="0" distR="0" wp14:anchorId="3293D65D" wp14:editId="4414190D">
            <wp:extent cx="5743575" cy="2486025"/>
            <wp:effectExtent l="0" t="0" r="9525" b="9525"/>
            <wp:docPr id="91" name="Grafico 91">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E369CE8" w14:textId="77777777" w:rsidR="00BE545D" w:rsidRDefault="00BE545D" w:rsidP="00BE545D">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BBACFB3" w14:textId="3857E25B" w:rsidR="00CD57B2" w:rsidRDefault="00CD57B2" w:rsidP="00B66D18">
      <w:pPr>
        <w:jc w:val="both"/>
      </w:pPr>
      <w:r>
        <w:lastRenderedPageBreak/>
        <w:t xml:space="preserve">When we look at </w:t>
      </w:r>
      <w:r w:rsidR="00E0038A">
        <w:t xml:space="preserve">the first three categories of </w:t>
      </w:r>
      <w:r w:rsidR="005C1527">
        <w:t xml:space="preserve">vulnerable </w:t>
      </w:r>
      <w:r w:rsidR="008F3E6B">
        <w:t>subgroups,</w:t>
      </w:r>
      <w:r w:rsidR="005C1527">
        <w:t xml:space="preserve"> we see that, both in </w:t>
      </w:r>
      <w:r w:rsidR="0021680A">
        <w:t>rural</w:t>
      </w:r>
      <w:r w:rsidR="005C1527">
        <w:t xml:space="preserve"> and </w:t>
      </w:r>
      <w:r w:rsidR="0021680A">
        <w:t>urban</w:t>
      </w:r>
      <w:r w:rsidR="005C1527">
        <w:t xml:space="preserve"> areas, </w:t>
      </w:r>
      <w:r w:rsidR="006A4651">
        <w:t xml:space="preserve">vulnerable households tend show a higher incidence of doubling up. </w:t>
      </w:r>
      <w:r w:rsidR="00291AA6">
        <w:t xml:space="preserve">Given what we observed in the previous figures, </w:t>
      </w:r>
      <w:r w:rsidR="00C031E7">
        <w:t>this</w:t>
      </w:r>
      <w:r w:rsidR="005B1E6F">
        <w:t xml:space="preserve"> might</w:t>
      </w:r>
      <w:r w:rsidR="00C031E7">
        <w:t xml:space="preserve"> also be</w:t>
      </w:r>
      <w:r w:rsidR="005B1E6F">
        <w:t xml:space="preserve"> a coping strategy, to minimize costs and/or increase revenues.</w:t>
      </w:r>
    </w:p>
    <w:p w14:paraId="13EFC17A" w14:textId="6ACA9120" w:rsidR="00774544" w:rsidRDefault="000A6CC2"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45</w:t>
      </w:r>
      <w:r w:rsidR="009E6455">
        <w:rPr>
          <w:noProof/>
        </w:rPr>
        <w:fldChar w:fldCharType="end"/>
      </w:r>
      <w:r w:rsidR="00774544">
        <w:t xml:space="preserve">: </w:t>
      </w:r>
      <w:r>
        <w:t xml:space="preserve">The share of doubled up households in </w:t>
      </w:r>
      <w:r w:rsidR="004531A1">
        <w:t xml:space="preserve">urban areas </w:t>
      </w:r>
      <w:r w:rsidR="00774544">
        <w:t>– by vulnerable subgroups</w:t>
      </w:r>
    </w:p>
    <w:p w14:paraId="5A9E310F" w14:textId="3342B333" w:rsidR="00E242DF" w:rsidRDefault="00E242DF" w:rsidP="00E242DF">
      <w:r>
        <w:rPr>
          <w:noProof/>
        </w:rPr>
        <w:drawing>
          <wp:inline distT="0" distB="0" distL="0" distR="0" wp14:anchorId="543B1494" wp14:editId="48F6F5A0">
            <wp:extent cx="5791200" cy="3253740"/>
            <wp:effectExtent l="0" t="0" r="0" b="3810"/>
            <wp:docPr id="70" name="Grafico 70">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56A6879" w14:textId="77777777" w:rsidR="00BE545D" w:rsidRDefault="00BE545D" w:rsidP="00BE545D">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0E17C4D" w14:textId="15E24303" w:rsidR="00BE545D" w:rsidRDefault="000A6CC2"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46</w:t>
      </w:r>
      <w:r w:rsidR="009E6455">
        <w:rPr>
          <w:noProof/>
        </w:rPr>
        <w:fldChar w:fldCharType="end"/>
      </w:r>
      <w:r w:rsidR="00774544">
        <w:t xml:space="preserve">: </w:t>
      </w:r>
      <w:r>
        <w:t xml:space="preserve">The share of doubled up households in </w:t>
      </w:r>
      <w:r w:rsidR="004531A1">
        <w:t xml:space="preserve">rural areas </w:t>
      </w:r>
      <w:r w:rsidR="00774544">
        <w:t>– by vulnerable subgroups</w:t>
      </w:r>
    </w:p>
    <w:p w14:paraId="6F7AC742" w14:textId="24368522" w:rsidR="00E242DF" w:rsidRDefault="00E242DF" w:rsidP="00E242DF">
      <w:r>
        <w:rPr>
          <w:noProof/>
        </w:rPr>
        <w:drawing>
          <wp:inline distT="0" distB="0" distL="0" distR="0" wp14:anchorId="57CEB6CE" wp14:editId="2072E77C">
            <wp:extent cx="5772150" cy="3131820"/>
            <wp:effectExtent l="0" t="0" r="0" b="11430"/>
            <wp:docPr id="73" name="Grafico 73">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7001231" w14:textId="77777777" w:rsidR="00B66D18" w:rsidRDefault="00B66D18" w:rsidP="00B66D18">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6B96E7FB" w14:textId="1BE62BB3" w:rsidR="00CC73A4" w:rsidRDefault="00CC73A4" w:rsidP="00B66D18">
      <w:pPr>
        <w:jc w:val="both"/>
        <w:rPr>
          <w:rFonts w:cstheme="minorHAnsi"/>
        </w:rPr>
      </w:pPr>
      <w:r>
        <w:rPr>
          <w:rFonts w:cstheme="minorHAnsi"/>
        </w:rPr>
        <w:lastRenderedPageBreak/>
        <w:t xml:space="preserve">Looking at ethnicity, </w:t>
      </w:r>
      <w:r w:rsidR="00961F50">
        <w:rPr>
          <w:rFonts w:cstheme="minorHAnsi"/>
        </w:rPr>
        <w:t xml:space="preserve">in </w:t>
      </w:r>
      <w:r w:rsidR="008F3E6B">
        <w:rPr>
          <w:rFonts w:cstheme="minorHAnsi"/>
        </w:rPr>
        <w:t>u</w:t>
      </w:r>
      <w:r w:rsidR="0021680A">
        <w:rPr>
          <w:rFonts w:cstheme="minorHAnsi"/>
        </w:rPr>
        <w:t>rban</w:t>
      </w:r>
      <w:r w:rsidR="00961F50">
        <w:rPr>
          <w:rFonts w:cstheme="minorHAnsi"/>
        </w:rPr>
        <w:t xml:space="preserve"> areas </w:t>
      </w:r>
      <w:r w:rsidR="003A7ECE">
        <w:rPr>
          <w:rFonts w:cstheme="minorHAnsi"/>
        </w:rPr>
        <w:t>we observe a higher incidence of double up among “</w:t>
      </w:r>
      <w:r w:rsidR="00961F50">
        <w:rPr>
          <w:rFonts w:cstheme="minorHAnsi"/>
        </w:rPr>
        <w:t xml:space="preserve">ethnically </w:t>
      </w:r>
      <w:r w:rsidR="003A7ECE">
        <w:rPr>
          <w:rFonts w:cstheme="minorHAnsi"/>
        </w:rPr>
        <w:t xml:space="preserve">mixed families” (composed by both ethnic Georgians and members of other ethnicities), followed by </w:t>
      </w:r>
      <w:r w:rsidR="00961F50">
        <w:rPr>
          <w:rFonts w:cstheme="minorHAnsi"/>
        </w:rPr>
        <w:t>Georgian families and non-ethnic Georgian families.</w:t>
      </w:r>
    </w:p>
    <w:p w14:paraId="10948BA8" w14:textId="199F75DE" w:rsidR="00961F50" w:rsidRDefault="000A6CC2" w:rsidP="00454C26">
      <w:pPr>
        <w:pStyle w:val="Caption"/>
        <w:rPr>
          <w:rFonts w:cstheme="minorHAnsi"/>
        </w:rPr>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47</w:t>
      </w:r>
      <w:r w:rsidR="009E6455">
        <w:rPr>
          <w:noProof/>
        </w:rPr>
        <w:fldChar w:fldCharType="end"/>
      </w:r>
      <w:r>
        <w:t xml:space="preserve">: The share of doubled up households in </w:t>
      </w:r>
      <w:r w:rsidR="004531A1">
        <w:t>u</w:t>
      </w:r>
      <w:r w:rsidR="0021680A">
        <w:t>rban</w:t>
      </w:r>
      <w:r>
        <w:t xml:space="preserve"> areas – by ethnicity </w:t>
      </w:r>
    </w:p>
    <w:p w14:paraId="7E372F4E" w14:textId="665DB425" w:rsidR="00961F50" w:rsidRDefault="000A6CC2" w:rsidP="00B66D18">
      <w:pPr>
        <w:jc w:val="both"/>
        <w:rPr>
          <w:noProof/>
        </w:rPr>
      </w:pPr>
      <w:r>
        <w:rPr>
          <w:noProof/>
        </w:rPr>
        <w:drawing>
          <wp:inline distT="0" distB="0" distL="0" distR="0" wp14:anchorId="65612214" wp14:editId="2DD2BF3D">
            <wp:extent cx="5838825" cy="2952750"/>
            <wp:effectExtent l="0" t="0" r="9525" b="0"/>
            <wp:docPr id="122" name="Chart 122">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Del="000A6CC2">
        <w:rPr>
          <w:noProof/>
        </w:rPr>
        <w:t xml:space="preserve"> </w:t>
      </w:r>
    </w:p>
    <w:p w14:paraId="4DFF78DA" w14:textId="1E714936" w:rsidR="0021680A" w:rsidRPr="00454C26" w:rsidRDefault="0021680A" w:rsidP="00B66D18">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4C79C51" w14:textId="798F5C1C" w:rsidR="00961F50" w:rsidRDefault="00035838" w:rsidP="00B66D18">
      <w:pPr>
        <w:jc w:val="both"/>
        <w:rPr>
          <w:rFonts w:cstheme="minorHAnsi"/>
        </w:rPr>
      </w:pPr>
      <w:r>
        <w:rPr>
          <w:rFonts w:cstheme="minorHAnsi"/>
        </w:rPr>
        <w:t xml:space="preserve">In </w:t>
      </w:r>
      <w:r w:rsidR="0021680A">
        <w:rPr>
          <w:rFonts w:cstheme="minorHAnsi"/>
        </w:rPr>
        <w:t>rural</w:t>
      </w:r>
      <w:r>
        <w:rPr>
          <w:rFonts w:cstheme="minorHAnsi"/>
        </w:rPr>
        <w:t xml:space="preserve"> areas the</w:t>
      </w:r>
      <w:r w:rsidR="00961F50">
        <w:rPr>
          <w:rFonts w:cstheme="minorHAnsi"/>
        </w:rPr>
        <w:t xml:space="preserve"> pattern </w:t>
      </w:r>
      <w:r>
        <w:rPr>
          <w:rFonts w:cstheme="minorHAnsi"/>
        </w:rPr>
        <w:t>appears less pronounced, especially after</w:t>
      </w:r>
      <w:r w:rsidR="00B77FB8">
        <w:rPr>
          <w:rFonts w:cstheme="minorHAnsi"/>
        </w:rPr>
        <w:t xml:space="preserve"> </w:t>
      </w:r>
      <w:r>
        <w:rPr>
          <w:rFonts w:cstheme="minorHAnsi"/>
        </w:rPr>
        <w:t>2013.</w:t>
      </w:r>
    </w:p>
    <w:p w14:paraId="4E1F85F6" w14:textId="35336D4E" w:rsidR="000A6CC2" w:rsidRDefault="000A6CC2" w:rsidP="000A6CC2">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48</w:t>
      </w:r>
      <w:r w:rsidR="009E6455">
        <w:rPr>
          <w:noProof/>
        </w:rPr>
        <w:fldChar w:fldCharType="end"/>
      </w:r>
      <w:r>
        <w:t xml:space="preserve">: The share of doubled up households in </w:t>
      </w:r>
      <w:r w:rsidR="004531A1">
        <w:t>r</w:t>
      </w:r>
      <w:r w:rsidR="0021680A">
        <w:t>ural</w:t>
      </w:r>
      <w:r>
        <w:t xml:space="preserve"> areas – by ethnicity</w:t>
      </w:r>
    </w:p>
    <w:p w14:paraId="31D0A9C5" w14:textId="7B1252DD" w:rsidR="000A6CC2" w:rsidRDefault="000A6CC2" w:rsidP="000A6CC2">
      <w:r>
        <w:rPr>
          <w:noProof/>
        </w:rPr>
        <w:drawing>
          <wp:inline distT="0" distB="0" distL="0" distR="0" wp14:anchorId="47AF155F" wp14:editId="79F4B0AF">
            <wp:extent cx="5819775" cy="3152775"/>
            <wp:effectExtent l="0" t="0" r="9525" b="9525"/>
            <wp:docPr id="123" name="Chart 123">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901D59C" w14:textId="29EE0372" w:rsidR="0021680A" w:rsidRPr="00454C26" w:rsidRDefault="0021680A" w:rsidP="00454C26">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64E4D773" w14:textId="56390FC7" w:rsidR="00774544" w:rsidRDefault="005D487C" w:rsidP="00B66D18">
      <w:pPr>
        <w:jc w:val="both"/>
        <w:rPr>
          <w:rFonts w:cstheme="minorHAnsi"/>
          <w:b/>
          <w:bCs/>
          <w:i/>
          <w:iCs/>
        </w:rPr>
      </w:pPr>
      <w:r>
        <w:rPr>
          <w:rFonts w:cstheme="minorHAnsi"/>
        </w:rPr>
        <w:lastRenderedPageBreak/>
        <w:t>For all subcategories analyzed, the</w:t>
      </w:r>
      <w:r w:rsidR="00F87C3F">
        <w:rPr>
          <w:rFonts w:cstheme="minorHAnsi"/>
        </w:rPr>
        <w:t xml:space="preserve"> increasing trend in the incidence of doubling up is confirmed.</w:t>
      </w:r>
    </w:p>
    <w:p w14:paraId="43643122" w14:textId="1CA79AA8" w:rsidR="005D487C" w:rsidRDefault="005D487C" w:rsidP="00B66D18">
      <w:pPr>
        <w:jc w:val="both"/>
        <w:rPr>
          <w:rFonts w:cstheme="minorHAnsi"/>
          <w:b/>
          <w:bCs/>
          <w:i/>
          <w:iCs/>
        </w:rPr>
      </w:pPr>
      <w:r>
        <w:rPr>
          <w:rFonts w:cstheme="minorHAnsi"/>
          <w:b/>
          <w:bCs/>
          <w:i/>
          <w:iCs/>
        </w:rPr>
        <w:t>Unaffordable housing indicators</w:t>
      </w:r>
    </w:p>
    <w:p w14:paraId="1C4C9FFC" w14:textId="1B541DFC" w:rsidR="00B66D18" w:rsidRDefault="00A35CEA" w:rsidP="00F87C3F">
      <w:pPr>
        <w:jc w:val="both"/>
        <w:rPr>
          <w:rFonts w:cstheme="minorHAnsi"/>
        </w:rPr>
      </w:pPr>
      <w:r>
        <w:rPr>
          <w:rFonts w:cstheme="minorHAnsi"/>
        </w:rPr>
        <w:t xml:space="preserve">The analysis of affordability indicators </w:t>
      </w:r>
      <w:r w:rsidR="00F30082">
        <w:rPr>
          <w:rFonts w:cstheme="minorHAnsi"/>
        </w:rPr>
        <w:t xml:space="preserve">provides us with some additional insights, most of which were not unexpected. As the </w:t>
      </w:r>
      <w:r w:rsidR="0002423F">
        <w:rPr>
          <w:rFonts w:cstheme="minorHAnsi"/>
        </w:rPr>
        <w:t xml:space="preserve">patterns identified emerge repeatedly across all different specifications, we will be discussing just </w:t>
      </w:r>
      <w:r w:rsidR="007B1AB8">
        <w:rPr>
          <w:rFonts w:cstheme="minorHAnsi"/>
        </w:rPr>
        <w:t>the evolution of t</w:t>
      </w:r>
      <w:r w:rsidR="00730B29">
        <w:rPr>
          <w:rFonts w:cstheme="minorHAnsi"/>
        </w:rPr>
        <w:t>hree</w:t>
      </w:r>
      <w:r w:rsidR="007B1AB8">
        <w:rPr>
          <w:rFonts w:cstheme="minorHAnsi"/>
        </w:rPr>
        <w:t xml:space="preserve"> set of indicators and leave to the reader the possibility to observe the evolution of the remaining indicators looking at the figures in the annex section.</w:t>
      </w:r>
    </w:p>
    <w:p w14:paraId="6D922497" w14:textId="519B7CCD" w:rsidR="007B1AB8" w:rsidRDefault="00E977B3" w:rsidP="00F87C3F">
      <w:pPr>
        <w:jc w:val="both"/>
        <w:rPr>
          <w:rFonts w:cstheme="minorHAnsi"/>
        </w:rPr>
      </w:pPr>
      <w:r>
        <w:rPr>
          <w:rFonts w:cstheme="minorHAnsi"/>
        </w:rPr>
        <w:t>The first set of indicators (Figures 4</w:t>
      </w:r>
      <w:r w:rsidR="000A6CC2">
        <w:rPr>
          <w:rFonts w:cstheme="minorHAnsi"/>
        </w:rPr>
        <w:t>9</w:t>
      </w:r>
      <w:r>
        <w:rPr>
          <w:rFonts w:cstheme="minorHAnsi"/>
        </w:rPr>
        <w:t xml:space="preserve"> and </w:t>
      </w:r>
      <w:r w:rsidR="000A6CC2">
        <w:rPr>
          <w:rFonts w:cstheme="minorHAnsi"/>
        </w:rPr>
        <w:t>50</w:t>
      </w:r>
      <w:r>
        <w:rPr>
          <w:rFonts w:cstheme="minorHAnsi"/>
        </w:rPr>
        <w:t>)</w:t>
      </w:r>
      <w:r w:rsidR="00A636A2">
        <w:rPr>
          <w:rFonts w:cstheme="minorHAnsi"/>
        </w:rPr>
        <w:t xml:space="preserve"> shows the evolution in the incidence of </w:t>
      </w:r>
      <w:r w:rsidR="0024336B">
        <w:rPr>
          <w:rFonts w:cstheme="minorHAnsi"/>
        </w:rPr>
        <w:t xml:space="preserve">unaffordability among households belonging to different quartiles estimated looking at the ratio </w:t>
      </w:r>
      <w:r w:rsidR="00A636A2">
        <w:rPr>
          <w:rFonts w:cstheme="minorHAnsi"/>
        </w:rPr>
        <w:t>rent</w:t>
      </w:r>
      <w:r w:rsidR="00F96244">
        <w:rPr>
          <w:rFonts w:cstheme="minorHAnsi"/>
        </w:rPr>
        <w:t>/</w:t>
      </w:r>
      <w:r w:rsidR="00A636A2">
        <w:rPr>
          <w:rFonts w:cstheme="minorHAnsi"/>
        </w:rPr>
        <w:t>income</w:t>
      </w:r>
      <w:r w:rsidR="0024336B">
        <w:rPr>
          <w:rFonts w:cstheme="minorHAnsi"/>
        </w:rPr>
        <w:t>.</w:t>
      </w:r>
    </w:p>
    <w:p w14:paraId="2D5DE263" w14:textId="53C32E87" w:rsidR="00730B29" w:rsidRDefault="00730B29" w:rsidP="00F87C3F">
      <w:pPr>
        <w:jc w:val="both"/>
        <w:rPr>
          <w:rFonts w:cstheme="minorHAnsi"/>
        </w:rPr>
      </w:pPr>
      <w:r>
        <w:rPr>
          <w:rFonts w:cstheme="minorHAnsi"/>
        </w:rPr>
        <w:t xml:space="preserve">The analysis of these two figures </w:t>
      </w:r>
      <w:r w:rsidR="00CB2974">
        <w:rPr>
          <w:rFonts w:cstheme="minorHAnsi"/>
        </w:rPr>
        <w:t>shows</w:t>
      </w:r>
      <w:r w:rsidR="002A26A6">
        <w:rPr>
          <w:rFonts w:cstheme="minorHAnsi"/>
        </w:rPr>
        <w:t xml:space="preserve"> a marked improvement of the</w:t>
      </w:r>
      <w:r w:rsidR="00CC6ADD">
        <w:rPr>
          <w:rFonts w:cstheme="minorHAnsi"/>
        </w:rPr>
        <w:t xml:space="preserve"> situation for the poorer families in the</w:t>
      </w:r>
      <w:r w:rsidR="00357F15">
        <w:rPr>
          <w:rFonts w:cstheme="minorHAnsi"/>
        </w:rPr>
        <w:t xml:space="preserve"> </w:t>
      </w:r>
      <w:r w:rsidR="0021680A">
        <w:rPr>
          <w:rFonts w:cstheme="minorHAnsi"/>
        </w:rPr>
        <w:t>urban</w:t>
      </w:r>
      <w:r w:rsidR="00357F15">
        <w:rPr>
          <w:rFonts w:cstheme="minorHAnsi"/>
        </w:rPr>
        <w:t xml:space="preserve"> sub</w:t>
      </w:r>
      <w:r w:rsidR="00CC6ADD">
        <w:rPr>
          <w:rFonts w:cstheme="minorHAnsi"/>
        </w:rPr>
        <w:t>sample (first quartile) until 2015</w:t>
      </w:r>
      <w:r w:rsidR="00B6481D">
        <w:rPr>
          <w:rFonts w:cstheme="minorHAnsi"/>
        </w:rPr>
        <w:t xml:space="preserve"> (down from a maximum of 7% in 2009</w:t>
      </w:r>
      <w:r w:rsidR="006C011D">
        <w:rPr>
          <w:rFonts w:cstheme="minorHAnsi"/>
        </w:rPr>
        <w:t xml:space="preserve"> to a minimum of about 1% in 2015)</w:t>
      </w:r>
      <w:r w:rsidR="00CC6ADD">
        <w:rPr>
          <w:rFonts w:cstheme="minorHAnsi"/>
        </w:rPr>
        <w:t xml:space="preserve">, </w:t>
      </w:r>
      <w:r w:rsidR="006C011D">
        <w:rPr>
          <w:rFonts w:cstheme="minorHAnsi"/>
        </w:rPr>
        <w:t>followed by a rebound in the last years.</w:t>
      </w:r>
      <w:r w:rsidR="00357F15">
        <w:rPr>
          <w:rFonts w:cstheme="minorHAnsi"/>
        </w:rPr>
        <w:t xml:space="preserve"> </w:t>
      </w:r>
      <w:r w:rsidR="006C011D">
        <w:rPr>
          <w:rFonts w:cstheme="minorHAnsi"/>
        </w:rPr>
        <w:t xml:space="preserve">The high volatility of the indicator for the lowest quartile, </w:t>
      </w:r>
      <w:r w:rsidR="00541241">
        <w:rPr>
          <w:rFonts w:cstheme="minorHAnsi"/>
        </w:rPr>
        <w:t>suggests the need to monitor on a continuous basis the conditions of the poorer households</w:t>
      </w:r>
      <w:r w:rsidR="00420294">
        <w:rPr>
          <w:rFonts w:cstheme="minorHAnsi"/>
        </w:rPr>
        <w:t xml:space="preserve"> in </w:t>
      </w:r>
      <w:r w:rsidR="0021680A">
        <w:rPr>
          <w:rFonts w:cstheme="minorHAnsi"/>
        </w:rPr>
        <w:t>urban</w:t>
      </w:r>
      <w:r w:rsidR="00420294">
        <w:rPr>
          <w:rFonts w:cstheme="minorHAnsi"/>
        </w:rPr>
        <w:t xml:space="preserve"> areas</w:t>
      </w:r>
      <w:r w:rsidR="0014303F">
        <w:rPr>
          <w:rFonts w:cstheme="minorHAnsi"/>
        </w:rPr>
        <w:t>, as economic-wide shocks can quickly affect them in a substantially negative manner.</w:t>
      </w:r>
    </w:p>
    <w:p w14:paraId="2D96D2CC" w14:textId="0D68DCE6" w:rsidR="002A26A6" w:rsidRPr="00E40767" w:rsidRDefault="002A26A6" w:rsidP="002A26A6">
      <w:pPr>
        <w:pStyle w:val="Caption"/>
        <w:jc w:val="both"/>
        <w:rPr>
          <w:rFonts w:cstheme="minorHAnsi"/>
          <w:color w:val="auto"/>
        </w:rPr>
      </w:pPr>
      <w:r>
        <w:t xml:space="preserve">Figure </w:t>
      </w:r>
      <w:r>
        <w:rPr>
          <w:noProof/>
        </w:rPr>
        <w:fldChar w:fldCharType="begin"/>
      </w:r>
      <w:r>
        <w:rPr>
          <w:noProof/>
        </w:rPr>
        <w:instrText xml:space="preserve"> SEQ Figure \* ARABIC </w:instrText>
      </w:r>
      <w:r>
        <w:rPr>
          <w:noProof/>
        </w:rPr>
        <w:fldChar w:fldCharType="separate"/>
      </w:r>
      <w:r w:rsidR="006B5103">
        <w:rPr>
          <w:noProof/>
        </w:rPr>
        <w:t>49</w:t>
      </w:r>
      <w:r>
        <w:rPr>
          <w:noProof/>
        </w:rPr>
        <w:fldChar w:fldCharType="end"/>
      </w:r>
      <w:r>
        <w:t xml:space="preserve">: The share of households exceeding the unaffordability threshold </w:t>
      </w:r>
      <w:r w:rsidR="00F06F83">
        <w:t>(</w:t>
      </w:r>
      <w:r w:rsidR="00420294">
        <w:t>rent/income</w:t>
      </w:r>
      <w:r w:rsidR="00F06F83">
        <w:t>)</w:t>
      </w:r>
      <w:r w:rsidR="00420294">
        <w:t xml:space="preserve"> </w:t>
      </w:r>
      <w:r>
        <w:t xml:space="preserve">in </w:t>
      </w:r>
      <w:r w:rsidR="004531A1">
        <w:t>u</w:t>
      </w:r>
      <w:r w:rsidR="0021680A">
        <w:t>rban</w:t>
      </w:r>
      <w:r>
        <w:t xml:space="preserve"> areas</w:t>
      </w:r>
    </w:p>
    <w:p w14:paraId="1E4EB9A3" w14:textId="77777777" w:rsidR="008F3E6B" w:rsidRDefault="002A26A6" w:rsidP="008F3E6B">
      <w:pPr>
        <w:spacing w:before="240"/>
        <w:jc w:val="both"/>
        <w:rPr>
          <w:rFonts w:cstheme="minorHAnsi"/>
        </w:rPr>
      </w:pPr>
      <w:r>
        <w:rPr>
          <w:noProof/>
        </w:rPr>
        <w:drawing>
          <wp:inline distT="0" distB="0" distL="0" distR="0" wp14:anchorId="4BE18039" wp14:editId="694CFCDA">
            <wp:extent cx="5791200" cy="3253740"/>
            <wp:effectExtent l="0" t="0" r="0" b="3810"/>
            <wp:docPr id="32" name="Grafico 32">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Pr>
          <w:rFonts w:cstheme="minorHAnsi"/>
        </w:rPr>
        <w:t xml:space="preserve"> </w:t>
      </w:r>
    </w:p>
    <w:p w14:paraId="3E07B676" w14:textId="666DD344" w:rsidR="00420294" w:rsidRDefault="00420294" w:rsidP="008F3E6B">
      <w:pPr>
        <w:spacing w:before="240"/>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D22F080" w14:textId="6F7442B5" w:rsidR="00A4456D" w:rsidRPr="00C108C7" w:rsidRDefault="00420294" w:rsidP="00C108C7">
      <w:pPr>
        <w:jc w:val="both"/>
        <w:rPr>
          <w:rFonts w:cstheme="minorHAnsi"/>
        </w:rPr>
      </w:pPr>
      <w:r w:rsidRPr="00C108C7">
        <w:rPr>
          <w:rFonts w:cstheme="minorHAnsi"/>
        </w:rPr>
        <w:t xml:space="preserve">The situation in </w:t>
      </w:r>
      <w:r w:rsidR="0021680A">
        <w:rPr>
          <w:rFonts w:cstheme="minorHAnsi"/>
        </w:rPr>
        <w:t>rural</w:t>
      </w:r>
      <w:r w:rsidRPr="00C108C7">
        <w:rPr>
          <w:rFonts w:cstheme="minorHAnsi"/>
        </w:rPr>
        <w:t xml:space="preserve"> areas </w:t>
      </w:r>
      <w:r w:rsidR="00C108C7" w:rsidRPr="00C108C7">
        <w:rPr>
          <w:rFonts w:cstheme="minorHAnsi"/>
        </w:rPr>
        <w:t xml:space="preserve">(Figure </w:t>
      </w:r>
      <w:r w:rsidR="000A6CC2">
        <w:rPr>
          <w:rFonts w:cstheme="minorHAnsi"/>
        </w:rPr>
        <w:t>50</w:t>
      </w:r>
      <w:r w:rsidR="00C108C7" w:rsidRPr="00C108C7">
        <w:rPr>
          <w:rFonts w:cstheme="minorHAnsi"/>
        </w:rPr>
        <w:t xml:space="preserve">) </w:t>
      </w:r>
      <w:r w:rsidRPr="00C108C7">
        <w:rPr>
          <w:rFonts w:cstheme="minorHAnsi"/>
        </w:rPr>
        <w:t>appears substantially different, with</w:t>
      </w:r>
      <w:r w:rsidR="00A4456D" w:rsidRPr="00C108C7">
        <w:rPr>
          <w:rFonts w:cstheme="minorHAnsi"/>
        </w:rPr>
        <w:t xml:space="preserve"> substantially lower shares of households facing unaffordability issues. </w:t>
      </w:r>
      <w:r w:rsidR="00DC43EF">
        <w:rPr>
          <w:rFonts w:cstheme="minorHAnsi"/>
        </w:rPr>
        <w:t xml:space="preserve">In </w:t>
      </w:r>
      <w:r w:rsidR="0021680A">
        <w:rPr>
          <w:rFonts w:cstheme="minorHAnsi"/>
        </w:rPr>
        <w:t>rural</w:t>
      </w:r>
      <w:r w:rsidR="00DC43EF">
        <w:rPr>
          <w:rFonts w:cstheme="minorHAnsi"/>
        </w:rPr>
        <w:t xml:space="preserve"> areas only few households </w:t>
      </w:r>
      <w:r w:rsidR="00147A56">
        <w:rPr>
          <w:rFonts w:cstheme="minorHAnsi"/>
        </w:rPr>
        <w:t xml:space="preserve">from the fist quartile </w:t>
      </w:r>
      <w:r w:rsidR="00DC43EF">
        <w:rPr>
          <w:rFonts w:cstheme="minorHAnsi"/>
        </w:rPr>
        <w:t>seem to face unaffordability challenges</w:t>
      </w:r>
      <w:r w:rsidR="00147A56">
        <w:rPr>
          <w:rFonts w:cstheme="minorHAnsi"/>
        </w:rPr>
        <w:t>.</w:t>
      </w:r>
    </w:p>
    <w:p w14:paraId="46BD3CDE" w14:textId="77777777" w:rsidR="00F64504" w:rsidRDefault="00F64504">
      <w:pPr>
        <w:rPr>
          <w:i/>
          <w:iCs/>
          <w:color w:val="44546A" w:themeColor="text2"/>
          <w:sz w:val="18"/>
          <w:szCs w:val="18"/>
        </w:rPr>
      </w:pPr>
      <w:r>
        <w:br w:type="page"/>
      </w:r>
    </w:p>
    <w:p w14:paraId="42A2590B" w14:textId="6F19D5F6" w:rsidR="00B66D18" w:rsidRDefault="00B66D18" w:rsidP="00B66D18">
      <w:pPr>
        <w:pStyle w:val="Caption"/>
        <w:jc w:val="both"/>
      </w:pPr>
      <w:r>
        <w:lastRenderedPageBreak/>
        <w:t xml:space="preserve">Figure </w:t>
      </w:r>
      <w:r>
        <w:rPr>
          <w:noProof/>
        </w:rPr>
        <w:fldChar w:fldCharType="begin"/>
      </w:r>
      <w:r>
        <w:rPr>
          <w:noProof/>
        </w:rPr>
        <w:instrText xml:space="preserve"> SEQ Figure \* ARABIC </w:instrText>
      </w:r>
      <w:r>
        <w:rPr>
          <w:noProof/>
        </w:rPr>
        <w:fldChar w:fldCharType="separate"/>
      </w:r>
      <w:r w:rsidR="006B5103">
        <w:rPr>
          <w:noProof/>
        </w:rPr>
        <w:t>50</w:t>
      </w:r>
      <w:r>
        <w:rPr>
          <w:noProof/>
        </w:rPr>
        <w:fldChar w:fldCharType="end"/>
      </w:r>
      <w:r>
        <w:t xml:space="preserve">: The share of households </w:t>
      </w:r>
      <w:r w:rsidR="0076156A">
        <w:t xml:space="preserve">exceeding the unaffordability threshold </w:t>
      </w:r>
      <w:r w:rsidR="00F06F83">
        <w:t>(</w:t>
      </w:r>
      <w:r w:rsidR="00C108C7">
        <w:t>rent/income</w:t>
      </w:r>
      <w:r w:rsidR="00F06F83">
        <w:t>)</w:t>
      </w:r>
      <w:r w:rsidR="00C108C7">
        <w:t xml:space="preserve"> </w:t>
      </w:r>
      <w:r w:rsidR="0076156A">
        <w:t xml:space="preserve">in </w:t>
      </w:r>
      <w:r w:rsidR="0021680A">
        <w:t>rural</w:t>
      </w:r>
      <w:r w:rsidR="0076156A">
        <w:t xml:space="preserve"> areas</w:t>
      </w:r>
    </w:p>
    <w:p w14:paraId="5975C97D" w14:textId="77777777" w:rsidR="008F3E6B" w:rsidRDefault="00DC43EF" w:rsidP="008F3E6B">
      <w:pPr>
        <w:spacing w:before="240"/>
        <w:jc w:val="both"/>
        <w:rPr>
          <w:i/>
          <w:iCs/>
          <w:color w:val="44546A" w:themeColor="text2"/>
          <w:sz w:val="18"/>
          <w:szCs w:val="18"/>
        </w:rPr>
      </w:pPr>
      <w:r>
        <w:rPr>
          <w:noProof/>
        </w:rPr>
        <w:drawing>
          <wp:inline distT="0" distB="0" distL="0" distR="0" wp14:anchorId="01B50CDA" wp14:editId="01B8F149">
            <wp:extent cx="5810250" cy="2876550"/>
            <wp:effectExtent l="0" t="0" r="0" b="0"/>
            <wp:docPr id="62" name="Grafico 62">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37A6B10" w14:textId="40F38659" w:rsidR="00F64504" w:rsidRDefault="00F64504" w:rsidP="008F3E6B">
      <w:pPr>
        <w:spacing w:before="240"/>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35CBA09" w14:textId="77777777" w:rsidR="00056817" w:rsidRDefault="00147A56" w:rsidP="00F64504">
      <w:r>
        <w:t xml:space="preserve">When we include among the housing costs house-related expenditures, the </w:t>
      </w:r>
      <w:r w:rsidR="00425A3B">
        <w:t>disaggregated analysis continues to support the message that affordability of housing has been increasing with time. However</w:t>
      </w:r>
      <w:r w:rsidR="0084365B">
        <w:t xml:space="preserve">, </w:t>
      </w:r>
      <w:r w:rsidR="00C43270">
        <w:t>now the issue o</w:t>
      </w:r>
      <w:r w:rsidR="00056817">
        <w:t xml:space="preserve">f affordability looks now more worrisome, especially </w:t>
      </w:r>
      <w:r w:rsidR="0084365B">
        <w:t>if we focus on the poorest segment of the population</w:t>
      </w:r>
      <w:r w:rsidR="00056817">
        <w:t>.</w:t>
      </w:r>
    </w:p>
    <w:p w14:paraId="04C77905" w14:textId="16BFB35A" w:rsidR="00F64504" w:rsidRDefault="00056817" w:rsidP="00F64504">
      <w:r>
        <w:t>For the bottom quartile of the population, t</w:t>
      </w:r>
      <w:r w:rsidR="00A32F5E">
        <w:t>he share</w:t>
      </w:r>
      <w:r w:rsidR="00EC0B6A">
        <w:t xml:space="preserve"> of households still </w:t>
      </w:r>
      <w:r w:rsidR="004E384B">
        <w:t>facing unaffordability issues</w:t>
      </w:r>
      <w:r w:rsidR="00A32F5E">
        <w:t xml:space="preserve"> has been stabilizing</w:t>
      </w:r>
      <w:r w:rsidR="00AC2271">
        <w:t xml:space="preserve"> at a relatively high level (between 15 and 20% of the population </w:t>
      </w:r>
      <w:r>
        <w:t xml:space="preserve">in </w:t>
      </w:r>
      <w:r w:rsidR="0021680A">
        <w:t>urban</w:t>
      </w:r>
      <w:r>
        <w:t xml:space="preserve"> areas and </w:t>
      </w:r>
      <w:r w:rsidR="00061A04">
        <w:t xml:space="preserve">between 10 and 15% of the population in </w:t>
      </w:r>
      <w:r w:rsidR="0021680A">
        <w:t>rural</w:t>
      </w:r>
      <w:r w:rsidR="00061A04">
        <w:t xml:space="preserve"> areas, </w:t>
      </w:r>
      <w:r w:rsidR="004E384B">
        <w:t>against less than 2%</w:t>
      </w:r>
      <w:r w:rsidR="00061A04">
        <w:t xml:space="preserve"> in </w:t>
      </w:r>
      <w:r w:rsidR="0021680A">
        <w:t>urban</w:t>
      </w:r>
      <w:r w:rsidR="00061A04">
        <w:t xml:space="preserve"> areas and </w:t>
      </w:r>
      <w:r w:rsidR="00E77F3D">
        <w:t xml:space="preserve">0% in </w:t>
      </w:r>
      <w:r w:rsidR="0021680A">
        <w:t>rural</w:t>
      </w:r>
      <w:r w:rsidR="00E77F3D">
        <w:t xml:space="preserve"> areas</w:t>
      </w:r>
      <w:r w:rsidR="004E384B">
        <w:t xml:space="preserve"> for the households in the richest quartile).</w:t>
      </w:r>
      <w:r w:rsidR="00A32F5E">
        <w:t xml:space="preserve"> </w:t>
      </w:r>
      <w:r w:rsidR="00AC2271">
        <w:t>These</w:t>
      </w:r>
      <w:r w:rsidR="00A32F5E">
        <w:t xml:space="preserve"> results </w:t>
      </w:r>
      <w:r w:rsidR="00AC2271">
        <w:t xml:space="preserve">strengthen the case </w:t>
      </w:r>
      <w:r w:rsidR="00EE59E4">
        <w:t>for a continuous</w:t>
      </w:r>
      <w:r w:rsidR="00AC2271">
        <w:t xml:space="preserve"> monitoring </w:t>
      </w:r>
      <w:r w:rsidR="00EE59E4">
        <w:t xml:space="preserve">of </w:t>
      </w:r>
      <w:r w:rsidR="00AC2271">
        <w:t xml:space="preserve">the evolution of </w:t>
      </w:r>
      <w:r w:rsidR="00EE59E4">
        <w:t xml:space="preserve">housing </w:t>
      </w:r>
      <w:r w:rsidR="00AC2271">
        <w:t>unaffordability</w:t>
      </w:r>
      <w:r w:rsidR="00EE59E4">
        <w:t xml:space="preserve"> for the poorer segments of the population in </w:t>
      </w:r>
      <w:r w:rsidR="00E77F3D">
        <w:t xml:space="preserve">both </w:t>
      </w:r>
      <w:r w:rsidR="0021680A">
        <w:t>urban</w:t>
      </w:r>
      <w:r w:rsidR="00E77F3D">
        <w:t xml:space="preserve"> and </w:t>
      </w:r>
      <w:r w:rsidR="0021680A">
        <w:t>rural</w:t>
      </w:r>
      <w:r w:rsidR="00EE59E4">
        <w:t xml:space="preserve"> areas.</w:t>
      </w:r>
    </w:p>
    <w:p w14:paraId="53504F99" w14:textId="4B0A7A7F" w:rsidR="008F3E6B" w:rsidRDefault="008F3E6B" w:rsidP="00F64504"/>
    <w:p w14:paraId="6C0A32C6" w14:textId="5E4AD18F" w:rsidR="008F3E6B" w:rsidRDefault="008F3E6B" w:rsidP="00F64504"/>
    <w:p w14:paraId="7756500F" w14:textId="454A4BFB" w:rsidR="008F3E6B" w:rsidRDefault="008F3E6B" w:rsidP="00F64504"/>
    <w:p w14:paraId="4E51B1D3" w14:textId="2F1FDD18" w:rsidR="008F3E6B" w:rsidRDefault="008F3E6B" w:rsidP="00F64504"/>
    <w:p w14:paraId="7471BBB4" w14:textId="4A3AEE5D" w:rsidR="008F3E6B" w:rsidRDefault="008F3E6B" w:rsidP="00F64504"/>
    <w:p w14:paraId="51D736EF" w14:textId="48633DCC" w:rsidR="008F3E6B" w:rsidRDefault="008F3E6B" w:rsidP="00F64504"/>
    <w:p w14:paraId="2246A62F" w14:textId="0B622235" w:rsidR="008F3E6B" w:rsidRDefault="008F3E6B" w:rsidP="00F64504"/>
    <w:p w14:paraId="4EC70985" w14:textId="44C50AFC" w:rsidR="008F3E6B" w:rsidRDefault="008F3E6B" w:rsidP="00F64504"/>
    <w:p w14:paraId="56432CF4" w14:textId="77777777" w:rsidR="008F3E6B" w:rsidRPr="00F64504" w:rsidRDefault="008F3E6B" w:rsidP="00F64504"/>
    <w:p w14:paraId="6C7C7235" w14:textId="5BEDE197" w:rsidR="0021680A" w:rsidRPr="00454C26" w:rsidRDefault="00E77F3D" w:rsidP="00454C26">
      <w:pPr>
        <w:rPr>
          <w:i/>
          <w:iCs/>
          <w:color w:val="44546A" w:themeColor="text2"/>
          <w:sz w:val="18"/>
          <w:szCs w:val="18"/>
        </w:rPr>
      </w:pPr>
      <w:r w:rsidRPr="00454C26">
        <w:rPr>
          <w:i/>
          <w:iCs/>
          <w:color w:val="44546A" w:themeColor="text2"/>
          <w:sz w:val="18"/>
          <w:szCs w:val="18"/>
        </w:rPr>
        <w:lastRenderedPageBreak/>
        <w:t xml:space="preserve">Figure </w:t>
      </w:r>
      <w:r w:rsidRPr="00454C26">
        <w:rPr>
          <w:i/>
          <w:iCs/>
          <w:color w:val="44546A" w:themeColor="text2"/>
          <w:sz w:val="18"/>
          <w:szCs w:val="18"/>
        </w:rPr>
        <w:fldChar w:fldCharType="begin"/>
      </w:r>
      <w:r w:rsidRPr="00454C26">
        <w:rPr>
          <w:i/>
          <w:iCs/>
          <w:color w:val="44546A" w:themeColor="text2"/>
          <w:sz w:val="18"/>
          <w:szCs w:val="18"/>
        </w:rPr>
        <w:instrText xml:space="preserve"> SEQ Figure \* ARABIC </w:instrText>
      </w:r>
      <w:r w:rsidRPr="00454C26">
        <w:rPr>
          <w:i/>
          <w:iCs/>
          <w:color w:val="44546A" w:themeColor="text2"/>
          <w:sz w:val="18"/>
          <w:szCs w:val="18"/>
        </w:rPr>
        <w:fldChar w:fldCharType="separate"/>
      </w:r>
      <w:r w:rsidR="006B5103">
        <w:rPr>
          <w:i/>
          <w:iCs/>
          <w:noProof/>
          <w:color w:val="44546A" w:themeColor="text2"/>
          <w:sz w:val="18"/>
          <w:szCs w:val="18"/>
        </w:rPr>
        <w:t>51</w:t>
      </w:r>
      <w:r w:rsidRPr="00454C26">
        <w:rPr>
          <w:i/>
          <w:iCs/>
          <w:color w:val="44546A" w:themeColor="text2"/>
          <w:sz w:val="18"/>
          <w:szCs w:val="18"/>
        </w:rPr>
        <w:fldChar w:fldCharType="end"/>
      </w:r>
      <w:r w:rsidRPr="00454C26">
        <w:rPr>
          <w:i/>
          <w:iCs/>
          <w:color w:val="44546A" w:themeColor="text2"/>
          <w:sz w:val="18"/>
          <w:szCs w:val="18"/>
        </w:rPr>
        <w:t xml:space="preserve">: The share of households exceeding the unaffordability threshold </w:t>
      </w:r>
      <w:r w:rsidR="00F06F83" w:rsidRPr="00454C26">
        <w:rPr>
          <w:i/>
          <w:iCs/>
          <w:color w:val="44546A" w:themeColor="text2"/>
          <w:sz w:val="18"/>
          <w:szCs w:val="18"/>
        </w:rPr>
        <w:t>(</w:t>
      </w:r>
      <w:r w:rsidR="00DC74EF" w:rsidRPr="00454C26">
        <w:rPr>
          <w:i/>
          <w:iCs/>
          <w:color w:val="44546A" w:themeColor="text2"/>
          <w:sz w:val="18"/>
          <w:szCs w:val="18"/>
        </w:rPr>
        <w:t>(</w:t>
      </w:r>
      <w:r w:rsidRPr="00454C26">
        <w:rPr>
          <w:i/>
          <w:iCs/>
          <w:color w:val="44546A" w:themeColor="text2"/>
          <w:sz w:val="18"/>
          <w:szCs w:val="18"/>
        </w:rPr>
        <w:t>rent</w:t>
      </w:r>
      <w:r w:rsidR="00DC74EF" w:rsidRPr="00454C26">
        <w:rPr>
          <w:i/>
          <w:iCs/>
          <w:color w:val="44546A" w:themeColor="text2"/>
          <w:sz w:val="18"/>
          <w:szCs w:val="18"/>
        </w:rPr>
        <w:t>+</w:t>
      </w:r>
      <w:r w:rsidR="008F3E6B">
        <w:rPr>
          <w:i/>
          <w:iCs/>
          <w:color w:val="44546A" w:themeColor="text2"/>
          <w:sz w:val="18"/>
          <w:szCs w:val="18"/>
        </w:rPr>
        <w:t xml:space="preserve"> </w:t>
      </w:r>
      <w:r w:rsidR="00DC74EF" w:rsidRPr="00454C26">
        <w:rPr>
          <w:i/>
          <w:iCs/>
          <w:color w:val="44546A" w:themeColor="text2"/>
          <w:sz w:val="18"/>
          <w:szCs w:val="18"/>
        </w:rPr>
        <w:t>expenditure)</w:t>
      </w:r>
      <w:r w:rsidRPr="00454C26">
        <w:rPr>
          <w:i/>
          <w:iCs/>
          <w:color w:val="44546A" w:themeColor="text2"/>
          <w:sz w:val="18"/>
          <w:szCs w:val="18"/>
        </w:rPr>
        <w:t>/income</w:t>
      </w:r>
      <w:r w:rsidR="00F06F83" w:rsidRPr="00454C26">
        <w:rPr>
          <w:i/>
          <w:iCs/>
          <w:color w:val="44546A" w:themeColor="text2"/>
          <w:sz w:val="18"/>
          <w:szCs w:val="18"/>
        </w:rPr>
        <w:t>)</w:t>
      </w:r>
      <w:r w:rsidRPr="00454C26">
        <w:rPr>
          <w:i/>
          <w:iCs/>
          <w:color w:val="44546A" w:themeColor="text2"/>
          <w:sz w:val="18"/>
          <w:szCs w:val="18"/>
        </w:rPr>
        <w:t xml:space="preserve"> in </w:t>
      </w:r>
      <w:r w:rsidR="0021680A">
        <w:rPr>
          <w:i/>
          <w:iCs/>
          <w:color w:val="44546A" w:themeColor="text2"/>
          <w:sz w:val="18"/>
          <w:szCs w:val="18"/>
        </w:rPr>
        <w:t>urban</w:t>
      </w:r>
      <w:r w:rsidRPr="00454C26">
        <w:rPr>
          <w:i/>
          <w:iCs/>
          <w:color w:val="44546A" w:themeColor="text2"/>
          <w:sz w:val="18"/>
          <w:szCs w:val="18"/>
        </w:rPr>
        <w:t xml:space="preserve"> areas</w:t>
      </w:r>
    </w:p>
    <w:p w14:paraId="76FB5B39" w14:textId="018CC560" w:rsidR="00B66D18" w:rsidRDefault="003E055F" w:rsidP="00454C26">
      <w:pPr>
        <w:rPr>
          <w:rFonts w:cstheme="minorHAnsi"/>
        </w:rPr>
      </w:pPr>
      <w:r>
        <w:rPr>
          <w:noProof/>
        </w:rPr>
        <w:drawing>
          <wp:inline distT="0" distB="0" distL="0" distR="0" wp14:anchorId="107C9CB7" wp14:editId="679BAD22">
            <wp:extent cx="5686425" cy="2590800"/>
            <wp:effectExtent l="0" t="0" r="9525" b="0"/>
            <wp:docPr id="59" name="Grafico 59">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685D84C" w14:textId="77777777" w:rsidR="003E055F" w:rsidRDefault="003E055F" w:rsidP="003E055F">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DD30020" w14:textId="78A0A77F" w:rsidR="00C43270" w:rsidRPr="00DC74EF" w:rsidRDefault="0021680A"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52</w:t>
      </w:r>
      <w:r w:rsidR="009E6455">
        <w:rPr>
          <w:noProof/>
        </w:rPr>
        <w:fldChar w:fldCharType="end"/>
      </w:r>
      <w:r w:rsidR="00DC74EF">
        <w:t>: The share of households exceeding the unaffordability threshold</w:t>
      </w:r>
      <w:r w:rsidR="00F06F83">
        <w:t xml:space="preserve"> (</w:t>
      </w:r>
      <w:r w:rsidR="00DC74EF">
        <w:t>(rent+</w:t>
      </w:r>
      <w:r w:rsidR="008F3E6B">
        <w:t xml:space="preserve"> </w:t>
      </w:r>
      <w:r w:rsidR="00DC74EF">
        <w:t>expenditures)/income</w:t>
      </w:r>
      <w:r w:rsidR="00F06F83">
        <w:t>)</w:t>
      </w:r>
      <w:r w:rsidR="00DC74EF">
        <w:t xml:space="preserve"> in </w:t>
      </w:r>
      <w:r>
        <w:t>rural</w:t>
      </w:r>
      <w:r w:rsidR="00DC74EF">
        <w:t xml:space="preserve"> areas</w:t>
      </w:r>
    </w:p>
    <w:p w14:paraId="5FD341DC" w14:textId="71CDBE3C" w:rsidR="00C43270" w:rsidRDefault="00C43270" w:rsidP="00420294">
      <w:pPr>
        <w:jc w:val="both"/>
        <w:rPr>
          <w:rFonts w:cstheme="minorHAnsi"/>
        </w:rPr>
      </w:pPr>
      <w:r>
        <w:rPr>
          <w:noProof/>
        </w:rPr>
        <w:drawing>
          <wp:inline distT="0" distB="0" distL="0" distR="0" wp14:anchorId="7D07F5E9" wp14:editId="284C962D">
            <wp:extent cx="5695950" cy="2352675"/>
            <wp:effectExtent l="0" t="0" r="0" b="9525"/>
            <wp:docPr id="63" name="Grafico 63">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2F06887" w14:textId="5803C458" w:rsidR="00C43270" w:rsidRDefault="008A6044" w:rsidP="00420294">
      <w:pPr>
        <w:jc w:val="both"/>
        <w:rPr>
          <w:rFonts w:cstheme="minorHAnsi"/>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52AAFB9" w14:textId="1B78F2D2" w:rsidR="00420294" w:rsidRDefault="00425134" w:rsidP="00420294">
      <w:pPr>
        <w:jc w:val="both"/>
        <w:rPr>
          <w:rFonts w:cstheme="minorHAnsi"/>
        </w:rPr>
      </w:pPr>
      <w:r>
        <w:rPr>
          <w:rFonts w:cstheme="minorHAnsi"/>
        </w:rPr>
        <w:t xml:space="preserve">We are not going to discuss here the </w:t>
      </w:r>
      <w:r w:rsidR="007A1B79">
        <w:rPr>
          <w:rFonts w:cstheme="minorHAnsi"/>
        </w:rPr>
        <w:t xml:space="preserve">figures relative to the disaggregated analysis </w:t>
      </w:r>
      <w:r w:rsidR="00DC246E">
        <w:rPr>
          <w:rFonts w:cstheme="minorHAnsi"/>
        </w:rPr>
        <w:t xml:space="preserve">(by income) </w:t>
      </w:r>
      <w:r w:rsidR="007A1B79">
        <w:rPr>
          <w:rFonts w:cstheme="minorHAnsi"/>
        </w:rPr>
        <w:t xml:space="preserve">of the </w:t>
      </w:r>
      <w:r w:rsidR="007A1B79" w:rsidRPr="006066AB">
        <w:rPr>
          <w:rFonts w:cstheme="minorHAnsi"/>
          <w:i/>
          <w:iCs/>
        </w:rPr>
        <w:t>extended shadow unaffordability</w:t>
      </w:r>
      <w:r w:rsidR="007A1B79" w:rsidRPr="007A1B79">
        <w:rPr>
          <w:rFonts w:cstheme="minorHAnsi"/>
        </w:rPr>
        <w:t xml:space="preserve">, </w:t>
      </w:r>
      <w:r w:rsidR="00DC246E">
        <w:rPr>
          <w:rFonts w:cstheme="minorHAnsi"/>
        </w:rPr>
        <w:t xml:space="preserve">(Figures A1 </w:t>
      </w:r>
      <w:r w:rsidR="00683E3C">
        <w:rPr>
          <w:rFonts w:cstheme="minorHAnsi"/>
        </w:rPr>
        <w:t>to</w:t>
      </w:r>
      <w:r w:rsidR="00DC246E">
        <w:rPr>
          <w:rFonts w:cstheme="minorHAnsi"/>
        </w:rPr>
        <w:t xml:space="preserve"> A</w:t>
      </w:r>
      <w:r w:rsidR="00683E3C">
        <w:rPr>
          <w:rFonts w:cstheme="minorHAnsi"/>
        </w:rPr>
        <w:t>4</w:t>
      </w:r>
      <w:r w:rsidR="00DC246E">
        <w:rPr>
          <w:rFonts w:cstheme="minorHAnsi"/>
        </w:rPr>
        <w:t xml:space="preserve"> in the Annex section) </w:t>
      </w:r>
      <w:r w:rsidR="007A1B79" w:rsidRPr="007A1B79">
        <w:rPr>
          <w:rFonts w:cstheme="minorHAnsi"/>
        </w:rPr>
        <w:t>as</w:t>
      </w:r>
      <w:r w:rsidR="00AB5582">
        <w:rPr>
          <w:rFonts w:cstheme="minorHAnsi"/>
        </w:rPr>
        <w:t xml:space="preserve"> their analysis would basically lead to the same conclusions.</w:t>
      </w:r>
    </w:p>
    <w:p w14:paraId="2D490E42" w14:textId="72BF1BEA" w:rsidR="00B66D18" w:rsidRDefault="00987915" w:rsidP="00B66D18">
      <w:pPr>
        <w:jc w:val="both"/>
        <w:rPr>
          <w:rFonts w:cstheme="minorHAnsi"/>
        </w:rPr>
      </w:pPr>
      <w:r>
        <w:rPr>
          <w:rFonts w:cstheme="minorHAnsi"/>
        </w:rPr>
        <w:t xml:space="preserve">We </w:t>
      </w:r>
      <w:r w:rsidR="000A5F42">
        <w:rPr>
          <w:rFonts w:cstheme="minorHAnsi"/>
        </w:rPr>
        <w:t xml:space="preserve">also refrain from discussing the </w:t>
      </w:r>
      <w:r w:rsidR="00434EE9">
        <w:rPr>
          <w:rFonts w:cstheme="minorHAnsi"/>
        </w:rPr>
        <w:t xml:space="preserve">figures relative to IDPs, female headed households and households with disabled individuals </w:t>
      </w:r>
      <w:r w:rsidR="002750B8">
        <w:rPr>
          <w:rFonts w:cstheme="minorHAnsi"/>
        </w:rPr>
        <w:t>(</w:t>
      </w:r>
      <w:r w:rsidR="00434EE9">
        <w:rPr>
          <w:rFonts w:cstheme="minorHAnsi"/>
        </w:rPr>
        <w:t xml:space="preserve">A3) as they do not present significantly differences (in absolute and relative terms) with respect to the overall population trends (and values). </w:t>
      </w:r>
    </w:p>
    <w:p w14:paraId="19FBF266" w14:textId="564E43AC" w:rsidR="000718A6" w:rsidRDefault="00F53EA3" w:rsidP="00454C26">
      <w:pPr>
        <w:jc w:val="both"/>
        <w:rPr>
          <w:rFonts w:cstheme="minorHAnsi"/>
        </w:rPr>
      </w:pPr>
      <w:r>
        <w:rPr>
          <w:rFonts w:cstheme="minorHAnsi"/>
        </w:rPr>
        <w:t>U</w:t>
      </w:r>
      <w:r w:rsidR="000C2094">
        <w:rPr>
          <w:rFonts w:cstheme="minorHAnsi"/>
        </w:rPr>
        <w:t>naffordability trend</w:t>
      </w:r>
      <w:r w:rsidR="006F4538">
        <w:rPr>
          <w:rFonts w:cstheme="minorHAnsi"/>
        </w:rPr>
        <w:t>s by ethnicity in</w:t>
      </w:r>
      <w:r>
        <w:rPr>
          <w:rFonts w:cstheme="minorHAnsi"/>
        </w:rPr>
        <w:t>stead deserve a closer look. When we concentrate on</w:t>
      </w:r>
      <w:r w:rsidR="001713DA">
        <w:rPr>
          <w:rFonts w:cstheme="minorHAnsi"/>
        </w:rPr>
        <w:t xml:space="preserve"> the rent/income ratios, we find that </w:t>
      </w:r>
      <w:r w:rsidR="00F96D81">
        <w:rPr>
          <w:rFonts w:cstheme="minorHAnsi"/>
        </w:rPr>
        <w:t xml:space="preserve">in </w:t>
      </w:r>
      <w:r w:rsidR="0021680A">
        <w:rPr>
          <w:rFonts w:cstheme="minorHAnsi"/>
        </w:rPr>
        <w:t>urban</w:t>
      </w:r>
      <w:r w:rsidR="00F96D81">
        <w:rPr>
          <w:rFonts w:cstheme="minorHAnsi"/>
        </w:rPr>
        <w:t xml:space="preserve"> areas </w:t>
      </w:r>
      <w:r w:rsidR="00D44350">
        <w:rPr>
          <w:rFonts w:cstheme="minorHAnsi"/>
        </w:rPr>
        <w:t xml:space="preserve">ethnically mixed and ethnically non-Georgian </w:t>
      </w:r>
      <w:r w:rsidR="00A943B1">
        <w:rPr>
          <w:rFonts w:cstheme="minorHAnsi"/>
        </w:rPr>
        <w:t xml:space="preserve">households </w:t>
      </w:r>
      <w:r w:rsidR="00D44350">
        <w:rPr>
          <w:rFonts w:cstheme="minorHAnsi"/>
        </w:rPr>
        <w:t xml:space="preserve">show </w:t>
      </w:r>
      <w:r w:rsidR="008340E9">
        <w:rPr>
          <w:rFonts w:cstheme="minorHAnsi"/>
        </w:rPr>
        <w:t xml:space="preserve">historically a lower incidence of unaffordability with respect to ethnically Georgian </w:t>
      </w:r>
      <w:r w:rsidR="008340E9">
        <w:rPr>
          <w:rFonts w:cstheme="minorHAnsi"/>
        </w:rPr>
        <w:lastRenderedPageBreak/>
        <w:t>households. This might be due either to higher incomes</w:t>
      </w:r>
      <w:r w:rsidR="00F96D81">
        <w:rPr>
          <w:rFonts w:cstheme="minorHAnsi"/>
        </w:rPr>
        <w:t>, or to lower rents, or a combination of the two.</w:t>
      </w:r>
      <w:r w:rsidR="000718A6">
        <w:rPr>
          <w:rFonts w:cstheme="minorHAnsi"/>
        </w:rPr>
        <w:t xml:space="preserve"> In </w:t>
      </w:r>
      <w:r w:rsidR="0021680A">
        <w:rPr>
          <w:rFonts w:cstheme="minorHAnsi"/>
        </w:rPr>
        <w:t>rural</w:t>
      </w:r>
      <w:r w:rsidR="000718A6">
        <w:rPr>
          <w:rFonts w:cstheme="minorHAnsi"/>
        </w:rPr>
        <w:t xml:space="preserve"> areas, the incidence of unaffordability seems to be almost zero among all categories.</w:t>
      </w:r>
    </w:p>
    <w:p w14:paraId="16390629" w14:textId="4048FBCA" w:rsidR="008F3E6B" w:rsidRDefault="0021680A" w:rsidP="008F3E6B">
      <w:pPr>
        <w:pStyle w:val="Caption"/>
        <w:spacing w:before="240"/>
        <w:rPr>
          <w:noProof/>
        </w:rPr>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53</w:t>
      </w:r>
      <w:r w:rsidR="009E6455">
        <w:rPr>
          <w:noProof/>
        </w:rPr>
        <w:fldChar w:fldCharType="end"/>
      </w:r>
      <w:r>
        <w:t xml:space="preserve">:  </w:t>
      </w:r>
      <w:r w:rsidRPr="003066B6">
        <w:t xml:space="preserve">The share of households exceeding the unaffordability threshold (rent/income) in </w:t>
      </w:r>
      <w:r>
        <w:t>urban</w:t>
      </w:r>
      <w:r w:rsidRPr="003066B6">
        <w:t xml:space="preserve"> areas</w:t>
      </w:r>
      <w:r>
        <w:t xml:space="preserve"> – by ethnicity</w:t>
      </w:r>
      <w:r w:rsidRPr="0021680A">
        <w:rPr>
          <w:noProof/>
        </w:rPr>
        <w:t xml:space="preserve"> </w:t>
      </w:r>
    </w:p>
    <w:p w14:paraId="31100A32" w14:textId="200C62DA" w:rsidR="0021680A" w:rsidRDefault="0021680A" w:rsidP="008F3E6B">
      <w:pPr>
        <w:pStyle w:val="Caption"/>
        <w:spacing w:before="240"/>
        <w:rPr>
          <w:noProof/>
        </w:rPr>
      </w:pPr>
      <w:r>
        <w:rPr>
          <w:noProof/>
        </w:rPr>
        <w:drawing>
          <wp:inline distT="0" distB="0" distL="0" distR="0" wp14:anchorId="560713C4" wp14:editId="1500B44B">
            <wp:extent cx="5772150" cy="2266950"/>
            <wp:effectExtent l="0" t="0" r="0" b="0"/>
            <wp:docPr id="124" name="Chart 12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0DDA0DB" w14:textId="77777777" w:rsidR="0021680A" w:rsidRDefault="0021680A" w:rsidP="0021680A">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444CC991" w14:textId="568A0D26" w:rsidR="0021680A" w:rsidRPr="00454C26" w:rsidRDefault="0021680A"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54</w:t>
      </w:r>
      <w:r w:rsidR="009E6455">
        <w:rPr>
          <w:noProof/>
        </w:rPr>
        <w:fldChar w:fldCharType="end"/>
      </w:r>
      <w:r>
        <w:t xml:space="preserve">: </w:t>
      </w:r>
      <w:r w:rsidRPr="003066B6">
        <w:t>The share of households exceeding the unaffordability threshold (ren</w:t>
      </w:r>
      <w:r w:rsidR="008C3A8A">
        <w:t>t</w:t>
      </w:r>
      <w:r w:rsidRPr="003066B6">
        <w:t xml:space="preserve">/income) in </w:t>
      </w:r>
      <w:r w:rsidR="00501A83">
        <w:t>r</w:t>
      </w:r>
      <w:r>
        <w:t>ural</w:t>
      </w:r>
      <w:r w:rsidRPr="003066B6">
        <w:t xml:space="preserve"> areas</w:t>
      </w:r>
      <w:r>
        <w:t xml:space="preserve"> – by ethnicity</w:t>
      </w:r>
    </w:p>
    <w:p w14:paraId="4789F83E" w14:textId="1ABD30BB" w:rsidR="0021680A" w:rsidRDefault="0021680A" w:rsidP="00B66D18">
      <w:pPr>
        <w:jc w:val="both"/>
        <w:rPr>
          <w:rFonts w:cstheme="minorHAnsi"/>
        </w:rPr>
      </w:pPr>
      <w:r>
        <w:rPr>
          <w:noProof/>
        </w:rPr>
        <w:drawing>
          <wp:inline distT="0" distB="0" distL="0" distR="0" wp14:anchorId="484C7112" wp14:editId="379A9D46">
            <wp:extent cx="5781675" cy="3362325"/>
            <wp:effectExtent l="0" t="0" r="9525" b="9525"/>
            <wp:docPr id="125" name="Chart 125">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7034654" w14:textId="45653F1C" w:rsidR="008A0A72" w:rsidRPr="00454C26" w:rsidRDefault="008A0A72" w:rsidP="00B66D18">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59899C4" w14:textId="503A5D77" w:rsidR="000718A6" w:rsidRDefault="000718A6" w:rsidP="00B66D18">
      <w:pPr>
        <w:jc w:val="both"/>
        <w:rPr>
          <w:rFonts w:cstheme="minorHAnsi"/>
        </w:rPr>
      </w:pPr>
      <w:r>
        <w:rPr>
          <w:rFonts w:cstheme="minorHAnsi"/>
        </w:rPr>
        <w:t>The picture changes substantially when we look at</w:t>
      </w:r>
      <w:r w:rsidR="003F20B6">
        <w:rPr>
          <w:rFonts w:cstheme="minorHAnsi"/>
        </w:rPr>
        <w:t xml:space="preserve"> a broader</w:t>
      </w:r>
      <w:r w:rsidR="00A943B1">
        <w:rPr>
          <w:rFonts w:cstheme="minorHAnsi"/>
        </w:rPr>
        <w:t xml:space="preserve"> definition of unaffordability, adding the cost of utilities to the rent</w:t>
      </w:r>
      <w:r w:rsidR="001862BB">
        <w:rPr>
          <w:rFonts w:cstheme="minorHAnsi"/>
        </w:rPr>
        <w:t>. Under this indicator, non</w:t>
      </w:r>
      <w:r w:rsidR="009B68F9">
        <w:rPr>
          <w:rFonts w:cstheme="minorHAnsi"/>
        </w:rPr>
        <w:t xml:space="preserve">-ethnically Georgian households in </w:t>
      </w:r>
      <w:r w:rsidR="0021680A">
        <w:rPr>
          <w:rFonts w:cstheme="minorHAnsi"/>
        </w:rPr>
        <w:t>urban</w:t>
      </w:r>
      <w:r w:rsidR="009B68F9">
        <w:rPr>
          <w:rFonts w:cstheme="minorHAnsi"/>
        </w:rPr>
        <w:t xml:space="preserve"> areas show an historically higher incidence of unaffordability, which converges to the level of the other two groups over the last years.</w:t>
      </w:r>
      <w:r w:rsidR="00045FB8">
        <w:rPr>
          <w:rFonts w:cstheme="minorHAnsi"/>
        </w:rPr>
        <w:t xml:space="preserve"> Given what we observed looking solely at rents, it appears the apparent </w:t>
      </w:r>
      <w:r w:rsidR="00045FB8">
        <w:rPr>
          <w:rFonts w:cstheme="minorHAnsi"/>
        </w:rPr>
        <w:lastRenderedPageBreak/>
        <w:t xml:space="preserve">“advantage” of </w:t>
      </w:r>
      <w:r w:rsidR="00501A83">
        <w:rPr>
          <w:rFonts w:cstheme="minorHAnsi"/>
        </w:rPr>
        <w:t>non-ethnically</w:t>
      </w:r>
      <w:r w:rsidR="00045FB8">
        <w:rPr>
          <w:rFonts w:cstheme="minorHAnsi"/>
        </w:rPr>
        <w:t xml:space="preserve"> Georgian households in </w:t>
      </w:r>
      <w:r w:rsidR="0021680A">
        <w:rPr>
          <w:rFonts w:cstheme="minorHAnsi"/>
        </w:rPr>
        <w:t>urban</w:t>
      </w:r>
      <w:r w:rsidR="00045FB8">
        <w:rPr>
          <w:rFonts w:cstheme="minorHAnsi"/>
        </w:rPr>
        <w:t xml:space="preserve"> areas </w:t>
      </w:r>
      <w:r w:rsidR="00501A83">
        <w:rPr>
          <w:rFonts w:cstheme="minorHAnsi"/>
        </w:rPr>
        <w:t>were</w:t>
      </w:r>
      <w:r w:rsidR="00045FB8">
        <w:rPr>
          <w:rFonts w:cstheme="minorHAnsi"/>
        </w:rPr>
        <w:t xml:space="preserve"> </w:t>
      </w:r>
      <w:r w:rsidR="00F41672">
        <w:rPr>
          <w:rFonts w:cstheme="minorHAnsi"/>
        </w:rPr>
        <w:t>very likely</w:t>
      </w:r>
      <w:r w:rsidR="00045FB8">
        <w:rPr>
          <w:rFonts w:cstheme="minorHAnsi"/>
        </w:rPr>
        <w:t xml:space="preserve"> due to lower rents paid</w:t>
      </w:r>
      <w:r w:rsidR="00F41672">
        <w:rPr>
          <w:rFonts w:cstheme="minorHAnsi"/>
        </w:rPr>
        <w:t xml:space="preserve"> (maybe because of </w:t>
      </w:r>
      <w:r w:rsidR="003A7DD2">
        <w:rPr>
          <w:rFonts w:cstheme="minorHAnsi"/>
        </w:rPr>
        <w:t>house location)</w:t>
      </w:r>
      <w:r w:rsidR="00F41672">
        <w:rPr>
          <w:rFonts w:cstheme="minorHAnsi"/>
        </w:rPr>
        <w:t>.</w:t>
      </w:r>
    </w:p>
    <w:p w14:paraId="3E32EE86" w14:textId="6A207046" w:rsidR="001862BB" w:rsidRDefault="001862BB" w:rsidP="00B66D18">
      <w:pPr>
        <w:jc w:val="both"/>
        <w:rPr>
          <w:rFonts w:cstheme="minorHAnsi"/>
        </w:rPr>
      </w:pPr>
    </w:p>
    <w:p w14:paraId="5BD9FF91" w14:textId="2A4821C6" w:rsidR="003A7DD2" w:rsidRDefault="003A7DD2" w:rsidP="00B66D18">
      <w:pPr>
        <w:jc w:val="both"/>
        <w:rPr>
          <w:rFonts w:cstheme="minorHAnsi"/>
        </w:rPr>
      </w:pPr>
      <w:r>
        <w:rPr>
          <w:rFonts w:cstheme="minorHAnsi"/>
        </w:rPr>
        <w:t xml:space="preserve">Where the difference </w:t>
      </w:r>
      <w:r w:rsidR="00116119">
        <w:rPr>
          <w:rFonts w:cstheme="minorHAnsi"/>
        </w:rPr>
        <w:t xml:space="preserve">with respect to the previous indicator is most striking, however, is in </w:t>
      </w:r>
      <w:r w:rsidR="00501A83">
        <w:rPr>
          <w:rFonts w:cstheme="minorHAnsi"/>
        </w:rPr>
        <w:t>r</w:t>
      </w:r>
      <w:r w:rsidR="0021680A">
        <w:rPr>
          <w:rFonts w:cstheme="minorHAnsi"/>
        </w:rPr>
        <w:t>ural</w:t>
      </w:r>
      <w:r w:rsidR="00116119">
        <w:rPr>
          <w:rFonts w:cstheme="minorHAnsi"/>
        </w:rPr>
        <w:t xml:space="preserve"> areas. In these areas, </w:t>
      </w:r>
      <w:r w:rsidR="00A935CC">
        <w:rPr>
          <w:rFonts w:cstheme="minorHAnsi"/>
        </w:rPr>
        <w:t xml:space="preserve">not only the gap between </w:t>
      </w:r>
      <w:r w:rsidR="00501A83">
        <w:rPr>
          <w:rFonts w:cstheme="minorHAnsi"/>
        </w:rPr>
        <w:t>non-ethnically</w:t>
      </w:r>
      <w:r w:rsidR="00A935CC">
        <w:rPr>
          <w:rFonts w:cstheme="minorHAnsi"/>
        </w:rPr>
        <w:t xml:space="preserve"> Georgian households and the other households emerges clearly, but shrinks less over time, with the incidence of unaffordability among non-ethnically Georgian households</w:t>
      </w:r>
      <w:r w:rsidR="00E7673E">
        <w:rPr>
          <w:rFonts w:cstheme="minorHAnsi"/>
        </w:rPr>
        <w:t xml:space="preserve"> remaining substantially higher (7.1% in 2018) than</w:t>
      </w:r>
      <w:r w:rsidR="00720DC2">
        <w:rPr>
          <w:rFonts w:cstheme="minorHAnsi"/>
        </w:rPr>
        <w:t xml:space="preserve"> among</w:t>
      </w:r>
      <w:r w:rsidR="00A935CC">
        <w:rPr>
          <w:rFonts w:cstheme="minorHAnsi"/>
        </w:rPr>
        <w:t xml:space="preserve"> the other two categories </w:t>
      </w:r>
      <w:r w:rsidR="00720DC2">
        <w:rPr>
          <w:rFonts w:cstheme="minorHAnsi"/>
        </w:rPr>
        <w:t>(2.6% in 2018).</w:t>
      </w:r>
    </w:p>
    <w:p w14:paraId="2C3CE403" w14:textId="45FD3C3D" w:rsidR="00501A83" w:rsidRDefault="00501A83" w:rsidP="00454C26">
      <w:pPr>
        <w:pStyle w:val="Caption"/>
        <w:rPr>
          <w:rFonts w:cstheme="minorHAnsi"/>
        </w:rPr>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55</w:t>
      </w:r>
      <w:r w:rsidR="009E6455">
        <w:rPr>
          <w:noProof/>
        </w:rPr>
        <w:fldChar w:fldCharType="end"/>
      </w:r>
      <w:r>
        <w:t xml:space="preserve">: </w:t>
      </w:r>
      <w:r w:rsidRPr="003066B6">
        <w:t>The share of households exceeding the unaffordability threshold ((rent+</w:t>
      </w:r>
      <w:r w:rsidR="008F3E6B">
        <w:t xml:space="preserve"> </w:t>
      </w:r>
      <w:r w:rsidRPr="003066B6">
        <w:t xml:space="preserve">expenditures)/income) in </w:t>
      </w:r>
      <w:r>
        <w:t>urban</w:t>
      </w:r>
      <w:r w:rsidRPr="003066B6">
        <w:t xml:space="preserve"> areas</w:t>
      </w:r>
      <w:r>
        <w:t xml:space="preserve"> – by ethnicity</w:t>
      </w:r>
    </w:p>
    <w:p w14:paraId="75B89CB6" w14:textId="2C44847E" w:rsidR="006B0DBB" w:rsidRDefault="00501A83" w:rsidP="00B66D18">
      <w:pPr>
        <w:jc w:val="both"/>
        <w:rPr>
          <w:noProof/>
        </w:rPr>
      </w:pPr>
      <w:r w:rsidRPr="00501A83">
        <w:rPr>
          <w:noProof/>
        </w:rPr>
        <w:t xml:space="preserve"> </w:t>
      </w:r>
      <w:r>
        <w:rPr>
          <w:noProof/>
        </w:rPr>
        <w:drawing>
          <wp:inline distT="0" distB="0" distL="0" distR="0" wp14:anchorId="61706559" wp14:editId="2FECEA17">
            <wp:extent cx="5724525" cy="3390900"/>
            <wp:effectExtent l="0" t="0" r="9525" b="0"/>
            <wp:docPr id="126" name="Chart 126">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641491A" w14:textId="77777777" w:rsidR="008A0A72" w:rsidRDefault="008A0A72" w:rsidP="008A0A72">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7B718DB" w14:textId="1EFCDB76" w:rsidR="008A0A72" w:rsidRDefault="008A0A72" w:rsidP="00B66D18">
      <w:pPr>
        <w:jc w:val="both"/>
        <w:rPr>
          <w:noProof/>
        </w:rPr>
      </w:pPr>
    </w:p>
    <w:p w14:paraId="657BF589" w14:textId="5F878766" w:rsidR="008F3E6B" w:rsidRDefault="008F3E6B" w:rsidP="00B66D18">
      <w:pPr>
        <w:jc w:val="both"/>
        <w:rPr>
          <w:noProof/>
        </w:rPr>
      </w:pPr>
    </w:p>
    <w:p w14:paraId="6D622CD8" w14:textId="6A5F3DAC" w:rsidR="008F3E6B" w:rsidRDefault="008F3E6B" w:rsidP="00B66D18">
      <w:pPr>
        <w:jc w:val="both"/>
        <w:rPr>
          <w:noProof/>
        </w:rPr>
      </w:pPr>
    </w:p>
    <w:p w14:paraId="62CDDC34" w14:textId="0E85A63D" w:rsidR="008F3E6B" w:rsidRDefault="008F3E6B" w:rsidP="00B66D18">
      <w:pPr>
        <w:jc w:val="both"/>
        <w:rPr>
          <w:noProof/>
        </w:rPr>
      </w:pPr>
    </w:p>
    <w:p w14:paraId="3847227D" w14:textId="1C02F552" w:rsidR="008F3E6B" w:rsidRDefault="008F3E6B" w:rsidP="00B66D18">
      <w:pPr>
        <w:jc w:val="both"/>
        <w:rPr>
          <w:noProof/>
        </w:rPr>
      </w:pPr>
    </w:p>
    <w:p w14:paraId="388A1172" w14:textId="23CC2745" w:rsidR="008F3E6B" w:rsidRDefault="008F3E6B" w:rsidP="00B66D18">
      <w:pPr>
        <w:jc w:val="both"/>
        <w:rPr>
          <w:noProof/>
        </w:rPr>
      </w:pPr>
    </w:p>
    <w:p w14:paraId="6A0B4846" w14:textId="4DE086D6" w:rsidR="008F3E6B" w:rsidRDefault="008F3E6B" w:rsidP="00B66D18">
      <w:pPr>
        <w:jc w:val="both"/>
        <w:rPr>
          <w:noProof/>
        </w:rPr>
      </w:pPr>
    </w:p>
    <w:p w14:paraId="2DF8446E" w14:textId="77777777" w:rsidR="008F3E6B" w:rsidRDefault="008F3E6B" w:rsidP="00B66D18">
      <w:pPr>
        <w:jc w:val="both"/>
        <w:rPr>
          <w:noProof/>
        </w:rPr>
      </w:pPr>
    </w:p>
    <w:p w14:paraId="6BB753E3" w14:textId="2865F14D" w:rsidR="008A0A72" w:rsidRDefault="008A0A72" w:rsidP="00454C26">
      <w:pPr>
        <w:pStyle w:val="Caption"/>
      </w:pPr>
      <w:r>
        <w:lastRenderedPageBreak/>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56</w:t>
      </w:r>
      <w:r w:rsidR="009E6455">
        <w:rPr>
          <w:noProof/>
        </w:rPr>
        <w:fldChar w:fldCharType="end"/>
      </w:r>
      <w:r>
        <w:t xml:space="preserve">:  </w:t>
      </w:r>
      <w:r w:rsidRPr="003066B6">
        <w:t>The share of households exceeding the unaffordability threshold ((rent+</w:t>
      </w:r>
      <w:r w:rsidR="008F3E6B">
        <w:t xml:space="preserve"> </w:t>
      </w:r>
      <w:r w:rsidRPr="003066B6">
        <w:t xml:space="preserve">expenditures)/income) in </w:t>
      </w:r>
      <w:r>
        <w:t>rural</w:t>
      </w:r>
      <w:r w:rsidRPr="003066B6">
        <w:t xml:space="preserve"> areas</w:t>
      </w:r>
      <w:r>
        <w:t xml:space="preserve"> – by ethnicity</w:t>
      </w:r>
    </w:p>
    <w:p w14:paraId="6B76ABCE" w14:textId="119E1F20" w:rsidR="00501A83" w:rsidRDefault="00501A83" w:rsidP="00B66D18">
      <w:pPr>
        <w:jc w:val="both"/>
        <w:rPr>
          <w:rFonts w:cstheme="minorHAnsi"/>
        </w:rPr>
      </w:pPr>
      <w:r>
        <w:rPr>
          <w:noProof/>
        </w:rPr>
        <w:drawing>
          <wp:inline distT="0" distB="0" distL="0" distR="0" wp14:anchorId="7B498850" wp14:editId="4EFF6171">
            <wp:extent cx="5781675" cy="3362325"/>
            <wp:effectExtent l="0" t="0" r="9525" b="9525"/>
            <wp:docPr id="127" name="Chart 127">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A1CB655" w14:textId="23ED3488" w:rsidR="008A0A72" w:rsidRPr="00454C26" w:rsidRDefault="008A0A72" w:rsidP="00B66D18">
      <w:pPr>
        <w:jc w:val="both"/>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205A493" w14:textId="10E7B442" w:rsidR="00720DC2" w:rsidRDefault="00720DC2" w:rsidP="00B66D18">
      <w:pPr>
        <w:jc w:val="both"/>
        <w:rPr>
          <w:rFonts w:cstheme="minorHAnsi"/>
        </w:rPr>
      </w:pPr>
      <w:r>
        <w:rPr>
          <w:rFonts w:cstheme="minorHAnsi"/>
        </w:rPr>
        <w:t>The causes of these difference should be monitored and explored in greater detail</w:t>
      </w:r>
      <w:r w:rsidR="003E2D7A">
        <w:rPr>
          <w:rFonts w:cstheme="minorHAnsi"/>
        </w:rPr>
        <w:t xml:space="preserve">, as seem to indicate a higher vulnerability of </w:t>
      </w:r>
      <w:r w:rsidR="00BC7AC0">
        <w:rPr>
          <w:rFonts w:cstheme="minorHAnsi"/>
        </w:rPr>
        <w:t>non-ethnically Georgian household</w:t>
      </w:r>
      <w:r w:rsidR="00562FE4">
        <w:rPr>
          <w:rFonts w:cstheme="minorHAnsi"/>
        </w:rPr>
        <w:t xml:space="preserve">s in </w:t>
      </w:r>
      <w:r w:rsidR="0021680A">
        <w:rPr>
          <w:rFonts w:cstheme="minorHAnsi"/>
        </w:rPr>
        <w:t>rural</w:t>
      </w:r>
      <w:r w:rsidR="00562FE4">
        <w:rPr>
          <w:rFonts w:cstheme="minorHAnsi"/>
        </w:rPr>
        <w:t xml:space="preserve"> areas (where access to information</w:t>
      </w:r>
      <w:r w:rsidR="00DD0F23">
        <w:rPr>
          <w:rFonts w:cstheme="minorHAnsi"/>
        </w:rPr>
        <w:t>, especially concerning anti-poverty programs is less easy)</w:t>
      </w:r>
      <w:r w:rsidR="00DD0F23">
        <w:rPr>
          <w:rStyle w:val="FootnoteReference"/>
          <w:rFonts w:cstheme="minorHAnsi"/>
        </w:rPr>
        <w:footnoteReference w:id="38"/>
      </w:r>
      <w:r w:rsidR="00BC7AC0">
        <w:rPr>
          <w:rFonts w:cstheme="minorHAnsi"/>
        </w:rPr>
        <w:t xml:space="preserve"> to housing unaffordability</w:t>
      </w:r>
      <w:r w:rsidR="00562FE4">
        <w:rPr>
          <w:rFonts w:cstheme="minorHAnsi"/>
        </w:rPr>
        <w:t>.</w:t>
      </w:r>
    </w:p>
    <w:p w14:paraId="3C9966FC" w14:textId="55B72577" w:rsidR="008870ED" w:rsidRDefault="008870ED" w:rsidP="00B66D18">
      <w:pPr>
        <w:jc w:val="both"/>
        <w:rPr>
          <w:rFonts w:cstheme="minorHAnsi"/>
          <w:b/>
          <w:bCs/>
          <w:i/>
          <w:iCs/>
        </w:rPr>
      </w:pPr>
      <w:r>
        <w:rPr>
          <w:rFonts w:cstheme="minorHAnsi"/>
          <w:b/>
          <w:bCs/>
          <w:i/>
          <w:iCs/>
        </w:rPr>
        <w:t>U</w:t>
      </w:r>
      <w:r w:rsidR="00B66D18" w:rsidRPr="006066AB">
        <w:rPr>
          <w:rFonts w:cstheme="minorHAnsi"/>
          <w:b/>
          <w:bCs/>
          <w:i/>
          <w:iCs/>
        </w:rPr>
        <w:t>nfit housing</w:t>
      </w:r>
    </w:p>
    <w:p w14:paraId="0155D62F" w14:textId="316B912E" w:rsidR="00164DD2" w:rsidRDefault="00E017F3" w:rsidP="00B66D18">
      <w:pPr>
        <w:jc w:val="both"/>
        <w:rPr>
          <w:rFonts w:cstheme="minorHAnsi"/>
        </w:rPr>
      </w:pPr>
      <w:r>
        <w:rPr>
          <w:rFonts w:cstheme="minorHAnsi"/>
        </w:rPr>
        <w:t xml:space="preserve">Unsurprisingly, </w:t>
      </w:r>
      <w:r w:rsidR="00CE6DC3">
        <w:rPr>
          <w:rFonts w:cstheme="minorHAnsi"/>
        </w:rPr>
        <w:t xml:space="preserve">all the self-assessed indicators of fitness of housing show </w:t>
      </w:r>
      <w:r w:rsidR="000827F3">
        <w:rPr>
          <w:rFonts w:cstheme="minorHAnsi"/>
        </w:rPr>
        <w:t xml:space="preserve">a </w:t>
      </w:r>
      <w:r w:rsidR="00712455">
        <w:rPr>
          <w:rFonts w:cstheme="minorHAnsi"/>
        </w:rPr>
        <w:t xml:space="preserve">substantially </w:t>
      </w:r>
      <w:r w:rsidR="000827F3">
        <w:rPr>
          <w:rFonts w:cstheme="minorHAnsi"/>
        </w:rPr>
        <w:t xml:space="preserve">higher incidence of unfit housing among </w:t>
      </w:r>
      <w:r w:rsidR="00CE6DC3">
        <w:rPr>
          <w:rFonts w:cstheme="minorHAnsi"/>
        </w:rPr>
        <w:t>the</w:t>
      </w:r>
      <w:r w:rsidR="000827F3">
        <w:rPr>
          <w:rFonts w:cstheme="minorHAnsi"/>
        </w:rPr>
        <w:t xml:space="preserve"> households at the bottom of the distribution, and relatively lower shares for those at the top (Figures 51 to 54). </w:t>
      </w:r>
      <w:r w:rsidR="004B2DFA">
        <w:rPr>
          <w:rFonts w:cstheme="minorHAnsi"/>
        </w:rPr>
        <w:t xml:space="preserve">The gap between the poorer and richer households has been widening over time, particularly in </w:t>
      </w:r>
      <w:r w:rsidR="0021680A">
        <w:rPr>
          <w:rFonts w:cstheme="minorHAnsi"/>
        </w:rPr>
        <w:t>rural</w:t>
      </w:r>
      <w:r w:rsidR="004B2DFA">
        <w:rPr>
          <w:rFonts w:cstheme="minorHAnsi"/>
        </w:rPr>
        <w:t xml:space="preserve"> areas, adopting the broader definition of house fitness. I</w:t>
      </w:r>
      <w:r w:rsidR="00631070">
        <w:rPr>
          <w:rFonts w:cstheme="minorHAnsi"/>
        </w:rPr>
        <w:t xml:space="preserve">f we look instead at the most worrisome measure, the share of households living in </w:t>
      </w:r>
      <w:r w:rsidR="00932EFA">
        <w:rPr>
          <w:rFonts w:cstheme="minorHAnsi"/>
        </w:rPr>
        <w:t xml:space="preserve">houses at risk of collapse, the gap has slightly declined in </w:t>
      </w:r>
      <w:r w:rsidR="0021680A">
        <w:rPr>
          <w:rFonts w:cstheme="minorHAnsi"/>
        </w:rPr>
        <w:t>urban</w:t>
      </w:r>
      <w:r w:rsidR="00932EFA">
        <w:rPr>
          <w:rFonts w:cstheme="minorHAnsi"/>
        </w:rPr>
        <w:t xml:space="preserve"> areas</w:t>
      </w:r>
      <w:r w:rsidR="00D26E29">
        <w:rPr>
          <w:rFonts w:cstheme="minorHAnsi"/>
        </w:rPr>
        <w:t xml:space="preserve"> and remained relatively stable in </w:t>
      </w:r>
      <w:r w:rsidR="0021680A">
        <w:rPr>
          <w:rFonts w:cstheme="minorHAnsi"/>
        </w:rPr>
        <w:t>rural</w:t>
      </w:r>
      <w:r w:rsidR="00D26E29">
        <w:rPr>
          <w:rFonts w:cstheme="minorHAnsi"/>
        </w:rPr>
        <w:t xml:space="preserve"> areas</w:t>
      </w:r>
      <w:r w:rsidR="0000692C">
        <w:rPr>
          <w:rFonts w:cstheme="minorHAnsi"/>
        </w:rPr>
        <w:t>. In all cases t</w:t>
      </w:r>
      <w:r w:rsidR="00D26E29">
        <w:rPr>
          <w:rFonts w:cstheme="minorHAnsi"/>
        </w:rPr>
        <w:t xml:space="preserve">he share of </w:t>
      </w:r>
      <w:r w:rsidR="0000692C">
        <w:rPr>
          <w:rFonts w:cstheme="minorHAnsi"/>
        </w:rPr>
        <w:t xml:space="preserve">poorer households </w:t>
      </w:r>
      <w:r w:rsidR="001830C2">
        <w:rPr>
          <w:rFonts w:cstheme="minorHAnsi"/>
        </w:rPr>
        <w:t xml:space="preserve">(bottom quartile) </w:t>
      </w:r>
      <w:r w:rsidR="0000692C">
        <w:rPr>
          <w:rFonts w:cstheme="minorHAnsi"/>
        </w:rPr>
        <w:t>living in houses at risk of collapse remains substantially larger than</w:t>
      </w:r>
      <w:r w:rsidR="00932EFA">
        <w:rPr>
          <w:rFonts w:cstheme="minorHAnsi"/>
        </w:rPr>
        <w:t xml:space="preserve"> </w:t>
      </w:r>
      <w:r w:rsidR="0000692C">
        <w:rPr>
          <w:rFonts w:cstheme="minorHAnsi"/>
        </w:rPr>
        <w:t>the</w:t>
      </w:r>
      <w:r w:rsidR="001830C2">
        <w:rPr>
          <w:rFonts w:cstheme="minorHAnsi"/>
        </w:rPr>
        <w:t xml:space="preserve"> corresponding share for richer households (top quartile). The respective shares for 2018 are </w:t>
      </w:r>
      <w:r w:rsidR="00680EE0">
        <w:rPr>
          <w:rFonts w:cstheme="minorHAnsi"/>
        </w:rPr>
        <w:t xml:space="preserve">3.4% and 0.9% in </w:t>
      </w:r>
      <w:r w:rsidR="0021680A">
        <w:rPr>
          <w:rFonts w:cstheme="minorHAnsi"/>
        </w:rPr>
        <w:t>urban</w:t>
      </w:r>
      <w:r w:rsidR="00680EE0">
        <w:rPr>
          <w:rFonts w:cstheme="minorHAnsi"/>
        </w:rPr>
        <w:t xml:space="preserve"> areas and 9.2% and 1.4% in </w:t>
      </w:r>
      <w:r w:rsidR="0021680A">
        <w:rPr>
          <w:rFonts w:cstheme="minorHAnsi"/>
        </w:rPr>
        <w:t>rural</w:t>
      </w:r>
      <w:r w:rsidR="00164DD2">
        <w:rPr>
          <w:rFonts w:cstheme="minorHAnsi"/>
        </w:rPr>
        <w:t xml:space="preserve"> areas.</w:t>
      </w:r>
    </w:p>
    <w:p w14:paraId="14A538C9" w14:textId="471205BD" w:rsidR="00164DD2" w:rsidRDefault="00164DD2" w:rsidP="00B66D18">
      <w:pPr>
        <w:jc w:val="both"/>
        <w:rPr>
          <w:rFonts w:cstheme="minorHAnsi"/>
        </w:rPr>
      </w:pPr>
      <w:r>
        <w:rPr>
          <w:rFonts w:cstheme="minorHAnsi"/>
        </w:rPr>
        <w:t xml:space="preserve">The high incidence of unfit housing for poor households in </w:t>
      </w:r>
      <w:r w:rsidR="0021680A">
        <w:rPr>
          <w:rFonts w:cstheme="minorHAnsi"/>
        </w:rPr>
        <w:t>rural</w:t>
      </w:r>
      <w:r>
        <w:rPr>
          <w:rFonts w:cstheme="minorHAnsi"/>
        </w:rPr>
        <w:t xml:space="preserve"> areas (and, to some extent, in </w:t>
      </w:r>
      <w:r w:rsidR="0021680A">
        <w:rPr>
          <w:rFonts w:cstheme="minorHAnsi"/>
        </w:rPr>
        <w:t>urban</w:t>
      </w:r>
      <w:r>
        <w:rPr>
          <w:rFonts w:cstheme="minorHAnsi"/>
        </w:rPr>
        <w:t xml:space="preserve"> areas), </w:t>
      </w:r>
      <w:r w:rsidR="00EB6BF8">
        <w:rPr>
          <w:rFonts w:cstheme="minorHAnsi"/>
        </w:rPr>
        <w:t xml:space="preserve">emerges as a problematic issue. Poor households </w:t>
      </w:r>
      <w:r w:rsidR="000F5ECE">
        <w:rPr>
          <w:rFonts w:cstheme="minorHAnsi"/>
        </w:rPr>
        <w:t xml:space="preserve">in absence of external interventions are </w:t>
      </w:r>
      <w:r w:rsidR="000F5ECE">
        <w:rPr>
          <w:rFonts w:cstheme="minorHAnsi"/>
        </w:rPr>
        <w:lastRenderedPageBreak/>
        <w:t xml:space="preserve">unlikely to be able to </w:t>
      </w:r>
      <w:r w:rsidR="007654F9">
        <w:rPr>
          <w:rFonts w:cstheme="minorHAnsi"/>
        </w:rPr>
        <w:t xml:space="preserve">move away from unfit houses, and </w:t>
      </w:r>
      <w:r w:rsidR="000F5ECE">
        <w:rPr>
          <w:rFonts w:cstheme="minorHAnsi"/>
        </w:rPr>
        <w:t>at the same time</w:t>
      </w:r>
      <w:r w:rsidR="007654F9">
        <w:rPr>
          <w:rFonts w:cstheme="minorHAnsi"/>
        </w:rPr>
        <w:t xml:space="preserve"> cannot </w:t>
      </w:r>
      <w:r w:rsidR="001B665F">
        <w:rPr>
          <w:rFonts w:cstheme="minorHAnsi"/>
        </w:rPr>
        <w:t xml:space="preserve">invest in making the houses fit for living, with potentially </w:t>
      </w:r>
      <w:r w:rsidR="000F5ECE">
        <w:rPr>
          <w:rFonts w:cstheme="minorHAnsi"/>
        </w:rPr>
        <w:t xml:space="preserve">severe and </w:t>
      </w:r>
      <w:r w:rsidR="001B665F">
        <w:rPr>
          <w:rFonts w:cstheme="minorHAnsi"/>
        </w:rPr>
        <w:t>costly consequences</w:t>
      </w:r>
      <w:r w:rsidR="000F5ECE">
        <w:rPr>
          <w:rFonts w:cstheme="minorHAnsi"/>
        </w:rPr>
        <w:t>.</w:t>
      </w:r>
    </w:p>
    <w:p w14:paraId="2EBC77AE" w14:textId="6346A3D1" w:rsidR="008A6044" w:rsidRPr="008A6044" w:rsidRDefault="008A0A72"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57</w:t>
      </w:r>
      <w:r w:rsidR="009E6455">
        <w:rPr>
          <w:noProof/>
        </w:rPr>
        <w:fldChar w:fldCharType="end"/>
      </w:r>
      <w:r>
        <w:t xml:space="preserve"> </w:t>
      </w:r>
      <w:r w:rsidR="008A6044">
        <w:t xml:space="preserve">: </w:t>
      </w:r>
      <w:r w:rsidR="00F32604">
        <w:t xml:space="preserve">Self-assessment of fitness status (need for capital renovation and/or at risk of collapse) of housing for </w:t>
      </w:r>
      <w:r>
        <w:t>u</w:t>
      </w:r>
      <w:r w:rsidR="0021680A">
        <w:t>rban</w:t>
      </w:r>
      <w:r w:rsidR="00F32604">
        <w:t xml:space="preserve"> </w:t>
      </w:r>
      <w:r>
        <w:t>a</w:t>
      </w:r>
      <w:r w:rsidR="00F32604">
        <w:t xml:space="preserve">reas </w:t>
      </w:r>
      <w:r w:rsidR="008A6044">
        <w:t>– by income quartile</w:t>
      </w:r>
    </w:p>
    <w:p w14:paraId="4F45340E" w14:textId="77777777" w:rsidR="008A6044" w:rsidRDefault="00C90DE4" w:rsidP="00C90DE4">
      <w:r>
        <w:rPr>
          <w:noProof/>
        </w:rPr>
        <w:drawing>
          <wp:inline distT="0" distB="0" distL="0" distR="0" wp14:anchorId="7B03BD55" wp14:editId="28F3C538">
            <wp:extent cx="5657850" cy="3038475"/>
            <wp:effectExtent l="0" t="0" r="0" b="9525"/>
            <wp:docPr id="100" name="Grafico 100">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CEAD115" w14:textId="34D4D17E" w:rsidR="008A6044" w:rsidRDefault="008A6044" w:rsidP="008A6044">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637594FB" w14:textId="77777777" w:rsidR="008A6044" w:rsidRDefault="008A6044" w:rsidP="008A6044">
      <w:pPr>
        <w:jc w:val="both"/>
        <w:rPr>
          <w:i/>
          <w:iCs/>
          <w:color w:val="44546A" w:themeColor="text2"/>
          <w:sz w:val="18"/>
          <w:szCs w:val="18"/>
        </w:rPr>
      </w:pPr>
    </w:p>
    <w:p w14:paraId="3ED1F643" w14:textId="47CC7C95" w:rsidR="008A6044" w:rsidRDefault="008A0A72"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58</w:t>
      </w:r>
      <w:r w:rsidR="009E6455">
        <w:rPr>
          <w:noProof/>
        </w:rPr>
        <w:fldChar w:fldCharType="end"/>
      </w:r>
      <w:r w:rsidR="008A6044">
        <w:t xml:space="preserve">: </w:t>
      </w:r>
      <w:r w:rsidR="00F32604">
        <w:t xml:space="preserve">Self-assessment of fitness status (need for capital renovation and/or at risk of collapse) of housing for </w:t>
      </w:r>
      <w:r>
        <w:t>r</w:t>
      </w:r>
      <w:r w:rsidR="0021680A">
        <w:t>ural</w:t>
      </w:r>
      <w:r w:rsidR="00F32604">
        <w:t xml:space="preserve"> </w:t>
      </w:r>
      <w:r>
        <w:t>a</w:t>
      </w:r>
      <w:r w:rsidR="00F32604">
        <w:t xml:space="preserve">reas </w:t>
      </w:r>
      <w:r w:rsidR="008A6044">
        <w:t>– by income quartile</w:t>
      </w:r>
    </w:p>
    <w:p w14:paraId="20D73364" w14:textId="013AFE94" w:rsidR="00C90DE4" w:rsidRDefault="00C90DE4" w:rsidP="00C90DE4">
      <w:r>
        <w:rPr>
          <w:noProof/>
        </w:rPr>
        <w:drawing>
          <wp:inline distT="0" distB="0" distL="0" distR="0" wp14:anchorId="20CAA722" wp14:editId="20F9B195">
            <wp:extent cx="5619750" cy="2990850"/>
            <wp:effectExtent l="0" t="0" r="0" b="0"/>
            <wp:docPr id="101" name="Grafico 101">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B19064B" w14:textId="255D1948" w:rsidR="008A6044" w:rsidRDefault="008A6044" w:rsidP="008A6044">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37EB243" w14:textId="2F41F8EB" w:rsidR="008A6044" w:rsidRPr="008A6044" w:rsidRDefault="008A0A72" w:rsidP="00454C26">
      <w:pPr>
        <w:pStyle w:val="Caption"/>
      </w:pPr>
      <w:r>
        <w:lastRenderedPageBreak/>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59</w:t>
      </w:r>
      <w:r w:rsidR="009E6455">
        <w:rPr>
          <w:noProof/>
        </w:rPr>
        <w:fldChar w:fldCharType="end"/>
      </w:r>
      <w:r w:rsidR="008A6044">
        <w:t xml:space="preserve">: The share of households living in houses at risk of collapse in </w:t>
      </w:r>
      <w:r w:rsidR="0021680A">
        <w:t>urban</w:t>
      </w:r>
      <w:r w:rsidR="008A6044">
        <w:t xml:space="preserve"> areas– by income quartile</w:t>
      </w:r>
    </w:p>
    <w:p w14:paraId="7A13302D" w14:textId="04FFE1B6" w:rsidR="008A6044" w:rsidRDefault="00C90DE4" w:rsidP="008A6044">
      <w:pPr>
        <w:jc w:val="both"/>
        <w:rPr>
          <w:i/>
          <w:iCs/>
          <w:color w:val="44546A" w:themeColor="text2"/>
          <w:sz w:val="18"/>
          <w:szCs w:val="18"/>
        </w:rPr>
      </w:pPr>
      <w:r>
        <w:rPr>
          <w:noProof/>
        </w:rPr>
        <w:drawing>
          <wp:inline distT="0" distB="0" distL="0" distR="0" wp14:anchorId="0E7A6329" wp14:editId="37C759C1">
            <wp:extent cx="5619750" cy="3253740"/>
            <wp:effectExtent l="0" t="0" r="0" b="3810"/>
            <wp:docPr id="102" name="Grafico 102">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008A6044" w:rsidRPr="008A6044">
        <w:rPr>
          <w:i/>
          <w:iCs/>
          <w:color w:val="44546A" w:themeColor="text2"/>
          <w:sz w:val="18"/>
          <w:szCs w:val="18"/>
        </w:rPr>
        <w:t xml:space="preserve"> </w:t>
      </w:r>
      <w:r w:rsidR="008A6044">
        <w:rPr>
          <w:i/>
          <w:iCs/>
          <w:color w:val="44546A" w:themeColor="text2"/>
          <w:sz w:val="18"/>
          <w:szCs w:val="18"/>
        </w:rPr>
        <w:t>Source: National Statistics Office of Georgia (</w:t>
      </w:r>
      <w:proofErr w:type="spellStart"/>
      <w:r w:rsidR="008A6044">
        <w:rPr>
          <w:i/>
          <w:iCs/>
          <w:color w:val="44546A" w:themeColor="text2"/>
          <w:sz w:val="18"/>
          <w:szCs w:val="18"/>
        </w:rPr>
        <w:t>Geostat</w:t>
      </w:r>
      <w:proofErr w:type="spellEnd"/>
      <w:r w:rsidR="008A6044">
        <w:rPr>
          <w:i/>
          <w:iCs/>
          <w:color w:val="44546A" w:themeColor="text2"/>
          <w:sz w:val="18"/>
          <w:szCs w:val="18"/>
        </w:rPr>
        <w:t>), Integrated Household Survey (IHS)</w:t>
      </w:r>
    </w:p>
    <w:p w14:paraId="1E109811" w14:textId="7DA67566" w:rsidR="008A0A72" w:rsidRDefault="008A0A72" w:rsidP="008A0A72"/>
    <w:p w14:paraId="6782BC23" w14:textId="6BDFDD4E" w:rsidR="008A6044" w:rsidRDefault="008A0A72" w:rsidP="008A6044">
      <w:pPr>
        <w:pStyle w:val="Caption"/>
        <w:jc w:val="both"/>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60</w:t>
      </w:r>
      <w:r w:rsidR="009E6455">
        <w:rPr>
          <w:noProof/>
        </w:rPr>
        <w:fldChar w:fldCharType="end"/>
      </w:r>
      <w:r w:rsidR="008A6044">
        <w:t xml:space="preserve">: The share of households living in houses at risk of collapse in </w:t>
      </w:r>
      <w:r w:rsidR="0021680A">
        <w:t>rural</w:t>
      </w:r>
      <w:r w:rsidR="008A6044">
        <w:t xml:space="preserve"> areas – by income quartile</w:t>
      </w:r>
    </w:p>
    <w:p w14:paraId="4905B529" w14:textId="77777777" w:rsidR="00C90DE4" w:rsidRDefault="00C90DE4" w:rsidP="00C90DE4">
      <w:r>
        <w:rPr>
          <w:noProof/>
        </w:rPr>
        <w:drawing>
          <wp:inline distT="0" distB="0" distL="0" distR="0" wp14:anchorId="524F2B66" wp14:editId="09FFC6C6">
            <wp:extent cx="5829300" cy="3108960"/>
            <wp:effectExtent l="0" t="0" r="0" b="15240"/>
            <wp:docPr id="26" name="Grafico 26">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3A3A1BA" w14:textId="36568AA0" w:rsidR="008A6044" w:rsidRDefault="008A6044" w:rsidP="008A6044">
      <w:pPr>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110EC60" w14:textId="7148E6F4" w:rsidR="00F20BFB" w:rsidRDefault="00F20BFB" w:rsidP="008A6044">
      <w:pPr>
        <w:jc w:val="both"/>
        <w:rPr>
          <w:i/>
          <w:iCs/>
          <w:color w:val="44546A" w:themeColor="text2"/>
          <w:sz w:val="18"/>
          <w:szCs w:val="18"/>
        </w:rPr>
      </w:pPr>
    </w:p>
    <w:p w14:paraId="14D114CE" w14:textId="0639D9B3" w:rsidR="00F20BFB" w:rsidRDefault="00F20BFB" w:rsidP="008A6044">
      <w:pPr>
        <w:jc w:val="both"/>
        <w:rPr>
          <w:rFonts w:cstheme="minorHAnsi"/>
        </w:rPr>
      </w:pPr>
      <w:r w:rsidRPr="00F20BFB">
        <w:rPr>
          <w:rFonts w:cstheme="minorHAnsi"/>
        </w:rPr>
        <w:lastRenderedPageBreak/>
        <w:t>The analysis of unfit housing by vulnerable group</w:t>
      </w:r>
      <w:r>
        <w:rPr>
          <w:rFonts w:cstheme="minorHAnsi"/>
        </w:rPr>
        <w:t xml:space="preserve"> (Figures </w:t>
      </w:r>
      <w:r w:rsidR="008A0A72">
        <w:rPr>
          <w:rFonts w:cstheme="minorHAnsi"/>
        </w:rPr>
        <w:t>61</w:t>
      </w:r>
      <w:r>
        <w:rPr>
          <w:rFonts w:cstheme="minorHAnsi"/>
        </w:rPr>
        <w:t xml:space="preserve"> to </w:t>
      </w:r>
      <w:r w:rsidR="00791993">
        <w:rPr>
          <w:rFonts w:cstheme="minorHAnsi"/>
        </w:rPr>
        <w:t>58)</w:t>
      </w:r>
      <w:r w:rsidRPr="00F20BFB">
        <w:rPr>
          <w:rFonts w:cstheme="minorHAnsi"/>
        </w:rPr>
        <w:t xml:space="preserve"> reveals</w:t>
      </w:r>
      <w:r w:rsidR="00791993">
        <w:rPr>
          <w:rFonts w:cstheme="minorHAnsi"/>
        </w:rPr>
        <w:t xml:space="preserve"> a few interesting patterns:</w:t>
      </w:r>
    </w:p>
    <w:p w14:paraId="60D4DDAC" w14:textId="77777777" w:rsidR="00593E6B" w:rsidRDefault="009C0B17" w:rsidP="00454C26">
      <w:pPr>
        <w:pStyle w:val="ListParagraph"/>
        <w:numPr>
          <w:ilvl w:val="0"/>
          <w:numId w:val="23"/>
        </w:numPr>
        <w:jc w:val="both"/>
        <w:rPr>
          <w:rFonts w:cstheme="minorHAnsi"/>
        </w:rPr>
      </w:pPr>
      <w:r>
        <w:rPr>
          <w:rFonts w:cstheme="minorHAnsi"/>
        </w:rPr>
        <w:t xml:space="preserve">The situation of IDP households has been </w:t>
      </w:r>
      <w:r w:rsidR="009D4F17">
        <w:rPr>
          <w:rFonts w:cstheme="minorHAnsi"/>
        </w:rPr>
        <w:t xml:space="preserve">improving over time, not only </w:t>
      </w:r>
      <w:r>
        <w:rPr>
          <w:rFonts w:cstheme="minorHAnsi"/>
        </w:rPr>
        <w:t>converging towards the national average over t</w:t>
      </w:r>
      <w:r w:rsidR="001537CB">
        <w:rPr>
          <w:rFonts w:cstheme="minorHAnsi"/>
        </w:rPr>
        <w:t>ime,</w:t>
      </w:r>
      <w:r w:rsidR="009D4F17">
        <w:rPr>
          <w:rFonts w:cstheme="minorHAnsi"/>
        </w:rPr>
        <w:t xml:space="preserve"> but – in some instances – even </w:t>
      </w:r>
      <w:r w:rsidR="00593E6B">
        <w:rPr>
          <w:rFonts w:cstheme="minorHAnsi"/>
        </w:rPr>
        <w:t>improving with respect to the national average;</w:t>
      </w:r>
    </w:p>
    <w:p w14:paraId="0EEF0C66" w14:textId="53AA506F" w:rsidR="00791993" w:rsidRDefault="009C0B17" w:rsidP="00454C26">
      <w:pPr>
        <w:pStyle w:val="ListParagraph"/>
        <w:numPr>
          <w:ilvl w:val="0"/>
          <w:numId w:val="23"/>
        </w:numPr>
        <w:jc w:val="both"/>
        <w:rPr>
          <w:rFonts w:cstheme="minorHAnsi"/>
        </w:rPr>
      </w:pPr>
      <w:r w:rsidRPr="009D4F17">
        <w:rPr>
          <w:rFonts w:cstheme="minorHAnsi"/>
        </w:rPr>
        <w:t>Female headed househol</w:t>
      </w:r>
      <w:r w:rsidR="00593E6B">
        <w:rPr>
          <w:rFonts w:cstheme="minorHAnsi"/>
        </w:rPr>
        <w:t>ds and households with disabled individuals instead have been systematically showing higher exposure to unfit housing</w:t>
      </w:r>
      <w:r w:rsidR="0055357E">
        <w:rPr>
          <w:rFonts w:cstheme="minorHAnsi"/>
        </w:rPr>
        <w:t xml:space="preserve"> compared to the national average, suggesting the need for monitoring and – whenever necessary – targeted interventions to </w:t>
      </w:r>
      <w:r w:rsidR="00020242">
        <w:rPr>
          <w:rFonts w:cstheme="minorHAnsi"/>
        </w:rPr>
        <w:t xml:space="preserve">help them improving the fitness of the houses in which they live. The situation is particularly critical in </w:t>
      </w:r>
      <w:r w:rsidR="0021680A">
        <w:rPr>
          <w:rFonts w:cstheme="minorHAnsi"/>
        </w:rPr>
        <w:t>rural</w:t>
      </w:r>
      <w:r w:rsidR="00020242">
        <w:rPr>
          <w:rFonts w:cstheme="minorHAnsi"/>
        </w:rPr>
        <w:t xml:space="preserve"> areas, where the share of female headed households exposed to the risk of collapse has been continuously on the rise </w:t>
      </w:r>
      <w:r w:rsidR="00120F43">
        <w:rPr>
          <w:rFonts w:cstheme="minorHAnsi"/>
        </w:rPr>
        <w:t>over the time interval analyz</w:t>
      </w:r>
      <w:r w:rsidR="00CE7C81">
        <w:rPr>
          <w:rFonts w:cstheme="minorHAnsi"/>
        </w:rPr>
        <w:t>e</w:t>
      </w:r>
      <w:r w:rsidR="00120F43">
        <w:rPr>
          <w:rFonts w:cstheme="minorHAnsi"/>
        </w:rPr>
        <w:t>d (</w:t>
      </w:r>
      <w:r w:rsidR="00CE7C81">
        <w:rPr>
          <w:rFonts w:cstheme="minorHAnsi"/>
        </w:rPr>
        <w:t xml:space="preserve">from 2% to almost 7% over a </w:t>
      </w:r>
      <w:r w:rsidR="008A0A72">
        <w:rPr>
          <w:rFonts w:cstheme="minorHAnsi"/>
        </w:rPr>
        <w:t>seven-year</w:t>
      </w:r>
      <w:r w:rsidR="00CE7C81">
        <w:rPr>
          <w:rFonts w:cstheme="minorHAnsi"/>
        </w:rPr>
        <w:t xml:space="preserve"> period) and where the share of households with disabled individuals living in </w:t>
      </w:r>
      <w:r w:rsidR="00767D00">
        <w:rPr>
          <w:rFonts w:cstheme="minorHAnsi"/>
        </w:rPr>
        <w:t>houses at risk of collapse has steadily remained above 6%, approaching 8% in the last years.</w:t>
      </w:r>
    </w:p>
    <w:p w14:paraId="79F84229" w14:textId="440F07A5" w:rsidR="00767D00" w:rsidRDefault="00767D00" w:rsidP="00767D00">
      <w:pPr>
        <w:pStyle w:val="ListParagraph"/>
        <w:ind w:left="768"/>
        <w:jc w:val="both"/>
        <w:rPr>
          <w:rFonts w:cstheme="minorHAnsi"/>
        </w:rPr>
      </w:pPr>
    </w:p>
    <w:p w14:paraId="4C3EB477" w14:textId="121EC10C" w:rsidR="00767D00" w:rsidRDefault="008A0A72"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61</w:t>
      </w:r>
      <w:r w:rsidR="009E6455">
        <w:rPr>
          <w:noProof/>
        </w:rPr>
        <w:fldChar w:fldCharType="end"/>
      </w:r>
      <w:r w:rsidR="00767D00">
        <w:t xml:space="preserve">: </w:t>
      </w:r>
      <w:r w:rsidR="00F32604">
        <w:t xml:space="preserve">Self-assessment of fitness status (need for capital renovation and/or at risk of collapse) of housing for </w:t>
      </w:r>
      <w:r w:rsidR="005E5500">
        <w:t>u</w:t>
      </w:r>
      <w:r w:rsidR="0021680A">
        <w:t>rban</w:t>
      </w:r>
      <w:r w:rsidR="00F32604">
        <w:t xml:space="preserve"> </w:t>
      </w:r>
      <w:r w:rsidR="005E5500">
        <w:t>a</w:t>
      </w:r>
      <w:r w:rsidR="00F32604">
        <w:t xml:space="preserve">reas </w:t>
      </w:r>
      <w:r w:rsidR="00767D00">
        <w:t xml:space="preserve">– </w:t>
      </w:r>
      <w:r w:rsidR="00D46EC1">
        <w:t>vulnerable groups</w:t>
      </w:r>
    </w:p>
    <w:p w14:paraId="6859E0C4" w14:textId="77777777" w:rsidR="00767D00" w:rsidRDefault="00F20BFB" w:rsidP="00767D00">
      <w:pPr>
        <w:ind w:right="-990"/>
        <w:jc w:val="both"/>
        <w:rPr>
          <w:i/>
          <w:iCs/>
          <w:color w:val="44546A" w:themeColor="text2"/>
          <w:sz w:val="18"/>
          <w:szCs w:val="18"/>
        </w:rPr>
      </w:pPr>
      <w:r>
        <w:rPr>
          <w:noProof/>
        </w:rPr>
        <w:drawing>
          <wp:inline distT="0" distB="0" distL="0" distR="0" wp14:anchorId="2C8D4F86" wp14:editId="390677C6">
            <wp:extent cx="5810250" cy="3238500"/>
            <wp:effectExtent l="0" t="0" r="0" b="0"/>
            <wp:docPr id="105" name="Grafico 10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767D00" w:rsidRPr="00767D00">
        <w:rPr>
          <w:i/>
          <w:iCs/>
          <w:color w:val="44546A" w:themeColor="text2"/>
          <w:sz w:val="18"/>
          <w:szCs w:val="18"/>
        </w:rPr>
        <w:t xml:space="preserve"> </w:t>
      </w:r>
    </w:p>
    <w:p w14:paraId="383CF408" w14:textId="261E5548" w:rsidR="00767D00" w:rsidRDefault="00767D00" w:rsidP="00767D00">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4BA6ED0" w14:textId="2F3A2297" w:rsidR="00C34557" w:rsidRDefault="00C34557" w:rsidP="00767D00">
      <w:pPr>
        <w:ind w:right="-990"/>
        <w:jc w:val="both"/>
        <w:rPr>
          <w:i/>
          <w:iCs/>
          <w:color w:val="44546A" w:themeColor="text2"/>
          <w:sz w:val="18"/>
          <w:szCs w:val="18"/>
        </w:rPr>
      </w:pPr>
    </w:p>
    <w:p w14:paraId="644DCC9A" w14:textId="17AF104E" w:rsidR="00C34557" w:rsidRDefault="00C34557" w:rsidP="00767D00">
      <w:pPr>
        <w:ind w:right="-990"/>
        <w:jc w:val="both"/>
        <w:rPr>
          <w:i/>
          <w:iCs/>
          <w:color w:val="44546A" w:themeColor="text2"/>
          <w:sz w:val="18"/>
          <w:szCs w:val="18"/>
        </w:rPr>
      </w:pPr>
    </w:p>
    <w:p w14:paraId="32114A71" w14:textId="5C619D2D" w:rsidR="00C34557" w:rsidRDefault="00C34557" w:rsidP="00767D00">
      <w:pPr>
        <w:ind w:right="-990"/>
        <w:jc w:val="both"/>
        <w:rPr>
          <w:i/>
          <w:iCs/>
          <w:color w:val="44546A" w:themeColor="text2"/>
          <w:sz w:val="18"/>
          <w:szCs w:val="18"/>
        </w:rPr>
      </w:pPr>
    </w:p>
    <w:p w14:paraId="27D7B62B" w14:textId="19745BE7" w:rsidR="00C34557" w:rsidRDefault="00C34557" w:rsidP="00767D00">
      <w:pPr>
        <w:ind w:right="-990"/>
        <w:jc w:val="both"/>
        <w:rPr>
          <w:i/>
          <w:iCs/>
          <w:color w:val="44546A" w:themeColor="text2"/>
          <w:sz w:val="18"/>
          <w:szCs w:val="18"/>
        </w:rPr>
      </w:pPr>
    </w:p>
    <w:p w14:paraId="1FF65CF3" w14:textId="49589A50" w:rsidR="00C34557" w:rsidRDefault="00C34557" w:rsidP="00767D00">
      <w:pPr>
        <w:ind w:right="-990"/>
        <w:jc w:val="both"/>
        <w:rPr>
          <w:i/>
          <w:iCs/>
          <w:color w:val="44546A" w:themeColor="text2"/>
          <w:sz w:val="18"/>
          <w:szCs w:val="18"/>
        </w:rPr>
      </w:pPr>
    </w:p>
    <w:p w14:paraId="6724C634" w14:textId="77777777" w:rsidR="00C34557" w:rsidRDefault="00C34557" w:rsidP="00767D00">
      <w:pPr>
        <w:ind w:right="-990"/>
        <w:jc w:val="both"/>
        <w:rPr>
          <w:i/>
          <w:iCs/>
          <w:color w:val="44546A" w:themeColor="text2"/>
          <w:sz w:val="18"/>
          <w:szCs w:val="18"/>
        </w:rPr>
      </w:pPr>
    </w:p>
    <w:p w14:paraId="708D772A" w14:textId="614E431D" w:rsidR="00767D00" w:rsidRDefault="008A0A72" w:rsidP="00454C26">
      <w:pPr>
        <w:pStyle w:val="Caption"/>
      </w:pPr>
      <w:r>
        <w:lastRenderedPageBreak/>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62</w:t>
      </w:r>
      <w:r w:rsidR="009E6455">
        <w:rPr>
          <w:noProof/>
        </w:rPr>
        <w:fldChar w:fldCharType="end"/>
      </w:r>
      <w:r w:rsidR="00767D00">
        <w:t xml:space="preserve">: </w:t>
      </w:r>
      <w:r w:rsidR="003C204B">
        <w:t xml:space="preserve">Self-assessment of fitness status (need for capital renovation and/or at risk of collapse) of housing for </w:t>
      </w:r>
      <w:r>
        <w:t>r</w:t>
      </w:r>
      <w:r w:rsidR="0021680A">
        <w:t>ural</w:t>
      </w:r>
      <w:r w:rsidR="003C204B">
        <w:t xml:space="preserve"> </w:t>
      </w:r>
      <w:r>
        <w:t>a</w:t>
      </w:r>
      <w:r w:rsidR="003C204B">
        <w:t>reas – vulnerable groups</w:t>
      </w:r>
    </w:p>
    <w:p w14:paraId="6BFCB422" w14:textId="77777777" w:rsidR="009C48A0" w:rsidRDefault="00F20BFB" w:rsidP="00767D00">
      <w:pPr>
        <w:ind w:right="-990"/>
        <w:jc w:val="both"/>
        <w:rPr>
          <w:i/>
          <w:iCs/>
          <w:color w:val="44546A" w:themeColor="text2"/>
          <w:sz w:val="18"/>
          <w:szCs w:val="18"/>
        </w:rPr>
      </w:pPr>
      <w:r>
        <w:rPr>
          <w:noProof/>
        </w:rPr>
        <w:drawing>
          <wp:inline distT="0" distB="0" distL="0" distR="0" wp14:anchorId="1513A6A2" wp14:editId="715ECE53">
            <wp:extent cx="5810250" cy="3133725"/>
            <wp:effectExtent l="0" t="0" r="0" b="9525"/>
            <wp:docPr id="106" name="Grafico 106">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00767D00" w:rsidRPr="00767D00">
        <w:rPr>
          <w:i/>
          <w:iCs/>
          <w:color w:val="44546A" w:themeColor="text2"/>
          <w:sz w:val="18"/>
          <w:szCs w:val="18"/>
        </w:rPr>
        <w:t xml:space="preserve"> </w:t>
      </w:r>
    </w:p>
    <w:p w14:paraId="438126BA" w14:textId="0B5BFAB8" w:rsidR="00767D00" w:rsidRDefault="00767D00" w:rsidP="00767D00">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6AFC055" w14:textId="266E1BCA" w:rsidR="00F20BFB" w:rsidRDefault="008A0A72" w:rsidP="00454C26">
      <w:pPr>
        <w:pStyle w:val="Caption"/>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63</w:t>
      </w:r>
      <w:r w:rsidR="009E6455">
        <w:rPr>
          <w:noProof/>
        </w:rPr>
        <w:fldChar w:fldCharType="end"/>
      </w:r>
      <w:r w:rsidR="00767D00">
        <w:t xml:space="preserve">: The share of households living in houses at risk of collapse in </w:t>
      </w:r>
      <w:r w:rsidR="0021680A">
        <w:t>urban</w:t>
      </w:r>
      <w:r w:rsidR="00767D00">
        <w:t xml:space="preserve"> areas – </w:t>
      </w:r>
      <w:r w:rsidR="00D46EC1">
        <w:t>vulnerable groups</w:t>
      </w:r>
    </w:p>
    <w:p w14:paraId="0AC4033B" w14:textId="77777777" w:rsidR="008A0A72" w:rsidRDefault="00F20BFB" w:rsidP="00767D00">
      <w:pPr>
        <w:ind w:right="-990"/>
        <w:jc w:val="both"/>
        <w:rPr>
          <w:i/>
          <w:iCs/>
          <w:color w:val="44546A" w:themeColor="text2"/>
          <w:sz w:val="18"/>
          <w:szCs w:val="18"/>
        </w:rPr>
      </w:pPr>
      <w:r>
        <w:rPr>
          <w:noProof/>
        </w:rPr>
        <w:drawing>
          <wp:inline distT="0" distB="0" distL="0" distR="0" wp14:anchorId="5FF269E8" wp14:editId="5A58DCED">
            <wp:extent cx="5810250" cy="3238500"/>
            <wp:effectExtent l="0" t="0" r="0" b="0"/>
            <wp:docPr id="107" name="Grafico 10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00767D00" w:rsidRPr="00767D00">
        <w:rPr>
          <w:i/>
          <w:iCs/>
          <w:color w:val="44546A" w:themeColor="text2"/>
          <w:sz w:val="18"/>
          <w:szCs w:val="18"/>
        </w:rPr>
        <w:t xml:space="preserve"> </w:t>
      </w:r>
    </w:p>
    <w:p w14:paraId="5537C8B7" w14:textId="08D49C40" w:rsidR="00767D00" w:rsidRDefault="00767D00" w:rsidP="00767D00">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5F7AF12E" w14:textId="0A8358D1" w:rsidR="00C34557" w:rsidRDefault="00C34557" w:rsidP="00767D00">
      <w:pPr>
        <w:ind w:right="-990"/>
        <w:jc w:val="both"/>
        <w:rPr>
          <w:i/>
          <w:iCs/>
          <w:color w:val="44546A" w:themeColor="text2"/>
          <w:sz w:val="18"/>
          <w:szCs w:val="18"/>
        </w:rPr>
      </w:pPr>
    </w:p>
    <w:p w14:paraId="6BF2FB00" w14:textId="77777777" w:rsidR="00C34557" w:rsidRDefault="00C34557" w:rsidP="00767D00">
      <w:pPr>
        <w:ind w:right="-990"/>
        <w:jc w:val="both"/>
        <w:rPr>
          <w:i/>
          <w:iCs/>
          <w:color w:val="44546A" w:themeColor="text2"/>
          <w:sz w:val="18"/>
          <w:szCs w:val="18"/>
        </w:rPr>
      </w:pPr>
    </w:p>
    <w:p w14:paraId="6643AF50" w14:textId="5EDDF8A2" w:rsidR="00767D00" w:rsidRPr="00767D00" w:rsidRDefault="008A0A72" w:rsidP="00454C26">
      <w:pPr>
        <w:pStyle w:val="Caption"/>
      </w:pPr>
      <w:r>
        <w:lastRenderedPageBreak/>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64</w:t>
      </w:r>
      <w:r w:rsidR="009E6455">
        <w:rPr>
          <w:noProof/>
        </w:rPr>
        <w:fldChar w:fldCharType="end"/>
      </w:r>
      <w:r w:rsidR="00767D00">
        <w:t xml:space="preserve">: The share of households living in houses at risk of collapse in </w:t>
      </w:r>
      <w:r w:rsidR="0021680A">
        <w:t>rural</w:t>
      </w:r>
      <w:r w:rsidR="00767D00">
        <w:t xml:space="preserve"> areas – </w:t>
      </w:r>
      <w:r w:rsidR="00D46EC1">
        <w:t>vulnerable groups</w:t>
      </w:r>
    </w:p>
    <w:p w14:paraId="0F723CA5" w14:textId="77777777" w:rsidR="00F20BFB" w:rsidRDefault="00F20BFB" w:rsidP="00F20BFB">
      <w:r>
        <w:rPr>
          <w:noProof/>
        </w:rPr>
        <w:drawing>
          <wp:inline distT="0" distB="0" distL="0" distR="0" wp14:anchorId="31C50143" wp14:editId="1538BA8A">
            <wp:extent cx="5791200" cy="3505200"/>
            <wp:effectExtent l="0" t="0" r="0" b="0"/>
            <wp:docPr id="108" name="Grafico 108">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DC50040" w14:textId="77777777" w:rsidR="00B66D18" w:rsidRPr="00776AB0" w:rsidRDefault="00B66D18" w:rsidP="00B66D18">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54BBAFF7" w14:textId="77777777" w:rsidR="00075E30" w:rsidRDefault="001966FC" w:rsidP="001966FC">
      <w:pPr>
        <w:jc w:val="both"/>
        <w:rPr>
          <w:rFonts w:cstheme="minorHAnsi"/>
        </w:rPr>
      </w:pPr>
      <w:r>
        <w:rPr>
          <w:rFonts w:cstheme="minorHAnsi"/>
        </w:rPr>
        <w:t>Looking at the ethnic dimension</w:t>
      </w:r>
      <w:r w:rsidR="005E5BE0">
        <w:rPr>
          <w:rFonts w:cstheme="minorHAnsi"/>
        </w:rPr>
        <w:t xml:space="preserve"> shows a mixed picture, </w:t>
      </w:r>
      <w:r w:rsidR="00837434">
        <w:rPr>
          <w:rFonts w:cstheme="minorHAnsi"/>
        </w:rPr>
        <w:t>with</w:t>
      </w:r>
      <w:r w:rsidR="00075E30">
        <w:rPr>
          <w:rFonts w:cstheme="minorHAnsi"/>
        </w:rPr>
        <w:t>:</w:t>
      </w:r>
    </w:p>
    <w:p w14:paraId="4603F4C2" w14:textId="5ECC4F95" w:rsidR="00075E30" w:rsidRDefault="00075E30" w:rsidP="001966FC">
      <w:pPr>
        <w:jc w:val="both"/>
        <w:rPr>
          <w:rFonts w:cstheme="minorHAnsi"/>
        </w:rPr>
      </w:pPr>
      <w:r>
        <w:rPr>
          <w:rFonts w:cstheme="minorHAnsi"/>
        </w:rPr>
        <w:t>-</w:t>
      </w:r>
      <w:r w:rsidR="00837434">
        <w:rPr>
          <w:rFonts w:cstheme="minorHAnsi"/>
        </w:rPr>
        <w:t xml:space="preserve"> </w:t>
      </w:r>
      <w:r w:rsidR="00CF2A24">
        <w:rPr>
          <w:rFonts w:cstheme="minorHAnsi"/>
        </w:rPr>
        <w:t xml:space="preserve">ethnically mixed households more exposed to unfit housing and to the risk of collapse both in </w:t>
      </w:r>
      <w:r w:rsidR="0021680A">
        <w:rPr>
          <w:rFonts w:cstheme="minorHAnsi"/>
        </w:rPr>
        <w:t>urban</w:t>
      </w:r>
      <w:r w:rsidR="00CF2A24">
        <w:rPr>
          <w:rFonts w:cstheme="minorHAnsi"/>
        </w:rPr>
        <w:t xml:space="preserve"> and </w:t>
      </w:r>
      <w:r w:rsidR="0021680A">
        <w:rPr>
          <w:rFonts w:cstheme="minorHAnsi"/>
        </w:rPr>
        <w:t>rural</w:t>
      </w:r>
      <w:r w:rsidR="00CF2A24">
        <w:rPr>
          <w:rFonts w:cstheme="minorHAnsi"/>
        </w:rPr>
        <w:t xml:space="preserve"> areas</w:t>
      </w:r>
      <w:r>
        <w:rPr>
          <w:rFonts w:cstheme="minorHAnsi"/>
        </w:rPr>
        <w:t>;</w:t>
      </w:r>
    </w:p>
    <w:p w14:paraId="6F6B8918" w14:textId="3A6B3597" w:rsidR="00E66886" w:rsidRDefault="00075E30" w:rsidP="001966FC">
      <w:pPr>
        <w:jc w:val="both"/>
        <w:rPr>
          <w:rFonts w:cstheme="minorHAnsi"/>
        </w:rPr>
      </w:pPr>
      <w:r>
        <w:rPr>
          <w:rFonts w:cstheme="minorHAnsi"/>
        </w:rPr>
        <w:t xml:space="preserve">- </w:t>
      </w:r>
      <w:r w:rsidR="00914E0C">
        <w:rPr>
          <w:rFonts w:cstheme="minorHAnsi"/>
        </w:rPr>
        <w:t>non-ethnically</w:t>
      </w:r>
      <w:r w:rsidR="00A44232">
        <w:rPr>
          <w:rFonts w:cstheme="minorHAnsi"/>
        </w:rPr>
        <w:t xml:space="preserve"> Georgian household more exposed to unfit housing</w:t>
      </w:r>
      <w:r w:rsidR="00710B6F">
        <w:rPr>
          <w:rFonts w:cstheme="minorHAnsi"/>
        </w:rPr>
        <w:t xml:space="preserve"> – and</w:t>
      </w:r>
      <w:r w:rsidR="00E66886">
        <w:rPr>
          <w:rFonts w:cstheme="minorHAnsi"/>
        </w:rPr>
        <w:t>,</w:t>
      </w:r>
      <w:r w:rsidR="00710B6F">
        <w:rPr>
          <w:rFonts w:cstheme="minorHAnsi"/>
        </w:rPr>
        <w:t xml:space="preserve"> possibly</w:t>
      </w:r>
      <w:r w:rsidR="00E66886">
        <w:rPr>
          <w:rFonts w:cstheme="minorHAnsi"/>
        </w:rPr>
        <w:t>,</w:t>
      </w:r>
      <w:r w:rsidR="00710B6F">
        <w:rPr>
          <w:rFonts w:cstheme="minorHAnsi"/>
        </w:rPr>
        <w:t xml:space="preserve"> to the risk of collapse -</w:t>
      </w:r>
      <w:r w:rsidR="00A44232">
        <w:rPr>
          <w:rFonts w:cstheme="minorHAnsi"/>
        </w:rPr>
        <w:t xml:space="preserve"> in </w:t>
      </w:r>
      <w:r w:rsidR="0021680A">
        <w:rPr>
          <w:rFonts w:cstheme="minorHAnsi"/>
        </w:rPr>
        <w:t>urban</w:t>
      </w:r>
      <w:r w:rsidR="00A44232">
        <w:rPr>
          <w:rFonts w:cstheme="minorHAnsi"/>
        </w:rPr>
        <w:t xml:space="preserve"> areas</w:t>
      </w:r>
      <w:r w:rsidR="00E66886">
        <w:rPr>
          <w:rFonts w:cstheme="minorHAnsi"/>
        </w:rPr>
        <w:t xml:space="preserve">, </w:t>
      </w:r>
      <w:r w:rsidR="00A44232">
        <w:rPr>
          <w:rFonts w:cstheme="minorHAnsi"/>
        </w:rPr>
        <w:t xml:space="preserve">but less exposed in </w:t>
      </w:r>
      <w:r w:rsidR="0021680A">
        <w:rPr>
          <w:rFonts w:cstheme="minorHAnsi"/>
        </w:rPr>
        <w:t>rural</w:t>
      </w:r>
      <w:r w:rsidR="00710B6F">
        <w:rPr>
          <w:rFonts w:cstheme="minorHAnsi"/>
        </w:rPr>
        <w:t xml:space="preserve"> areas</w:t>
      </w:r>
      <w:r w:rsidR="00E66886">
        <w:rPr>
          <w:rFonts w:cstheme="minorHAnsi"/>
        </w:rPr>
        <w:t>;</w:t>
      </w:r>
    </w:p>
    <w:p w14:paraId="34BBAFC4" w14:textId="2A427662" w:rsidR="00E66886" w:rsidRDefault="00E66886" w:rsidP="00E66886">
      <w:pPr>
        <w:jc w:val="both"/>
        <w:rPr>
          <w:rFonts w:cstheme="minorHAnsi"/>
        </w:rPr>
      </w:pPr>
      <w:r>
        <w:rPr>
          <w:rFonts w:cstheme="minorHAnsi"/>
        </w:rPr>
        <w:t xml:space="preserve">- ethnically Georgian household less exposed to unfit housing – and, possibly, to the risk of collapse - in </w:t>
      </w:r>
      <w:r w:rsidR="0021680A">
        <w:rPr>
          <w:rFonts w:cstheme="minorHAnsi"/>
        </w:rPr>
        <w:t>urban</w:t>
      </w:r>
      <w:r>
        <w:rPr>
          <w:rFonts w:cstheme="minorHAnsi"/>
        </w:rPr>
        <w:t xml:space="preserve"> areas, but more exposed in </w:t>
      </w:r>
      <w:r w:rsidR="0021680A">
        <w:rPr>
          <w:rFonts w:cstheme="minorHAnsi"/>
        </w:rPr>
        <w:t>rural</w:t>
      </w:r>
      <w:r>
        <w:rPr>
          <w:rFonts w:cstheme="minorHAnsi"/>
        </w:rPr>
        <w:t xml:space="preserve"> areas.</w:t>
      </w:r>
    </w:p>
    <w:p w14:paraId="52C4450C" w14:textId="4E99C715" w:rsidR="00C34557" w:rsidRDefault="00C34557" w:rsidP="00E66886">
      <w:pPr>
        <w:jc w:val="both"/>
        <w:rPr>
          <w:rFonts w:cstheme="minorHAnsi"/>
        </w:rPr>
      </w:pPr>
    </w:p>
    <w:p w14:paraId="7C7755C7" w14:textId="0922BBBE" w:rsidR="00C34557" w:rsidRDefault="00C34557" w:rsidP="00E66886">
      <w:pPr>
        <w:jc w:val="both"/>
        <w:rPr>
          <w:rFonts w:cstheme="minorHAnsi"/>
        </w:rPr>
      </w:pPr>
    </w:p>
    <w:p w14:paraId="148912A9" w14:textId="699D9E6E" w:rsidR="00C34557" w:rsidRDefault="00C34557" w:rsidP="00E66886">
      <w:pPr>
        <w:jc w:val="both"/>
        <w:rPr>
          <w:rFonts w:cstheme="minorHAnsi"/>
        </w:rPr>
      </w:pPr>
    </w:p>
    <w:p w14:paraId="5ED3D546" w14:textId="7FA9CD2C" w:rsidR="00C34557" w:rsidRDefault="00C34557" w:rsidP="00E66886">
      <w:pPr>
        <w:jc w:val="both"/>
        <w:rPr>
          <w:rFonts w:cstheme="minorHAnsi"/>
        </w:rPr>
      </w:pPr>
    </w:p>
    <w:p w14:paraId="3030FCA8" w14:textId="6259939E" w:rsidR="00C34557" w:rsidRDefault="00C34557" w:rsidP="00E66886">
      <w:pPr>
        <w:jc w:val="both"/>
        <w:rPr>
          <w:rFonts w:cstheme="minorHAnsi"/>
        </w:rPr>
      </w:pPr>
    </w:p>
    <w:p w14:paraId="21810564" w14:textId="6DB8A3DE" w:rsidR="00C34557" w:rsidRDefault="00C34557" w:rsidP="00E66886">
      <w:pPr>
        <w:jc w:val="both"/>
        <w:rPr>
          <w:rFonts w:cstheme="minorHAnsi"/>
        </w:rPr>
      </w:pPr>
    </w:p>
    <w:p w14:paraId="5F7373FB" w14:textId="6B355998" w:rsidR="00C34557" w:rsidRDefault="00C34557" w:rsidP="00E66886">
      <w:pPr>
        <w:jc w:val="both"/>
        <w:rPr>
          <w:rFonts w:cstheme="minorHAnsi"/>
        </w:rPr>
      </w:pPr>
    </w:p>
    <w:p w14:paraId="78BB0E42" w14:textId="77777777" w:rsidR="00C34557" w:rsidRDefault="00C34557" w:rsidP="00E66886">
      <w:pPr>
        <w:jc w:val="both"/>
        <w:rPr>
          <w:rFonts w:cstheme="minorHAnsi"/>
        </w:rPr>
      </w:pPr>
    </w:p>
    <w:p w14:paraId="3A5DBE52" w14:textId="3B1EE580" w:rsidR="00914E0C" w:rsidRDefault="00914E0C" w:rsidP="00454C26">
      <w:pPr>
        <w:pStyle w:val="Caption"/>
        <w:rPr>
          <w:rFonts w:cstheme="minorHAnsi"/>
        </w:rPr>
      </w:pPr>
      <w:r>
        <w:lastRenderedPageBreak/>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65</w:t>
      </w:r>
      <w:r w:rsidR="009E6455">
        <w:rPr>
          <w:noProof/>
        </w:rPr>
        <w:fldChar w:fldCharType="end"/>
      </w:r>
      <w:r>
        <w:t xml:space="preserve">:  Self-assessment of fitness status (need for capital renovation and/or at risk of collapse) of </w:t>
      </w:r>
      <w:r w:rsidR="006B1DDE">
        <w:t>housing for</w:t>
      </w:r>
      <w:r>
        <w:t xml:space="preserve"> urban areas</w:t>
      </w:r>
      <w:r w:rsidR="00C34557">
        <w:t xml:space="preserve"> </w:t>
      </w:r>
      <w:r>
        <w:t>– by ethnicity</w:t>
      </w:r>
    </w:p>
    <w:p w14:paraId="5F096A40" w14:textId="2F3B7523" w:rsidR="00107E8E" w:rsidRDefault="00914E0C" w:rsidP="00C1269A">
      <w:pPr>
        <w:rPr>
          <w:rFonts w:cstheme="minorHAnsi"/>
          <w:b/>
          <w:bCs/>
          <w:i/>
          <w:iCs/>
        </w:rPr>
      </w:pPr>
      <w:r w:rsidRPr="00914E0C">
        <w:rPr>
          <w:noProof/>
        </w:rPr>
        <w:t xml:space="preserve"> </w:t>
      </w:r>
      <w:r>
        <w:rPr>
          <w:noProof/>
        </w:rPr>
        <w:drawing>
          <wp:inline distT="0" distB="0" distL="0" distR="0" wp14:anchorId="6FDAA730" wp14:editId="079953A0">
            <wp:extent cx="5629275" cy="2466975"/>
            <wp:effectExtent l="0" t="0" r="9525" b="9525"/>
            <wp:docPr id="128" name="Chart 12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D0A06B7" w14:textId="243F5FE4" w:rsidR="00914E0C" w:rsidRDefault="00914E0C" w:rsidP="00914E0C">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E4E7D41" w14:textId="59B10B01" w:rsidR="00914E0C" w:rsidRPr="00454C26" w:rsidRDefault="00914E0C" w:rsidP="00454C26">
      <w:pPr>
        <w:pStyle w:val="Caption"/>
        <w:rPr>
          <w:rFonts w:cstheme="minorHAnsi"/>
        </w:rPr>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66</w:t>
      </w:r>
      <w:r w:rsidR="009E6455">
        <w:rPr>
          <w:noProof/>
        </w:rPr>
        <w:fldChar w:fldCharType="end"/>
      </w:r>
      <w:r>
        <w:t>: Self-assessment of fitness status (need for capital renovation and/or at risk of collapse) of housing for rural areas – by ethnicity</w:t>
      </w:r>
    </w:p>
    <w:p w14:paraId="20760242" w14:textId="1F2F919D" w:rsidR="00837434" w:rsidRDefault="00914E0C" w:rsidP="00C1269A">
      <w:pPr>
        <w:rPr>
          <w:rFonts w:cstheme="minorHAnsi"/>
          <w:b/>
          <w:bCs/>
          <w:i/>
          <w:iCs/>
        </w:rPr>
      </w:pPr>
      <w:r>
        <w:rPr>
          <w:noProof/>
        </w:rPr>
        <w:drawing>
          <wp:inline distT="0" distB="0" distL="0" distR="0" wp14:anchorId="3FC92B6C" wp14:editId="53B9AACA">
            <wp:extent cx="5819775" cy="2743200"/>
            <wp:effectExtent l="0" t="0" r="9525" b="0"/>
            <wp:docPr id="129" name="Chart 129">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8286D9F" w14:textId="2B572C27" w:rsidR="00914E0C" w:rsidRDefault="00914E0C" w:rsidP="00914E0C">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4A45A70A" w14:textId="6D26006C" w:rsidR="00C34557" w:rsidRDefault="00C34557" w:rsidP="00914E0C">
      <w:pPr>
        <w:ind w:right="-990"/>
        <w:jc w:val="both"/>
        <w:rPr>
          <w:i/>
          <w:iCs/>
          <w:color w:val="44546A" w:themeColor="text2"/>
          <w:sz w:val="18"/>
          <w:szCs w:val="18"/>
        </w:rPr>
      </w:pPr>
    </w:p>
    <w:p w14:paraId="65EB2E9C" w14:textId="0A680EC9" w:rsidR="00C34557" w:rsidRDefault="00C34557" w:rsidP="00914E0C">
      <w:pPr>
        <w:ind w:right="-990"/>
        <w:jc w:val="both"/>
        <w:rPr>
          <w:i/>
          <w:iCs/>
          <w:color w:val="44546A" w:themeColor="text2"/>
          <w:sz w:val="18"/>
          <w:szCs w:val="18"/>
        </w:rPr>
      </w:pPr>
    </w:p>
    <w:p w14:paraId="550BEF03" w14:textId="45DD368F" w:rsidR="00C34557" w:rsidRDefault="00C34557" w:rsidP="00914E0C">
      <w:pPr>
        <w:ind w:right="-990"/>
        <w:jc w:val="both"/>
        <w:rPr>
          <w:i/>
          <w:iCs/>
          <w:color w:val="44546A" w:themeColor="text2"/>
          <w:sz w:val="18"/>
          <w:szCs w:val="18"/>
        </w:rPr>
      </w:pPr>
    </w:p>
    <w:p w14:paraId="5282D813" w14:textId="00A83FBA" w:rsidR="00C34557" w:rsidRDefault="00C34557" w:rsidP="00914E0C">
      <w:pPr>
        <w:ind w:right="-990"/>
        <w:jc w:val="both"/>
        <w:rPr>
          <w:i/>
          <w:iCs/>
          <w:color w:val="44546A" w:themeColor="text2"/>
          <w:sz w:val="18"/>
          <w:szCs w:val="18"/>
        </w:rPr>
      </w:pPr>
    </w:p>
    <w:p w14:paraId="51A1687C" w14:textId="38323371" w:rsidR="00C34557" w:rsidRDefault="00C34557" w:rsidP="00914E0C">
      <w:pPr>
        <w:ind w:right="-990"/>
        <w:jc w:val="both"/>
        <w:rPr>
          <w:i/>
          <w:iCs/>
          <w:color w:val="44546A" w:themeColor="text2"/>
          <w:sz w:val="18"/>
          <w:szCs w:val="18"/>
        </w:rPr>
      </w:pPr>
    </w:p>
    <w:p w14:paraId="78EC458C" w14:textId="77777777" w:rsidR="00C34557" w:rsidRDefault="00C34557" w:rsidP="00914E0C">
      <w:pPr>
        <w:ind w:right="-990"/>
        <w:jc w:val="both"/>
        <w:rPr>
          <w:rFonts w:cstheme="minorHAnsi"/>
          <w:color w:val="FF0000"/>
        </w:rPr>
      </w:pPr>
    </w:p>
    <w:p w14:paraId="0DB30736" w14:textId="7360D719" w:rsidR="00914E0C" w:rsidRDefault="00914E0C" w:rsidP="00454C26">
      <w:pPr>
        <w:pStyle w:val="Caption"/>
        <w:rPr>
          <w:rFonts w:cstheme="minorHAnsi"/>
          <w:b/>
          <w:bCs/>
          <w:i w:val="0"/>
          <w:iCs w:val="0"/>
        </w:rPr>
      </w:pPr>
      <w:r>
        <w:lastRenderedPageBreak/>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67</w:t>
      </w:r>
      <w:r w:rsidR="009E6455">
        <w:rPr>
          <w:noProof/>
        </w:rPr>
        <w:fldChar w:fldCharType="end"/>
      </w:r>
      <w:r>
        <w:t>: The share of households living in houses at risk of collapse in urban areas – by ethnicity</w:t>
      </w:r>
    </w:p>
    <w:p w14:paraId="715E0B99" w14:textId="4DDDFF18" w:rsidR="00107E8E" w:rsidRDefault="00914E0C" w:rsidP="00C1269A">
      <w:pPr>
        <w:rPr>
          <w:noProof/>
        </w:rPr>
      </w:pPr>
      <w:r>
        <w:rPr>
          <w:noProof/>
        </w:rPr>
        <w:drawing>
          <wp:inline distT="0" distB="0" distL="0" distR="0" wp14:anchorId="37187CA3" wp14:editId="0B1D13E1">
            <wp:extent cx="5781675" cy="3381375"/>
            <wp:effectExtent l="0" t="0" r="9525" b="9525"/>
            <wp:docPr id="130" name="Chart 130">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Del="00914E0C">
        <w:rPr>
          <w:noProof/>
        </w:rPr>
        <w:t xml:space="preserve"> </w:t>
      </w:r>
    </w:p>
    <w:p w14:paraId="5AFA7895" w14:textId="49F4E803" w:rsidR="00914E0C" w:rsidRDefault="00914E0C" w:rsidP="00914E0C">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537594C7" w14:textId="77777777" w:rsidR="00914E0C" w:rsidRPr="00454C26" w:rsidRDefault="00914E0C" w:rsidP="00454C26">
      <w:pPr>
        <w:ind w:right="-990"/>
        <w:jc w:val="both"/>
        <w:rPr>
          <w:rFonts w:cstheme="minorHAnsi"/>
          <w:color w:val="FF0000"/>
        </w:rPr>
      </w:pPr>
    </w:p>
    <w:p w14:paraId="25CFDA54" w14:textId="6A14D88C" w:rsidR="00914E0C" w:rsidRDefault="00914E0C" w:rsidP="00454C26">
      <w:pPr>
        <w:pStyle w:val="Caption"/>
        <w:rPr>
          <w:rFonts w:cstheme="minorHAnsi"/>
          <w:b/>
          <w:bCs/>
          <w:i w:val="0"/>
          <w:iCs w:val="0"/>
        </w:rPr>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sidR="006B5103">
        <w:rPr>
          <w:noProof/>
        </w:rPr>
        <w:t>68</w:t>
      </w:r>
      <w:r w:rsidR="009E6455">
        <w:rPr>
          <w:noProof/>
        </w:rPr>
        <w:fldChar w:fldCharType="end"/>
      </w:r>
      <w:r>
        <w:t>:  The share of households living in houses at risk of collapse in rural areas – by ethnicity</w:t>
      </w:r>
    </w:p>
    <w:p w14:paraId="71B21452" w14:textId="03D92B43" w:rsidR="00107E8E" w:rsidRDefault="00914E0C" w:rsidP="00C1269A">
      <w:pPr>
        <w:rPr>
          <w:noProof/>
        </w:rPr>
      </w:pPr>
      <w:r>
        <w:rPr>
          <w:noProof/>
        </w:rPr>
        <w:drawing>
          <wp:inline distT="0" distB="0" distL="0" distR="0" wp14:anchorId="7E9672DF" wp14:editId="05840587">
            <wp:extent cx="5705475" cy="3048000"/>
            <wp:effectExtent l="0" t="0" r="9525" b="0"/>
            <wp:docPr id="131" name="Chart 13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Del="00914E0C">
        <w:rPr>
          <w:noProof/>
        </w:rPr>
        <w:t xml:space="preserve"> </w:t>
      </w:r>
    </w:p>
    <w:p w14:paraId="356473D8" w14:textId="77777777" w:rsidR="00914E0C" w:rsidRDefault="00914E0C" w:rsidP="00914E0C">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31F5DF6" w14:textId="77777777" w:rsidR="00914E0C" w:rsidRDefault="00914E0C" w:rsidP="00C1269A">
      <w:pPr>
        <w:rPr>
          <w:rFonts w:cstheme="minorHAnsi"/>
          <w:b/>
          <w:bCs/>
          <w:i/>
          <w:iCs/>
        </w:rPr>
      </w:pPr>
    </w:p>
    <w:p w14:paraId="64E2F346" w14:textId="428D782C" w:rsidR="00001CF2" w:rsidRPr="00454C26" w:rsidRDefault="00107E8E" w:rsidP="00454C26">
      <w:pPr>
        <w:jc w:val="both"/>
        <w:rPr>
          <w:rFonts w:cstheme="minorHAnsi"/>
        </w:rPr>
      </w:pPr>
      <w:r w:rsidRPr="00454C26">
        <w:rPr>
          <w:rFonts w:cstheme="minorHAnsi"/>
        </w:rPr>
        <w:lastRenderedPageBreak/>
        <w:t>A further investigation of these pattern</w:t>
      </w:r>
      <w:r w:rsidR="00001CF2" w:rsidRPr="00454C26">
        <w:rPr>
          <w:rFonts w:cstheme="minorHAnsi"/>
        </w:rPr>
        <w:t>s might be worth considering.</w:t>
      </w:r>
    </w:p>
    <w:p w14:paraId="439650F9" w14:textId="3639DD13" w:rsidR="00C1269A" w:rsidRDefault="00C1269A" w:rsidP="00C1269A">
      <w:pPr>
        <w:rPr>
          <w:rFonts w:cstheme="minorHAnsi"/>
          <w:b/>
          <w:bCs/>
          <w:i/>
          <w:iCs/>
        </w:rPr>
      </w:pPr>
      <w:r>
        <w:rPr>
          <w:rFonts w:cstheme="minorHAnsi"/>
          <w:b/>
          <w:bCs/>
          <w:i/>
          <w:iCs/>
        </w:rPr>
        <w:t>H</w:t>
      </w:r>
      <w:r w:rsidR="00B66D18" w:rsidRPr="006066AB">
        <w:rPr>
          <w:rFonts w:cstheme="minorHAnsi"/>
          <w:b/>
          <w:bCs/>
          <w:i/>
          <w:iCs/>
        </w:rPr>
        <w:t>ouseholds living in overcrowded spaces</w:t>
      </w:r>
    </w:p>
    <w:p w14:paraId="76093938" w14:textId="0D9F5DFE" w:rsidR="000E69CF" w:rsidRDefault="00794588" w:rsidP="00976D0B">
      <w:pPr>
        <w:jc w:val="both"/>
        <w:rPr>
          <w:rFonts w:cstheme="minorHAnsi"/>
        </w:rPr>
      </w:pPr>
      <w:r>
        <w:rPr>
          <w:rFonts w:cstheme="minorHAnsi"/>
        </w:rPr>
        <w:t>The disaggregate analysis of overcrowding confirms the</w:t>
      </w:r>
      <w:r w:rsidR="004D2C40">
        <w:rPr>
          <w:rFonts w:cstheme="minorHAnsi"/>
        </w:rPr>
        <w:t xml:space="preserve"> existence of the downward trend highlighted in the previous section. </w:t>
      </w:r>
    </w:p>
    <w:p w14:paraId="5662E5B9" w14:textId="77777777" w:rsidR="003C2946" w:rsidRDefault="004D2C40" w:rsidP="00976D0B">
      <w:pPr>
        <w:jc w:val="both"/>
        <w:rPr>
          <w:rFonts w:cstheme="minorHAnsi"/>
        </w:rPr>
      </w:pPr>
      <w:r>
        <w:rPr>
          <w:rFonts w:cstheme="minorHAnsi"/>
        </w:rPr>
        <w:t xml:space="preserve">The only notable insights from the disaggregated analysis is that </w:t>
      </w:r>
      <w:r w:rsidR="00DC61D1">
        <w:rPr>
          <w:rFonts w:cstheme="minorHAnsi"/>
        </w:rPr>
        <w:t xml:space="preserve">for all vulnerable groups the situation has been </w:t>
      </w:r>
      <w:r w:rsidR="00310B3B">
        <w:rPr>
          <w:rFonts w:cstheme="minorHAnsi"/>
        </w:rPr>
        <w:t>converging towards</w:t>
      </w:r>
      <w:r w:rsidR="00DC61D1">
        <w:rPr>
          <w:rFonts w:cstheme="minorHAnsi"/>
        </w:rPr>
        <w:t xml:space="preserve"> the </w:t>
      </w:r>
      <w:r w:rsidR="00310B3B">
        <w:rPr>
          <w:rFonts w:cstheme="minorHAnsi"/>
        </w:rPr>
        <w:t xml:space="preserve">(declining) </w:t>
      </w:r>
      <w:r w:rsidR="00DC61D1">
        <w:rPr>
          <w:rFonts w:cstheme="minorHAnsi"/>
        </w:rPr>
        <w:t>national average over time</w:t>
      </w:r>
      <w:r w:rsidR="00E80C7D">
        <w:rPr>
          <w:rFonts w:cstheme="minorHAnsi"/>
        </w:rPr>
        <w:t xml:space="preserve">, which </w:t>
      </w:r>
      <w:r w:rsidR="006109BB">
        <w:rPr>
          <w:rFonts w:cstheme="minorHAnsi"/>
        </w:rPr>
        <w:t>leads to a significant reduction in the</w:t>
      </w:r>
      <w:r w:rsidR="00310B3B">
        <w:rPr>
          <w:rFonts w:cstheme="minorHAnsi"/>
        </w:rPr>
        <w:t xml:space="preserve"> </w:t>
      </w:r>
      <w:r w:rsidR="00B710A2">
        <w:rPr>
          <w:rFonts w:cstheme="minorHAnsi"/>
        </w:rPr>
        <w:t xml:space="preserve">share of households living in overcrowded spaces. </w:t>
      </w:r>
    </w:p>
    <w:p w14:paraId="233AD231" w14:textId="28327A3E" w:rsidR="00EA6A80" w:rsidRDefault="003C2946" w:rsidP="00976D0B">
      <w:pPr>
        <w:jc w:val="both"/>
        <w:rPr>
          <w:rFonts w:cstheme="minorHAnsi"/>
        </w:rPr>
      </w:pPr>
      <w:r>
        <w:rPr>
          <w:rFonts w:cstheme="minorHAnsi"/>
        </w:rPr>
        <w:t xml:space="preserve">Only one of the subcategories of the population under analysis shows a different trend, and only when we look at </w:t>
      </w:r>
      <w:r w:rsidR="0021680A">
        <w:rPr>
          <w:rFonts w:cstheme="minorHAnsi"/>
        </w:rPr>
        <w:t>urban</w:t>
      </w:r>
      <w:r>
        <w:rPr>
          <w:rFonts w:cstheme="minorHAnsi"/>
        </w:rPr>
        <w:t xml:space="preserve"> areas adopting the UN definition. As </w:t>
      </w:r>
      <w:r w:rsidR="0087782B">
        <w:rPr>
          <w:rFonts w:cstheme="minorHAnsi"/>
        </w:rPr>
        <w:t xml:space="preserve">it can be seen in </w:t>
      </w:r>
      <w:r w:rsidR="006B5103">
        <w:rPr>
          <w:rFonts w:cstheme="minorHAnsi"/>
        </w:rPr>
        <w:t>F</w:t>
      </w:r>
      <w:r w:rsidR="0087782B">
        <w:rPr>
          <w:rFonts w:cstheme="minorHAnsi"/>
        </w:rPr>
        <w:t>igure</w:t>
      </w:r>
      <w:r w:rsidR="006B5103">
        <w:rPr>
          <w:rFonts w:cstheme="minorHAnsi"/>
        </w:rPr>
        <w:t xml:space="preserve"> 69</w:t>
      </w:r>
      <w:r w:rsidR="00EA6A80">
        <w:rPr>
          <w:rFonts w:cstheme="minorHAnsi"/>
        </w:rPr>
        <w:t xml:space="preserve"> below</w:t>
      </w:r>
      <w:r w:rsidR="0087782B">
        <w:rPr>
          <w:rFonts w:cstheme="minorHAnsi"/>
        </w:rPr>
        <w:t xml:space="preserve"> this category is that of ethnically mixed households, </w:t>
      </w:r>
      <w:r w:rsidR="00EA6A80">
        <w:rPr>
          <w:rFonts w:cstheme="minorHAnsi"/>
        </w:rPr>
        <w:t xml:space="preserve">where no declining </w:t>
      </w:r>
      <w:r w:rsidR="00614EF9">
        <w:rPr>
          <w:rFonts w:cstheme="minorHAnsi"/>
        </w:rPr>
        <w:t xml:space="preserve">(or even increasing) </w:t>
      </w:r>
      <w:r w:rsidR="00EA6A80">
        <w:rPr>
          <w:rFonts w:cstheme="minorHAnsi"/>
        </w:rPr>
        <w:t>trend can be observed.</w:t>
      </w:r>
      <w:r w:rsidR="00614EF9">
        <w:rPr>
          <w:rFonts w:cstheme="minorHAnsi"/>
        </w:rPr>
        <w:t xml:space="preserve"> </w:t>
      </w:r>
    </w:p>
    <w:p w14:paraId="35BDE55E" w14:textId="1281E422" w:rsidR="006B5103" w:rsidRDefault="006B5103" w:rsidP="00454C26">
      <w:pPr>
        <w:pStyle w:val="Caption"/>
        <w:rPr>
          <w:rFonts w:cstheme="minorHAnsi"/>
        </w:rPr>
      </w:pPr>
      <w:r>
        <w:t xml:space="preserve">Figure </w:t>
      </w:r>
      <w:r w:rsidR="009E6455">
        <w:rPr>
          <w:noProof/>
        </w:rPr>
        <w:fldChar w:fldCharType="begin"/>
      </w:r>
      <w:r w:rsidR="009E6455">
        <w:rPr>
          <w:noProof/>
        </w:rPr>
        <w:instrText xml:space="preserve"> SEQ Figure \* ARABIC </w:instrText>
      </w:r>
      <w:r w:rsidR="009E6455">
        <w:rPr>
          <w:noProof/>
        </w:rPr>
        <w:fldChar w:fldCharType="separate"/>
      </w:r>
      <w:r>
        <w:rPr>
          <w:noProof/>
        </w:rPr>
        <w:t>69</w:t>
      </w:r>
      <w:r w:rsidR="009E6455">
        <w:rPr>
          <w:noProof/>
        </w:rPr>
        <w:fldChar w:fldCharType="end"/>
      </w:r>
      <w:r>
        <w:t xml:space="preserve">: </w:t>
      </w:r>
      <w:r w:rsidRPr="00454C26">
        <w:t>The share of households living in overcrowded houses</w:t>
      </w:r>
      <w:r>
        <w:t xml:space="preserve"> in urban areas – by ethnicity</w:t>
      </w:r>
    </w:p>
    <w:p w14:paraId="7962394E" w14:textId="3388582B" w:rsidR="00614EF9" w:rsidRDefault="006B5103" w:rsidP="00976D0B">
      <w:pPr>
        <w:jc w:val="both"/>
        <w:rPr>
          <w:noProof/>
        </w:rPr>
      </w:pPr>
      <w:r w:rsidRPr="006B5103">
        <w:rPr>
          <w:noProof/>
        </w:rPr>
        <w:t xml:space="preserve"> </w:t>
      </w:r>
      <w:r>
        <w:rPr>
          <w:noProof/>
        </w:rPr>
        <w:drawing>
          <wp:inline distT="0" distB="0" distL="0" distR="0" wp14:anchorId="08D0EBC1" wp14:editId="6080C0A9">
            <wp:extent cx="5762625" cy="3486150"/>
            <wp:effectExtent l="0" t="0" r="9525" b="0"/>
            <wp:docPr id="133" name="Chart 133">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D299C50" w14:textId="183D3B38" w:rsidR="002E4305" w:rsidRPr="00454C26" w:rsidRDefault="001B26ED" w:rsidP="00454C26">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5E591B2" w14:textId="683ED637" w:rsidR="004D2C40" w:rsidRDefault="00614EF9" w:rsidP="00976D0B">
      <w:pPr>
        <w:jc w:val="both"/>
        <w:rPr>
          <w:rFonts w:cstheme="minorHAnsi"/>
        </w:rPr>
      </w:pPr>
      <w:r>
        <w:rPr>
          <w:rFonts w:cstheme="minorHAnsi"/>
        </w:rPr>
        <w:t xml:space="preserve">All the other </w:t>
      </w:r>
      <w:r w:rsidR="00B710A2">
        <w:rPr>
          <w:rFonts w:cstheme="minorHAnsi"/>
        </w:rPr>
        <w:t>disaggregated figures relative to overcrowding can be found in the Annex section.</w:t>
      </w:r>
    </w:p>
    <w:p w14:paraId="5A7C116D" w14:textId="77777777" w:rsidR="00C1269A" w:rsidRDefault="00C1269A">
      <w:pPr>
        <w:rPr>
          <w:rFonts w:asciiTheme="majorHAnsi" w:eastAsiaTheme="majorEastAsia" w:hAnsiTheme="majorHAnsi" w:cstheme="majorBidi"/>
          <w:color w:val="2E74B5" w:themeColor="accent1" w:themeShade="BF"/>
          <w:sz w:val="26"/>
          <w:szCs w:val="26"/>
        </w:rPr>
      </w:pPr>
      <w:r>
        <w:br w:type="page"/>
      </w:r>
    </w:p>
    <w:p w14:paraId="52871C15" w14:textId="4E7ADCF9" w:rsidR="00D74D8C" w:rsidRDefault="00D74D8C" w:rsidP="00D74D8C">
      <w:pPr>
        <w:pStyle w:val="Heading2"/>
        <w:jc w:val="both"/>
      </w:pPr>
      <w:r>
        <w:lastRenderedPageBreak/>
        <w:t>Summary and conclusions</w:t>
      </w:r>
    </w:p>
    <w:p w14:paraId="5C221B38" w14:textId="5947C894" w:rsidR="003F5D0A" w:rsidRDefault="003F5D0A" w:rsidP="00976D0B">
      <w:pPr>
        <w:jc w:val="both"/>
        <w:rPr>
          <w:rFonts w:cstheme="minorHAnsi"/>
        </w:rPr>
      </w:pPr>
    </w:p>
    <w:p w14:paraId="34539F74" w14:textId="0D3AA972" w:rsidR="00F308A2" w:rsidRDefault="00207726" w:rsidP="00454C26">
      <w:pPr>
        <w:pStyle w:val="ListParagraph"/>
        <w:numPr>
          <w:ilvl w:val="0"/>
          <w:numId w:val="24"/>
        </w:numPr>
        <w:jc w:val="both"/>
        <w:rPr>
          <w:rFonts w:cstheme="minorHAnsi"/>
        </w:rPr>
      </w:pPr>
      <w:r>
        <w:rPr>
          <w:rFonts w:cstheme="minorHAnsi"/>
        </w:rPr>
        <w:t xml:space="preserve">Our review of </w:t>
      </w:r>
      <w:r w:rsidR="00621091">
        <w:rPr>
          <w:rFonts w:cstheme="minorHAnsi"/>
        </w:rPr>
        <w:t>the</w:t>
      </w:r>
      <w:r>
        <w:rPr>
          <w:rFonts w:cstheme="minorHAnsi"/>
        </w:rPr>
        <w:t xml:space="preserve"> </w:t>
      </w:r>
      <w:r w:rsidR="00621091">
        <w:rPr>
          <w:rFonts w:cstheme="minorHAnsi"/>
        </w:rPr>
        <w:t xml:space="preserve">theoretical and empirical </w:t>
      </w:r>
      <w:r>
        <w:rPr>
          <w:rFonts w:cstheme="minorHAnsi"/>
        </w:rPr>
        <w:t xml:space="preserve">literature </w:t>
      </w:r>
      <w:r w:rsidR="00621091">
        <w:rPr>
          <w:rFonts w:cstheme="minorHAnsi"/>
        </w:rPr>
        <w:t>about the</w:t>
      </w:r>
      <w:r w:rsidR="00F308A2">
        <w:rPr>
          <w:rFonts w:cstheme="minorHAnsi"/>
        </w:rPr>
        <w:t xml:space="preserve"> issue of unstable housing</w:t>
      </w:r>
      <w:r w:rsidR="00563A96">
        <w:rPr>
          <w:rFonts w:cstheme="minorHAnsi"/>
        </w:rPr>
        <w:t xml:space="preserve"> shows that the issue</w:t>
      </w:r>
      <w:r w:rsidR="00F308A2">
        <w:rPr>
          <w:rFonts w:cstheme="minorHAnsi"/>
        </w:rPr>
        <w:t xml:space="preserve"> is relevant from social as well as economic perspectives</w:t>
      </w:r>
      <w:r w:rsidR="00677CE8">
        <w:rPr>
          <w:rFonts w:cstheme="minorHAnsi"/>
        </w:rPr>
        <w:t>;</w:t>
      </w:r>
    </w:p>
    <w:p w14:paraId="25B4B663" w14:textId="1E8325A6" w:rsidR="00677CE8" w:rsidRDefault="00F53D44" w:rsidP="00454C26">
      <w:pPr>
        <w:pStyle w:val="ListParagraph"/>
        <w:numPr>
          <w:ilvl w:val="0"/>
          <w:numId w:val="24"/>
        </w:numPr>
        <w:jc w:val="both"/>
        <w:rPr>
          <w:rFonts w:cstheme="minorHAnsi"/>
        </w:rPr>
      </w:pPr>
      <w:r>
        <w:rPr>
          <w:rFonts w:cstheme="minorHAnsi"/>
        </w:rPr>
        <w:t xml:space="preserve">In general, </w:t>
      </w:r>
      <w:r w:rsidR="00AC6DB6">
        <w:rPr>
          <w:rFonts w:cstheme="minorHAnsi"/>
        </w:rPr>
        <w:t>d</w:t>
      </w:r>
      <w:r w:rsidR="00677CE8">
        <w:rPr>
          <w:rFonts w:cstheme="minorHAnsi"/>
        </w:rPr>
        <w:t xml:space="preserve">ue to the presence of spillovers </w:t>
      </w:r>
      <w:r>
        <w:rPr>
          <w:rFonts w:cstheme="minorHAnsi"/>
        </w:rPr>
        <w:t>and potential market failures there</w:t>
      </w:r>
      <w:r w:rsidR="00677CE8">
        <w:rPr>
          <w:rFonts w:cstheme="minorHAnsi"/>
        </w:rPr>
        <w:t xml:space="preserve"> is a clear </w:t>
      </w:r>
      <w:r>
        <w:rPr>
          <w:rFonts w:cstheme="minorHAnsi"/>
        </w:rPr>
        <w:t>role</w:t>
      </w:r>
      <w:r w:rsidR="00677CE8">
        <w:rPr>
          <w:rFonts w:cstheme="minorHAnsi"/>
        </w:rPr>
        <w:t xml:space="preserve"> for government intervention</w:t>
      </w:r>
      <w:r>
        <w:rPr>
          <w:rFonts w:cstheme="minorHAnsi"/>
        </w:rPr>
        <w:t>;</w:t>
      </w:r>
    </w:p>
    <w:p w14:paraId="3512A648" w14:textId="41F4F5EB" w:rsidR="00AC6DB6" w:rsidRDefault="00AC6DB6" w:rsidP="00454C26">
      <w:pPr>
        <w:pStyle w:val="ListParagraph"/>
        <w:numPr>
          <w:ilvl w:val="0"/>
          <w:numId w:val="24"/>
        </w:numPr>
        <w:jc w:val="both"/>
        <w:rPr>
          <w:rFonts w:cstheme="minorHAnsi"/>
        </w:rPr>
      </w:pPr>
      <w:r>
        <w:rPr>
          <w:rFonts w:cstheme="minorHAnsi"/>
        </w:rPr>
        <w:t xml:space="preserve">The review of evidence about the </w:t>
      </w:r>
      <w:r w:rsidR="005347CB">
        <w:rPr>
          <w:rFonts w:cstheme="minorHAnsi"/>
        </w:rPr>
        <w:t xml:space="preserve">phenomenon of </w:t>
      </w:r>
      <w:r>
        <w:rPr>
          <w:rFonts w:cstheme="minorHAnsi"/>
        </w:rPr>
        <w:t xml:space="preserve">unstable housing </w:t>
      </w:r>
      <w:r w:rsidR="005347CB">
        <w:rPr>
          <w:rFonts w:cstheme="minorHAnsi"/>
        </w:rPr>
        <w:t xml:space="preserve">in Georgia </w:t>
      </w:r>
      <w:r w:rsidR="00B46C09">
        <w:rPr>
          <w:rFonts w:cstheme="minorHAnsi"/>
        </w:rPr>
        <w:t>led to the following conclusions:</w:t>
      </w:r>
    </w:p>
    <w:p w14:paraId="55E265DB" w14:textId="125B47ED" w:rsidR="00B46C09" w:rsidRDefault="00B46C09" w:rsidP="00454C26">
      <w:pPr>
        <w:pStyle w:val="ListParagraph"/>
        <w:numPr>
          <w:ilvl w:val="1"/>
          <w:numId w:val="24"/>
        </w:numPr>
        <w:jc w:val="both"/>
        <w:rPr>
          <w:rFonts w:cstheme="minorHAnsi"/>
        </w:rPr>
      </w:pPr>
      <w:r>
        <w:rPr>
          <w:rFonts w:cstheme="minorHAnsi"/>
        </w:rPr>
        <w:t>The incidence of rooflessness in the country is relatively limited</w:t>
      </w:r>
      <w:r w:rsidR="00BD151A">
        <w:rPr>
          <w:rFonts w:cstheme="minorHAnsi"/>
        </w:rPr>
        <w:t>. However, a proper analysis of the phenomenon</w:t>
      </w:r>
      <w:r w:rsidR="00FB4C25">
        <w:rPr>
          <w:rFonts w:cstheme="minorHAnsi"/>
        </w:rPr>
        <w:t xml:space="preserve"> would require the collection and dissemination of more and higher quality information</w:t>
      </w:r>
      <w:r>
        <w:rPr>
          <w:rFonts w:cstheme="minorHAnsi"/>
        </w:rPr>
        <w:t>;</w:t>
      </w:r>
    </w:p>
    <w:p w14:paraId="52E30A5D" w14:textId="240A3BA0" w:rsidR="001D0CC4" w:rsidRDefault="001D0CC4" w:rsidP="00454C26">
      <w:pPr>
        <w:pStyle w:val="ListParagraph"/>
        <w:numPr>
          <w:ilvl w:val="1"/>
          <w:numId w:val="24"/>
        </w:numPr>
        <w:jc w:val="both"/>
        <w:rPr>
          <w:rFonts w:cstheme="minorHAnsi"/>
        </w:rPr>
      </w:pPr>
      <w:r>
        <w:rPr>
          <w:rFonts w:cstheme="minorHAnsi"/>
        </w:rPr>
        <w:t xml:space="preserve">The system of assistance to </w:t>
      </w:r>
      <w:r w:rsidR="00143FE1">
        <w:rPr>
          <w:rFonts w:cstheme="minorHAnsi"/>
        </w:rPr>
        <w:t>support households and individuals exposed to unstable housing is fragmented and uncoordinated. This limits its effectiveness;</w:t>
      </w:r>
    </w:p>
    <w:p w14:paraId="601C67AA" w14:textId="6F82DFA1" w:rsidR="00B46C09" w:rsidRDefault="00FA1022" w:rsidP="00454C26">
      <w:pPr>
        <w:pStyle w:val="ListParagraph"/>
        <w:numPr>
          <w:ilvl w:val="1"/>
          <w:numId w:val="24"/>
        </w:numPr>
        <w:jc w:val="both"/>
        <w:rPr>
          <w:rFonts w:cstheme="minorHAnsi"/>
        </w:rPr>
      </w:pPr>
      <w:r>
        <w:rPr>
          <w:rFonts w:cstheme="minorHAnsi"/>
        </w:rPr>
        <w:t>Potential h</w:t>
      </w:r>
      <w:r w:rsidR="00B46C09">
        <w:rPr>
          <w:rFonts w:cstheme="minorHAnsi"/>
        </w:rPr>
        <w:t>omelessness</w:t>
      </w:r>
      <w:r w:rsidR="00810B13">
        <w:rPr>
          <w:rFonts w:cstheme="minorHAnsi"/>
        </w:rPr>
        <w:t xml:space="preserve"> appear</w:t>
      </w:r>
      <w:r w:rsidR="00EB6A42">
        <w:rPr>
          <w:rFonts w:cstheme="minorHAnsi"/>
        </w:rPr>
        <w:t>s</w:t>
      </w:r>
      <w:r w:rsidR="00810B13">
        <w:rPr>
          <w:rFonts w:cstheme="minorHAnsi"/>
        </w:rPr>
        <w:t xml:space="preserve"> to be an issue for vulnerable categories not covered by social assistance of any kind (e.g. </w:t>
      </w:r>
      <w:r w:rsidR="004974A3">
        <w:rPr>
          <w:rFonts w:cstheme="minorHAnsi"/>
        </w:rPr>
        <w:t>substance abusers) or for other categories that are covered just for limited periods of time</w:t>
      </w:r>
      <w:r w:rsidR="00881948">
        <w:rPr>
          <w:rFonts w:cstheme="minorHAnsi"/>
        </w:rPr>
        <w:t xml:space="preserve"> (e.g. victims of violence – numbers on the rise)</w:t>
      </w:r>
      <w:r w:rsidR="004974A3">
        <w:rPr>
          <w:rFonts w:cstheme="minorHAnsi"/>
        </w:rPr>
        <w:t>. The absence of follow up monitoring and/or specific housing assistance increases the likelihood of</w:t>
      </w:r>
      <w:r w:rsidR="00881948">
        <w:rPr>
          <w:rFonts w:cstheme="minorHAnsi"/>
        </w:rPr>
        <w:t xml:space="preserve"> these groups falling into</w:t>
      </w:r>
      <w:r w:rsidR="004974A3">
        <w:rPr>
          <w:rFonts w:cstheme="minorHAnsi"/>
        </w:rPr>
        <w:t xml:space="preserve"> </w:t>
      </w:r>
      <w:r w:rsidR="00881948">
        <w:rPr>
          <w:rFonts w:cstheme="minorHAnsi"/>
        </w:rPr>
        <w:t>unstable housing</w:t>
      </w:r>
      <w:r w:rsidR="00EB6A42">
        <w:rPr>
          <w:rFonts w:cstheme="minorHAnsi"/>
        </w:rPr>
        <w:t>;</w:t>
      </w:r>
    </w:p>
    <w:p w14:paraId="575E6D59" w14:textId="728F68EA" w:rsidR="00483363" w:rsidRDefault="00263506" w:rsidP="00483363">
      <w:pPr>
        <w:pStyle w:val="ListParagraph"/>
        <w:numPr>
          <w:ilvl w:val="1"/>
          <w:numId w:val="24"/>
        </w:numPr>
        <w:jc w:val="both"/>
        <w:rPr>
          <w:rFonts w:cstheme="minorHAnsi"/>
        </w:rPr>
      </w:pPr>
      <w:r>
        <w:rPr>
          <w:rFonts w:cstheme="minorHAnsi"/>
        </w:rPr>
        <w:t>A substantial share of households live</w:t>
      </w:r>
      <w:r w:rsidR="00754A4B">
        <w:rPr>
          <w:rFonts w:cstheme="minorHAnsi"/>
        </w:rPr>
        <w:t>s</w:t>
      </w:r>
      <w:r>
        <w:rPr>
          <w:rFonts w:cstheme="minorHAnsi"/>
        </w:rPr>
        <w:t xml:space="preserve"> in houses that are unfit and need substantial renovation. This is a phenomenon that affects mostly </w:t>
      </w:r>
      <w:r w:rsidR="00754A4B">
        <w:rPr>
          <w:rFonts w:cstheme="minorHAnsi"/>
        </w:rPr>
        <w:t xml:space="preserve">households in the lowest quartile of the income distribution. </w:t>
      </w:r>
      <w:r w:rsidR="00F54222">
        <w:rPr>
          <w:rFonts w:cstheme="minorHAnsi"/>
        </w:rPr>
        <w:t xml:space="preserve">The most pressing and crucial challenge in this area is </w:t>
      </w:r>
      <w:r w:rsidR="005F58BA">
        <w:rPr>
          <w:rFonts w:cstheme="minorHAnsi"/>
        </w:rPr>
        <w:t>reducing the share of households living in houses at risk of collapse. Again, the most exposed to this risk are the poorest families that cannot afford either to move or to</w:t>
      </w:r>
      <w:r w:rsidR="00BD151A">
        <w:rPr>
          <w:rFonts w:cstheme="minorHAnsi"/>
        </w:rPr>
        <w:t xml:space="preserve"> fix the house</w:t>
      </w:r>
      <w:r w:rsidR="004E09CD">
        <w:rPr>
          <w:rFonts w:cstheme="minorHAnsi"/>
        </w:rPr>
        <w:t>;</w:t>
      </w:r>
    </w:p>
    <w:p w14:paraId="45607481" w14:textId="3DAB0646" w:rsidR="004E09CD" w:rsidRPr="00454C26" w:rsidRDefault="004E09CD" w:rsidP="00454C26">
      <w:pPr>
        <w:pStyle w:val="ListParagraph"/>
        <w:numPr>
          <w:ilvl w:val="1"/>
          <w:numId w:val="24"/>
        </w:numPr>
        <w:jc w:val="both"/>
        <w:rPr>
          <w:rFonts w:cstheme="minorHAnsi"/>
        </w:rPr>
      </w:pPr>
      <w:r>
        <w:rPr>
          <w:rFonts w:cstheme="minorHAnsi"/>
        </w:rPr>
        <w:t>The condition of IDPs seems to have improved significantly over time, however for a more precise assessment it would be necessary to have access to the most updated and comprehensive data about this category.</w:t>
      </w:r>
    </w:p>
    <w:p w14:paraId="7CBC2942" w14:textId="3B505A06" w:rsidR="00BD151A" w:rsidRDefault="00BD151A" w:rsidP="00454C26">
      <w:pPr>
        <w:pStyle w:val="ListParagraph"/>
        <w:numPr>
          <w:ilvl w:val="0"/>
          <w:numId w:val="24"/>
        </w:numPr>
        <w:jc w:val="both"/>
        <w:rPr>
          <w:rFonts w:cstheme="minorHAnsi"/>
        </w:rPr>
      </w:pPr>
      <w:r>
        <w:rPr>
          <w:rFonts w:cstheme="minorHAnsi"/>
        </w:rPr>
        <w:t>On the basis of our findings the government should</w:t>
      </w:r>
      <w:r w:rsidR="002435A6">
        <w:rPr>
          <w:rFonts w:cstheme="minorHAnsi"/>
        </w:rPr>
        <w:t xml:space="preserve"> focus on the following actions:</w:t>
      </w:r>
    </w:p>
    <w:p w14:paraId="37E4710D" w14:textId="23822312" w:rsidR="00143FE1" w:rsidRPr="00454C26" w:rsidRDefault="002435A6" w:rsidP="00454C26">
      <w:pPr>
        <w:pStyle w:val="ListParagraph"/>
        <w:numPr>
          <w:ilvl w:val="1"/>
          <w:numId w:val="24"/>
        </w:numPr>
        <w:jc w:val="both"/>
        <w:rPr>
          <w:rFonts w:cstheme="minorHAnsi"/>
        </w:rPr>
      </w:pPr>
      <w:r w:rsidRPr="00143FE1">
        <w:rPr>
          <w:rFonts w:cstheme="minorHAnsi"/>
        </w:rPr>
        <w:t>Streamlining and strengthening the data collection efforts to measure and monitor the phenomena of rooflessness and homelessness</w:t>
      </w:r>
      <w:r w:rsidR="000146C7">
        <w:rPr>
          <w:rFonts w:cstheme="minorHAnsi"/>
        </w:rPr>
        <w:t xml:space="preserve"> (common standards of data collection and reporting)</w:t>
      </w:r>
      <w:r w:rsidRPr="00143FE1">
        <w:rPr>
          <w:rFonts w:cstheme="minorHAnsi"/>
        </w:rPr>
        <w:t>;</w:t>
      </w:r>
    </w:p>
    <w:p w14:paraId="7E406001" w14:textId="495D8320" w:rsidR="000146C7" w:rsidRPr="00454C26" w:rsidRDefault="00143FE1" w:rsidP="00454C26">
      <w:pPr>
        <w:pStyle w:val="ListParagraph"/>
        <w:numPr>
          <w:ilvl w:val="1"/>
          <w:numId w:val="24"/>
        </w:numPr>
        <w:jc w:val="both"/>
        <w:rPr>
          <w:rFonts w:cstheme="minorHAnsi"/>
        </w:rPr>
      </w:pPr>
      <w:r w:rsidRPr="00143FE1">
        <w:rPr>
          <w:rFonts w:cstheme="minorHAnsi"/>
        </w:rPr>
        <w:t xml:space="preserve">Streamlining and strengthening </w:t>
      </w:r>
      <w:r>
        <w:rPr>
          <w:rFonts w:cstheme="minorHAnsi"/>
        </w:rPr>
        <w:t xml:space="preserve">the </w:t>
      </w:r>
      <w:r w:rsidR="000146C7">
        <w:rPr>
          <w:rFonts w:cstheme="minorHAnsi"/>
        </w:rPr>
        <w:t>system of assistance/support to households and individuals exposed to unstable housing (common/coordinated strategy);</w:t>
      </w:r>
    </w:p>
    <w:p w14:paraId="237C49CE" w14:textId="152ABC69" w:rsidR="00BD5583" w:rsidRPr="00454C26" w:rsidRDefault="00BD5583" w:rsidP="00454C26">
      <w:pPr>
        <w:pStyle w:val="ListParagraph"/>
        <w:numPr>
          <w:ilvl w:val="1"/>
          <w:numId w:val="24"/>
        </w:numPr>
        <w:jc w:val="both"/>
        <w:rPr>
          <w:rFonts w:cstheme="minorHAnsi"/>
        </w:rPr>
      </w:pPr>
      <w:r>
        <w:rPr>
          <w:rFonts w:cstheme="minorHAnsi"/>
        </w:rPr>
        <w:t>Adopting the provision of stable housing as a primary goal, not just as a goal subordinated to other types of social assistance</w:t>
      </w:r>
      <w:r w:rsidR="00AF61CE">
        <w:rPr>
          <w:rFonts w:cstheme="minorHAnsi"/>
        </w:rPr>
        <w:t xml:space="preserve">. This would </w:t>
      </w:r>
      <w:r w:rsidR="005A3245">
        <w:rPr>
          <w:rFonts w:cstheme="minorHAnsi"/>
        </w:rPr>
        <w:t xml:space="preserve">assure the coverage of categories currently not officially supported by any social program providing also housing support (such as victims of substance abuse) </w:t>
      </w:r>
      <w:r w:rsidR="0076050C">
        <w:rPr>
          <w:rFonts w:cstheme="minorHAnsi"/>
        </w:rPr>
        <w:t xml:space="preserve">and of those covered by social programs but just for limited periods of time. In turn, this would </w:t>
      </w:r>
      <w:r w:rsidR="00BC5C98">
        <w:rPr>
          <w:rFonts w:cstheme="minorHAnsi"/>
        </w:rPr>
        <w:t xml:space="preserve">likely </w:t>
      </w:r>
      <w:r w:rsidR="00AF61CE">
        <w:rPr>
          <w:rFonts w:cstheme="minorHAnsi"/>
        </w:rPr>
        <w:t xml:space="preserve">reduce the vulnerability of </w:t>
      </w:r>
      <w:r w:rsidR="0076050C">
        <w:rPr>
          <w:rFonts w:cstheme="minorHAnsi"/>
        </w:rPr>
        <w:t xml:space="preserve">potentially </w:t>
      </w:r>
      <w:r w:rsidR="00AF61CE">
        <w:rPr>
          <w:rFonts w:cstheme="minorHAnsi"/>
        </w:rPr>
        <w:t>roofless and</w:t>
      </w:r>
      <w:r w:rsidR="00F1024C">
        <w:rPr>
          <w:rFonts w:cstheme="minorHAnsi"/>
        </w:rPr>
        <w:t xml:space="preserve"> homeless </w:t>
      </w:r>
      <w:r w:rsidR="0076050C">
        <w:rPr>
          <w:rFonts w:cstheme="minorHAnsi"/>
        </w:rPr>
        <w:t xml:space="preserve">individuals and households </w:t>
      </w:r>
      <w:r w:rsidR="00BC5C98">
        <w:rPr>
          <w:rFonts w:cstheme="minorHAnsi"/>
        </w:rPr>
        <w:t xml:space="preserve">to unstable housing, reduce the negative </w:t>
      </w:r>
      <w:r w:rsidR="00310935">
        <w:rPr>
          <w:rFonts w:cstheme="minorHAnsi"/>
        </w:rPr>
        <w:t xml:space="preserve">socio-economic </w:t>
      </w:r>
      <w:r w:rsidR="00BC5C98">
        <w:rPr>
          <w:rFonts w:cstheme="minorHAnsi"/>
        </w:rPr>
        <w:t xml:space="preserve">consequences of </w:t>
      </w:r>
      <w:r w:rsidR="00310935">
        <w:rPr>
          <w:rFonts w:cstheme="minorHAnsi"/>
        </w:rPr>
        <w:t>homelessness and the risk of relapse into homelessnes</w:t>
      </w:r>
      <w:r w:rsidR="00E72FBC">
        <w:rPr>
          <w:rFonts w:cstheme="minorHAnsi"/>
        </w:rPr>
        <w:t>s [see example of housing first, in USA and its effectiveness in tackling the homelessness issue – Annex A…]</w:t>
      </w:r>
      <w:r w:rsidR="007E35B1">
        <w:rPr>
          <w:rFonts w:cstheme="minorHAnsi"/>
        </w:rPr>
        <w:t>;</w:t>
      </w:r>
    </w:p>
    <w:p w14:paraId="7B1A9159" w14:textId="238ACCC8" w:rsidR="007E35B1" w:rsidRPr="00454C26" w:rsidRDefault="007E35B1" w:rsidP="00454C26">
      <w:pPr>
        <w:pStyle w:val="ListParagraph"/>
        <w:numPr>
          <w:ilvl w:val="1"/>
          <w:numId w:val="24"/>
        </w:numPr>
        <w:jc w:val="both"/>
        <w:rPr>
          <w:rFonts w:cstheme="minorHAnsi"/>
        </w:rPr>
      </w:pPr>
      <w:r>
        <w:rPr>
          <w:rFonts w:cstheme="minorHAnsi"/>
        </w:rPr>
        <w:lastRenderedPageBreak/>
        <w:t>Conduct a thorough screening of the housing stock</w:t>
      </w:r>
      <w:r w:rsidR="003A0584">
        <w:rPr>
          <w:rFonts w:cstheme="minorHAnsi"/>
        </w:rPr>
        <w:t>,</w:t>
      </w:r>
      <w:r>
        <w:rPr>
          <w:rFonts w:cstheme="minorHAnsi"/>
        </w:rPr>
        <w:t xml:space="preserve"> particularly of the houses at risk of collapse, giving priority to </w:t>
      </w:r>
      <w:r w:rsidR="00ED2A54">
        <w:rPr>
          <w:rFonts w:cstheme="minorHAnsi"/>
        </w:rPr>
        <w:t>ensure households</w:t>
      </w:r>
      <w:r w:rsidR="006A1CD0">
        <w:rPr>
          <w:rFonts w:cstheme="minorHAnsi"/>
        </w:rPr>
        <w:t xml:space="preserve"> (particularly poor households) </w:t>
      </w:r>
      <w:r w:rsidR="00ED2A54">
        <w:rPr>
          <w:rFonts w:cstheme="minorHAnsi"/>
        </w:rPr>
        <w:t>living in such houses receive support to move out,</w:t>
      </w:r>
      <w:r w:rsidR="006A1CD0">
        <w:rPr>
          <w:rFonts w:cstheme="minorHAnsi"/>
        </w:rPr>
        <w:t xml:space="preserve"> as quickly as possible,</w:t>
      </w:r>
      <w:r w:rsidR="00ED2A54">
        <w:rPr>
          <w:rFonts w:cstheme="minorHAnsi"/>
        </w:rPr>
        <w:t xml:space="preserve"> to safer buildings.</w:t>
      </w:r>
    </w:p>
    <w:p w14:paraId="1FFDBFF4" w14:textId="6F111ADC" w:rsidR="00C1269A" w:rsidRPr="00143FE1" w:rsidRDefault="00C1269A" w:rsidP="00454C26">
      <w:pPr>
        <w:pStyle w:val="ListParagraph"/>
        <w:numPr>
          <w:ilvl w:val="1"/>
          <w:numId w:val="24"/>
        </w:numPr>
        <w:jc w:val="both"/>
        <w:rPr>
          <w:rFonts w:asciiTheme="majorHAnsi" w:eastAsiaTheme="majorEastAsia" w:hAnsiTheme="majorHAnsi" w:cstheme="majorBidi"/>
          <w:color w:val="2E74B5" w:themeColor="accent1" w:themeShade="BF"/>
          <w:sz w:val="26"/>
          <w:szCs w:val="26"/>
        </w:rPr>
      </w:pPr>
      <w:r>
        <w:br w:type="page"/>
      </w:r>
    </w:p>
    <w:p w14:paraId="66C4CA58" w14:textId="1EDED6D2" w:rsidR="00C179DF" w:rsidRPr="00B650E4" w:rsidRDefault="00683E3C" w:rsidP="00454C26">
      <w:pPr>
        <w:pStyle w:val="Heading2"/>
        <w:jc w:val="both"/>
      </w:pPr>
      <w:r w:rsidRPr="008870ED">
        <w:lastRenderedPageBreak/>
        <w:t>ANNEXES</w:t>
      </w:r>
    </w:p>
    <w:p w14:paraId="058D6C84" w14:textId="4030A0A8" w:rsidR="00C179DF" w:rsidRPr="00C179DF" w:rsidRDefault="003610CD">
      <w:pPr>
        <w:pStyle w:val="Heading2"/>
        <w:jc w:val="both"/>
      </w:pPr>
      <w:r>
        <w:t xml:space="preserve">ANNEX A. </w:t>
      </w:r>
      <w:r w:rsidR="00C179DF">
        <w:t>Tables and figures</w:t>
      </w:r>
    </w:p>
    <w:p w14:paraId="01B6FE42" w14:textId="7BC9404B" w:rsidR="00003F02" w:rsidRPr="00E562C9" w:rsidRDefault="00E562C9" w:rsidP="00E562C9">
      <w:pPr>
        <w:pStyle w:val="Caption"/>
        <w:jc w:val="both"/>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1</w:t>
      </w:r>
      <w:r w:rsidR="00D656F6">
        <w:rPr>
          <w:noProof/>
        </w:rPr>
        <w:fldChar w:fldCharType="end"/>
      </w:r>
      <w:r>
        <w:t xml:space="preserve">: </w:t>
      </w:r>
      <w:r w:rsidR="00C97410">
        <w:t>The share of households exceeding the unaffordability threshold</w:t>
      </w:r>
      <w:r w:rsidR="00792A30">
        <w:t xml:space="preserve"> (imaginary rent /</w:t>
      </w:r>
      <w:r w:rsidR="008C3A8A">
        <w:t xml:space="preserve"> (I</w:t>
      </w:r>
      <w:r w:rsidR="00792A30">
        <w:t>ncome+ imaginary rent</w:t>
      </w:r>
      <w:r w:rsidR="008C3A8A">
        <w:t>)</w:t>
      </w:r>
      <w:r w:rsidR="00792A30">
        <w:t>)</w:t>
      </w:r>
      <w:r w:rsidR="00AC4266">
        <w:t xml:space="preserve"> in urban areas</w:t>
      </w:r>
      <w:r>
        <w:t xml:space="preserve"> – by income quartile</w:t>
      </w:r>
      <w:r w:rsidR="00C97410">
        <w:t xml:space="preserve">  </w:t>
      </w:r>
      <w:r>
        <w:t xml:space="preserve"> </w:t>
      </w:r>
    </w:p>
    <w:p w14:paraId="776948FE" w14:textId="23A27177" w:rsidR="00003F02" w:rsidRDefault="00683E3C" w:rsidP="00683E3C">
      <w:pPr>
        <w:rPr>
          <w:noProof/>
        </w:rPr>
      </w:pPr>
      <w:r>
        <w:rPr>
          <w:noProof/>
        </w:rPr>
        <w:drawing>
          <wp:inline distT="0" distB="0" distL="0" distR="0" wp14:anchorId="6D4292B9" wp14:editId="2E03B7CC">
            <wp:extent cx="5724525" cy="3253740"/>
            <wp:effectExtent l="0" t="0" r="9525" b="3810"/>
            <wp:docPr id="76" name="Grafico 76">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9E7A658" w14:textId="39667ECD" w:rsidR="0066387E"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CA1551A" w14:textId="374D6C60" w:rsidR="00E562C9" w:rsidRDefault="00E562C9" w:rsidP="00E562C9">
      <w:pPr>
        <w:pStyle w:val="Caption"/>
        <w:jc w:val="both"/>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w:t>
      </w:r>
      <w:r w:rsidR="00D656F6">
        <w:rPr>
          <w:noProof/>
        </w:rPr>
        <w:fldChar w:fldCharType="end"/>
      </w:r>
      <w:r>
        <w:t>: The share of households exceeding the unaffordability threshold</w:t>
      </w:r>
      <w:r w:rsidR="00792A30">
        <w:t xml:space="preserve"> </w:t>
      </w:r>
      <w:r w:rsidR="008C3A8A">
        <w:t>(</w:t>
      </w:r>
      <w:r w:rsidR="00792A30">
        <w:t>(imaginary rent + exp</w:t>
      </w:r>
      <w:r w:rsidR="008C3A8A">
        <w:t>enditure)</w:t>
      </w:r>
      <w:r w:rsidR="00792A30">
        <w:t xml:space="preserve"> </w:t>
      </w:r>
      <w:proofErr w:type="gramStart"/>
      <w:r w:rsidR="00792A30">
        <w:t>/</w:t>
      </w:r>
      <w:r w:rsidR="008C3A8A">
        <w:t>(</w:t>
      </w:r>
      <w:proofErr w:type="gramEnd"/>
      <w:r w:rsidR="00792A30">
        <w:t>income+ imaginary rent</w:t>
      </w:r>
      <w:r w:rsidR="008C3A8A">
        <w:t>)</w:t>
      </w:r>
      <w:r w:rsidR="00792A30">
        <w:t>)</w:t>
      </w:r>
      <w:r w:rsidR="002A7ADC">
        <w:t xml:space="preserve"> in rural areas</w:t>
      </w:r>
      <w:r>
        <w:t xml:space="preserve"> – by income quartile </w:t>
      </w:r>
    </w:p>
    <w:p w14:paraId="44E44349" w14:textId="124A8CB8" w:rsidR="00003F02" w:rsidRDefault="00683E3C" w:rsidP="00683E3C">
      <w:pPr>
        <w:rPr>
          <w:noProof/>
        </w:rPr>
      </w:pPr>
      <w:r>
        <w:rPr>
          <w:noProof/>
        </w:rPr>
        <w:drawing>
          <wp:inline distT="0" distB="0" distL="0" distR="0" wp14:anchorId="5FAED8DC" wp14:editId="102EE60B">
            <wp:extent cx="5705475" cy="3267075"/>
            <wp:effectExtent l="0" t="0" r="9525" b="9525"/>
            <wp:docPr id="83" name="Grafico 83">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Pr="00174144">
        <w:rPr>
          <w:noProof/>
        </w:rPr>
        <w:t xml:space="preserve"> </w:t>
      </w:r>
    </w:p>
    <w:p w14:paraId="51051D26" w14:textId="467CEA60" w:rsidR="0066387E" w:rsidRPr="0066387E" w:rsidRDefault="0066387E" w:rsidP="0066387E">
      <w:pPr>
        <w:ind w:right="-990"/>
        <w:jc w:val="both"/>
        <w:rPr>
          <w:rFonts w:cstheme="minorHAnsi"/>
          <w:color w:val="FF0000"/>
        </w:rPr>
      </w:pPr>
      <w:r>
        <w:rPr>
          <w:i/>
          <w:iCs/>
          <w:color w:val="44546A" w:themeColor="text2"/>
          <w:sz w:val="18"/>
          <w:szCs w:val="18"/>
        </w:rPr>
        <w:lastRenderedPageBreak/>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D817062" w14:textId="35A46846" w:rsidR="00E562C9" w:rsidRPr="008B4594" w:rsidRDefault="00E562C9" w:rsidP="008B4594">
      <w:pPr>
        <w:pStyle w:val="Caption"/>
        <w:jc w:val="both"/>
        <w:rPr>
          <w:rFonts w:cstheme="minorHAnsi"/>
        </w:rPr>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3</w:t>
      </w:r>
      <w:r w:rsidR="00D656F6">
        <w:rPr>
          <w:noProof/>
        </w:rPr>
        <w:fldChar w:fldCharType="end"/>
      </w:r>
      <w:r>
        <w:t>: The share of households exceeding the unaffordability threshold</w:t>
      </w:r>
      <w:r w:rsidR="00792A30">
        <w:t xml:space="preserve"> (</w:t>
      </w:r>
      <w:r w:rsidR="008C3A8A">
        <w:t>(</w:t>
      </w:r>
      <w:r w:rsidR="00792A30">
        <w:t>imaginary rent + exp</w:t>
      </w:r>
      <w:r w:rsidR="008C3A8A">
        <w:t>enditure)</w:t>
      </w:r>
      <w:r w:rsidR="00792A30">
        <w:t xml:space="preserve"> /</w:t>
      </w:r>
      <w:r w:rsidR="008C3A8A">
        <w:t xml:space="preserve"> (</w:t>
      </w:r>
      <w:r w:rsidR="00792A30">
        <w:t>income+ imaginary rent</w:t>
      </w:r>
      <w:r w:rsidR="008C3A8A">
        <w:t>)</w:t>
      </w:r>
      <w:r w:rsidR="00792A30">
        <w:t>)</w:t>
      </w:r>
      <w:r w:rsidR="002A7ADC">
        <w:t xml:space="preserve"> in urban areas</w:t>
      </w:r>
      <w:r>
        <w:t xml:space="preserve"> – by income quartile </w:t>
      </w:r>
    </w:p>
    <w:p w14:paraId="423B5297" w14:textId="41383799" w:rsidR="00003F02" w:rsidRDefault="00683E3C" w:rsidP="00683E3C">
      <w:pPr>
        <w:rPr>
          <w:noProof/>
        </w:rPr>
      </w:pPr>
      <w:r>
        <w:rPr>
          <w:noProof/>
        </w:rPr>
        <w:drawing>
          <wp:inline distT="0" distB="0" distL="0" distR="0" wp14:anchorId="29408539" wp14:editId="2B43B03A">
            <wp:extent cx="5724525" cy="3253740"/>
            <wp:effectExtent l="0" t="0" r="9525" b="3810"/>
            <wp:docPr id="38" name="Grafico 38">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24B9B071" w14:textId="18C8A9EA" w:rsidR="0066387E"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83D4DD7" w14:textId="02B2CF12" w:rsidR="00E562C9" w:rsidRDefault="00E562C9" w:rsidP="00E562C9">
      <w:pPr>
        <w:pStyle w:val="Caption"/>
        <w:jc w:val="both"/>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4</w:t>
      </w:r>
      <w:r w:rsidR="00D656F6">
        <w:rPr>
          <w:noProof/>
        </w:rPr>
        <w:fldChar w:fldCharType="end"/>
      </w:r>
      <w:r>
        <w:t>: The share of households exceeding the unaffordability threshold</w:t>
      </w:r>
      <w:r w:rsidR="00792A30">
        <w:t xml:space="preserve"> (</w:t>
      </w:r>
      <w:r w:rsidR="008C3A8A">
        <w:t>(</w:t>
      </w:r>
      <w:r w:rsidR="00792A30">
        <w:t>imaginary rent + exp</w:t>
      </w:r>
      <w:r w:rsidR="008C3A8A">
        <w:t>enditure)</w:t>
      </w:r>
      <w:r w:rsidR="00792A30">
        <w:t xml:space="preserve"> /</w:t>
      </w:r>
      <w:r w:rsidR="008C3A8A">
        <w:t xml:space="preserve"> (</w:t>
      </w:r>
      <w:r w:rsidR="00792A30">
        <w:t>income+ imaginary rent</w:t>
      </w:r>
      <w:r w:rsidR="008C3A8A">
        <w:t>)</w:t>
      </w:r>
      <w:r w:rsidR="00792A30">
        <w:t>)</w:t>
      </w:r>
      <w:r w:rsidR="002A7ADC">
        <w:t xml:space="preserve"> in rural areas</w:t>
      </w:r>
      <w:r>
        <w:t xml:space="preserve"> – by income quartile </w:t>
      </w:r>
    </w:p>
    <w:p w14:paraId="54FF9D4E" w14:textId="2FB4B420" w:rsidR="00683E3C" w:rsidRDefault="00683E3C" w:rsidP="00683E3C">
      <w:pPr>
        <w:rPr>
          <w:noProof/>
        </w:rPr>
      </w:pPr>
      <w:r>
        <w:rPr>
          <w:noProof/>
        </w:rPr>
        <w:drawing>
          <wp:inline distT="0" distB="0" distL="0" distR="0" wp14:anchorId="5ECC76B6" wp14:editId="181D1B80">
            <wp:extent cx="5753100" cy="3267075"/>
            <wp:effectExtent l="0" t="0" r="0" b="9525"/>
            <wp:docPr id="39" name="Grafico 39">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Pr="00832B7F">
        <w:rPr>
          <w:noProof/>
        </w:rPr>
        <w:t xml:space="preserve"> </w:t>
      </w:r>
    </w:p>
    <w:p w14:paraId="02F67F8B" w14:textId="68B0B64C" w:rsidR="00E562C9"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7E6947C" w14:textId="3FB00301" w:rsidR="0014722D" w:rsidRPr="00AB1080" w:rsidRDefault="00E562C9" w:rsidP="00AB1080">
      <w:pPr>
        <w:pStyle w:val="Caption"/>
        <w:rPr>
          <w:noProof/>
        </w:rPr>
      </w:pPr>
      <w:r>
        <w:lastRenderedPageBreak/>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5</w:t>
      </w:r>
      <w:r w:rsidR="00D656F6">
        <w:rPr>
          <w:noProof/>
        </w:rPr>
        <w:fldChar w:fldCharType="end"/>
      </w:r>
      <w:r w:rsidR="00AB1080">
        <w:t xml:space="preserve">: </w:t>
      </w:r>
      <w:r w:rsidR="007E1276">
        <w:t>The share of households exceeding the unaffordability threshold (rent /income)</w:t>
      </w:r>
      <w:r w:rsidR="002A7ADC">
        <w:t xml:space="preserve"> in urban areas</w:t>
      </w:r>
      <w:r w:rsidR="007E1276">
        <w:t xml:space="preserve"> – by vulnerable groups </w:t>
      </w:r>
    </w:p>
    <w:p w14:paraId="0267C0A5" w14:textId="5E4E5E85" w:rsidR="008870ED" w:rsidRDefault="00E95670" w:rsidP="008870ED">
      <w:pPr>
        <w:jc w:val="both"/>
        <w:rPr>
          <w:rFonts w:cstheme="minorHAnsi"/>
        </w:rPr>
      </w:pPr>
      <w:r>
        <w:rPr>
          <w:noProof/>
        </w:rPr>
        <w:drawing>
          <wp:inline distT="0" distB="0" distL="0" distR="0" wp14:anchorId="79B7A9E4" wp14:editId="15FD8B3D">
            <wp:extent cx="5867400" cy="3253740"/>
            <wp:effectExtent l="0" t="0" r="0" b="3810"/>
            <wp:docPr id="92" name="Grafico 92">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008870ED" w:rsidRPr="008870ED">
        <w:rPr>
          <w:rFonts w:cstheme="minorHAnsi"/>
        </w:rPr>
        <w:t xml:space="preserve"> </w:t>
      </w:r>
    </w:p>
    <w:p w14:paraId="7F8CF725" w14:textId="3028B550" w:rsidR="0066387E"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F30DE15" w14:textId="3DB9C93E" w:rsidR="008870ED" w:rsidRDefault="007E1276" w:rsidP="007E1276">
      <w:pPr>
        <w:pStyle w:val="Caption"/>
        <w:jc w:val="both"/>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6</w:t>
      </w:r>
      <w:r w:rsidR="00D656F6">
        <w:rPr>
          <w:noProof/>
        </w:rPr>
        <w:fldChar w:fldCharType="end"/>
      </w:r>
      <w:r>
        <w:t xml:space="preserve"> : The share of households exceeding the unaffordability threshold (rent /income)</w:t>
      </w:r>
      <w:r w:rsidR="002A7ADC">
        <w:t xml:space="preserve"> groups in rural areas</w:t>
      </w:r>
      <w:r>
        <w:t xml:space="preserve"> – by vulnerable </w:t>
      </w:r>
      <w:r w:rsidR="002A7ADC">
        <w:t>groups</w:t>
      </w:r>
    </w:p>
    <w:p w14:paraId="4D93EC5C" w14:textId="24C07A75" w:rsidR="00E95670" w:rsidRDefault="00E95670" w:rsidP="00E95670">
      <w:r>
        <w:rPr>
          <w:noProof/>
        </w:rPr>
        <w:drawing>
          <wp:inline distT="0" distB="0" distL="0" distR="0" wp14:anchorId="3AD35CEE" wp14:editId="59A0F206">
            <wp:extent cx="5867400" cy="3225165"/>
            <wp:effectExtent l="0" t="0" r="0" b="13335"/>
            <wp:docPr id="93" name="Grafico 93">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F71CD36"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EDF5AC4" w14:textId="7BDA8B6C" w:rsidR="00E95670" w:rsidRDefault="00E95670" w:rsidP="00E95670"/>
    <w:p w14:paraId="26815078" w14:textId="46F9B231" w:rsidR="008870ED" w:rsidRPr="008B4594" w:rsidRDefault="008B4594" w:rsidP="008B4594">
      <w:pPr>
        <w:pStyle w:val="Caption"/>
      </w:pPr>
      <w:r>
        <w:lastRenderedPageBreak/>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7</w:t>
      </w:r>
      <w:r w:rsidR="00D656F6">
        <w:rPr>
          <w:noProof/>
        </w:rPr>
        <w:fldChar w:fldCharType="end"/>
      </w:r>
      <w:r>
        <w:t>: The share of households exceeding the unaffordability threshold (</w:t>
      </w:r>
      <w:r w:rsidR="008C3A8A">
        <w:t>(</w:t>
      </w:r>
      <w:r>
        <w:t>rent+</w:t>
      </w:r>
      <w:r w:rsidR="00C34557">
        <w:t xml:space="preserve"> </w:t>
      </w:r>
      <w:r>
        <w:t>exp</w:t>
      </w:r>
      <w:r w:rsidR="00C34557">
        <w:t>enditure</w:t>
      </w:r>
      <w:r w:rsidR="008C3A8A">
        <w:t>)</w:t>
      </w:r>
      <w:r>
        <w:t xml:space="preserve"> /income)</w:t>
      </w:r>
      <w:r w:rsidR="00730215">
        <w:t xml:space="preserve"> in urban areas</w:t>
      </w:r>
      <w:r>
        <w:t xml:space="preserve"> – by vulnerable groups </w:t>
      </w:r>
    </w:p>
    <w:p w14:paraId="59FD338B" w14:textId="0A23A35A" w:rsidR="008870ED" w:rsidRDefault="00E95670" w:rsidP="00E95670">
      <w:r>
        <w:rPr>
          <w:noProof/>
        </w:rPr>
        <w:drawing>
          <wp:inline distT="0" distB="0" distL="0" distR="0" wp14:anchorId="0E71A8AC" wp14:editId="012311D8">
            <wp:extent cx="5724525" cy="3272790"/>
            <wp:effectExtent l="0" t="0" r="9525" b="3810"/>
            <wp:docPr id="94" name="Grafico 94">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43E6394" w14:textId="397030DC" w:rsidR="0066387E"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BCE63E1" w14:textId="51D04D65" w:rsidR="008B4594" w:rsidRDefault="008B4594" w:rsidP="008B4594">
      <w:pPr>
        <w:pStyle w:val="Caption"/>
        <w:rPr>
          <w:noProof/>
        </w:rPr>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8</w:t>
      </w:r>
      <w:r w:rsidR="00D656F6">
        <w:rPr>
          <w:noProof/>
        </w:rPr>
        <w:fldChar w:fldCharType="end"/>
      </w:r>
      <w:r>
        <w:t>:  The share of households exceeding the unaffordability threshold (</w:t>
      </w:r>
      <w:r w:rsidR="008C3A8A">
        <w:t>(</w:t>
      </w:r>
      <w:r>
        <w:t>rent+</w:t>
      </w:r>
      <w:r w:rsidR="00C34557">
        <w:t xml:space="preserve"> </w:t>
      </w:r>
      <w:r>
        <w:t>exp</w:t>
      </w:r>
      <w:r w:rsidR="00C34557">
        <w:t>enditure</w:t>
      </w:r>
      <w:r w:rsidR="008C3A8A">
        <w:t>)</w:t>
      </w:r>
      <w:r>
        <w:t xml:space="preserve"> /income)</w:t>
      </w:r>
      <w:r w:rsidR="00730215">
        <w:t xml:space="preserve"> in rural areas</w:t>
      </w:r>
      <w:r>
        <w:t xml:space="preserve"> – by vulnerable groups </w:t>
      </w:r>
    </w:p>
    <w:p w14:paraId="781FEB4A" w14:textId="200F33E7" w:rsidR="008870ED" w:rsidRDefault="00E95670" w:rsidP="00E95670">
      <w:r>
        <w:rPr>
          <w:noProof/>
        </w:rPr>
        <w:drawing>
          <wp:inline distT="0" distB="0" distL="0" distR="0" wp14:anchorId="496049C4" wp14:editId="3B344285">
            <wp:extent cx="5762625" cy="3196590"/>
            <wp:effectExtent l="0" t="0" r="9525" b="3810"/>
            <wp:docPr id="95" name="Grafico 95">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606FE0B" w14:textId="007ED6BD" w:rsidR="00E95670"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3562C0C" w14:textId="3BB75FC4" w:rsidR="008B4594" w:rsidRDefault="008B4594" w:rsidP="008B4594">
      <w:pPr>
        <w:pStyle w:val="Caption"/>
        <w:jc w:val="both"/>
      </w:pPr>
      <w:r>
        <w:lastRenderedPageBreak/>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9</w:t>
      </w:r>
      <w:r w:rsidR="00D656F6">
        <w:rPr>
          <w:noProof/>
        </w:rPr>
        <w:fldChar w:fldCharType="end"/>
      </w:r>
      <w:r>
        <w:t>:</w:t>
      </w:r>
      <w:r w:rsidRPr="008B4594">
        <w:t xml:space="preserve"> </w:t>
      </w:r>
      <w:r>
        <w:t>The share of households exceeding the</w:t>
      </w:r>
      <w:r w:rsidR="002F52DA">
        <w:t xml:space="preserve"> shadow</w:t>
      </w:r>
      <w:r>
        <w:t xml:space="preserve"> unaffordability threshold (imaginary rent </w:t>
      </w:r>
      <w:proofErr w:type="gramStart"/>
      <w:r>
        <w:t>/</w:t>
      </w:r>
      <w:r w:rsidR="008C3A8A">
        <w:t>(</w:t>
      </w:r>
      <w:proofErr w:type="gramEnd"/>
      <w:r>
        <w:t>income+</w:t>
      </w:r>
      <w:r w:rsidRPr="008B4594">
        <w:t xml:space="preserve"> </w:t>
      </w:r>
      <w:r>
        <w:t>imaginary rent</w:t>
      </w:r>
      <w:r w:rsidR="008C3A8A">
        <w:t>)</w:t>
      </w:r>
      <w:r>
        <w:t>)</w:t>
      </w:r>
      <w:r w:rsidR="00A16E57">
        <w:t xml:space="preserve"> in urban areas</w:t>
      </w:r>
      <w:r>
        <w:t xml:space="preserve"> – by vulnerable groups </w:t>
      </w:r>
    </w:p>
    <w:p w14:paraId="2C57FE6D" w14:textId="1D00C078" w:rsidR="008870ED" w:rsidRDefault="00E95670" w:rsidP="00E95670">
      <w:r>
        <w:rPr>
          <w:noProof/>
        </w:rPr>
        <w:drawing>
          <wp:inline distT="0" distB="0" distL="0" distR="0" wp14:anchorId="6A58FB23" wp14:editId="72A75351">
            <wp:extent cx="5850255" cy="3253740"/>
            <wp:effectExtent l="0" t="0" r="17145" b="3810"/>
            <wp:docPr id="96" name="Grafico 96">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0E46ABA" w14:textId="2D634A76" w:rsidR="0066387E"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B03C704" w14:textId="11783376" w:rsidR="008B4594" w:rsidRDefault="008B4594" w:rsidP="008B4594">
      <w:pPr>
        <w:pStyle w:val="Caption"/>
        <w:jc w:val="both"/>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10</w:t>
      </w:r>
      <w:r w:rsidR="00D656F6">
        <w:rPr>
          <w:noProof/>
        </w:rPr>
        <w:fldChar w:fldCharType="end"/>
      </w:r>
      <w:r>
        <w:t>: The share of households exceeding the</w:t>
      </w:r>
      <w:r w:rsidR="002F52DA">
        <w:t xml:space="preserve"> shadow</w:t>
      </w:r>
      <w:r>
        <w:t xml:space="preserve"> unaffordability threshold (imaginary rent /</w:t>
      </w:r>
      <w:r w:rsidR="008C3A8A">
        <w:t xml:space="preserve"> (</w:t>
      </w:r>
      <w:r>
        <w:t>income+</w:t>
      </w:r>
      <w:r w:rsidRPr="008B4594">
        <w:t xml:space="preserve"> </w:t>
      </w:r>
      <w:r>
        <w:t>imaginary rent</w:t>
      </w:r>
      <w:r w:rsidR="008C3A8A">
        <w:t>)</w:t>
      </w:r>
      <w:r>
        <w:t>)</w:t>
      </w:r>
      <w:r w:rsidR="00890982">
        <w:t xml:space="preserve"> in rural areas</w:t>
      </w:r>
      <w:r>
        <w:t xml:space="preserve"> – by vulnerable groups </w:t>
      </w:r>
    </w:p>
    <w:p w14:paraId="754CA3BD" w14:textId="552C5979" w:rsidR="00E95670" w:rsidRDefault="00E95670" w:rsidP="00E95670">
      <w:r>
        <w:rPr>
          <w:noProof/>
        </w:rPr>
        <w:drawing>
          <wp:inline distT="0" distB="0" distL="0" distR="0" wp14:anchorId="18342FF5" wp14:editId="25208247">
            <wp:extent cx="5850255" cy="3225165"/>
            <wp:effectExtent l="0" t="0" r="17145" b="13335"/>
            <wp:docPr id="97" name="Grafico 97">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343D323"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8328F43" w14:textId="2C07AA80" w:rsidR="00E95670" w:rsidRDefault="00E95670" w:rsidP="00E95670"/>
    <w:p w14:paraId="0DE036B5" w14:textId="63377A52" w:rsidR="008B4594" w:rsidRDefault="008B4594" w:rsidP="008B4594">
      <w:pPr>
        <w:pStyle w:val="Caption"/>
        <w:jc w:val="both"/>
      </w:pPr>
      <w:r>
        <w:lastRenderedPageBreak/>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11</w:t>
      </w:r>
      <w:r w:rsidR="00D656F6">
        <w:rPr>
          <w:noProof/>
        </w:rPr>
        <w:fldChar w:fldCharType="end"/>
      </w:r>
      <w:r w:rsidR="0033558E">
        <w:t xml:space="preserve"> : The share of households exceeding the </w:t>
      </w:r>
      <w:r w:rsidR="002F52DA">
        <w:t xml:space="preserve">extended shadow </w:t>
      </w:r>
      <w:r w:rsidR="0033558E">
        <w:t>unaffordability threshold (</w:t>
      </w:r>
      <w:r w:rsidR="008C3A8A">
        <w:t>(</w:t>
      </w:r>
      <w:r w:rsidR="0033558E">
        <w:t>imaginary rent+</w:t>
      </w:r>
      <w:r w:rsidR="00C34557">
        <w:t xml:space="preserve"> </w:t>
      </w:r>
      <w:r w:rsidR="0033558E">
        <w:t>exp</w:t>
      </w:r>
      <w:r w:rsidR="00C34557">
        <w:t>enditure</w:t>
      </w:r>
      <w:r w:rsidR="008C3A8A">
        <w:t>)</w:t>
      </w:r>
      <w:r w:rsidR="0033558E">
        <w:t xml:space="preserve"> /</w:t>
      </w:r>
      <w:r w:rsidR="008C3A8A">
        <w:t xml:space="preserve"> (</w:t>
      </w:r>
      <w:r w:rsidR="0033558E">
        <w:t>income+</w:t>
      </w:r>
      <w:r w:rsidR="0033558E" w:rsidRPr="008B4594">
        <w:t xml:space="preserve"> </w:t>
      </w:r>
      <w:r w:rsidR="0033558E">
        <w:t>imaginary rent</w:t>
      </w:r>
      <w:r w:rsidR="008C3A8A">
        <w:t>)</w:t>
      </w:r>
      <w:r w:rsidR="0033558E">
        <w:t>)</w:t>
      </w:r>
      <w:r w:rsidR="00890982">
        <w:t xml:space="preserve"> in urban areas</w:t>
      </w:r>
      <w:r w:rsidR="0033558E">
        <w:t xml:space="preserve"> – by vulnerable groups </w:t>
      </w:r>
    </w:p>
    <w:p w14:paraId="1A8FE55D" w14:textId="3D24C099" w:rsidR="008870ED" w:rsidRDefault="00E95670" w:rsidP="00E95670">
      <w:r>
        <w:rPr>
          <w:noProof/>
        </w:rPr>
        <w:drawing>
          <wp:inline distT="0" distB="0" distL="0" distR="0" wp14:anchorId="6B32A114" wp14:editId="105A5A74">
            <wp:extent cx="5867400" cy="3253740"/>
            <wp:effectExtent l="0" t="0" r="0" b="3810"/>
            <wp:docPr id="98" name="Grafico 98">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5FD8E17" w14:textId="72ED6CF0" w:rsidR="0066387E"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472EA2A" w14:textId="7810E67D" w:rsidR="0033558E" w:rsidRDefault="0033558E" w:rsidP="0033558E">
      <w:pPr>
        <w:pStyle w:val="Caption"/>
        <w:jc w:val="both"/>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12</w:t>
      </w:r>
      <w:r w:rsidR="00D656F6">
        <w:rPr>
          <w:noProof/>
        </w:rPr>
        <w:fldChar w:fldCharType="end"/>
      </w:r>
      <w:r w:rsidR="0005413D">
        <w:t>:  The share of households exceeding the</w:t>
      </w:r>
      <w:r w:rsidR="002F52DA">
        <w:t xml:space="preserve"> extended shadow</w:t>
      </w:r>
      <w:r w:rsidR="0005413D">
        <w:t xml:space="preserve"> unaffordability threshold (</w:t>
      </w:r>
      <w:r w:rsidR="008C3A8A">
        <w:t>(</w:t>
      </w:r>
      <w:r w:rsidR="0005413D">
        <w:t>imaginary rent+</w:t>
      </w:r>
      <w:r w:rsidR="00C34557">
        <w:t xml:space="preserve"> </w:t>
      </w:r>
      <w:r w:rsidR="0005413D">
        <w:t>exp</w:t>
      </w:r>
      <w:r w:rsidR="00C34557">
        <w:t>enditure</w:t>
      </w:r>
      <w:r w:rsidR="008C3A8A">
        <w:t>)</w:t>
      </w:r>
      <w:r w:rsidR="0005413D">
        <w:t xml:space="preserve"> /</w:t>
      </w:r>
      <w:r w:rsidR="008C3A8A">
        <w:t>(</w:t>
      </w:r>
      <w:r w:rsidR="0005413D">
        <w:t>income+</w:t>
      </w:r>
      <w:r w:rsidR="0005413D" w:rsidRPr="008B4594">
        <w:t xml:space="preserve"> </w:t>
      </w:r>
      <w:r w:rsidR="0005413D">
        <w:t>imaginary rent</w:t>
      </w:r>
      <w:r w:rsidR="008C3A8A">
        <w:t>)</w:t>
      </w:r>
      <w:r w:rsidR="0005413D">
        <w:t>)</w:t>
      </w:r>
      <w:r w:rsidR="00890982">
        <w:t xml:space="preserve"> in rural areas</w:t>
      </w:r>
      <w:r w:rsidR="0005413D">
        <w:t xml:space="preserve"> – by vulnerable groups </w:t>
      </w:r>
    </w:p>
    <w:p w14:paraId="66AEABB8" w14:textId="197922C2" w:rsidR="00E95670" w:rsidRDefault="00E95670" w:rsidP="00E95670">
      <w:r>
        <w:rPr>
          <w:noProof/>
        </w:rPr>
        <w:drawing>
          <wp:inline distT="0" distB="0" distL="0" distR="0" wp14:anchorId="754CD40D" wp14:editId="1F6FF49B">
            <wp:extent cx="5867400" cy="3225165"/>
            <wp:effectExtent l="0" t="0" r="0" b="13335"/>
            <wp:docPr id="99" name="Grafico 99">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B7DC688" w14:textId="2A449356" w:rsidR="0066387E" w:rsidRDefault="0066387E" w:rsidP="0066387E">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23D50BF5" w14:textId="3F3874F2" w:rsidR="006B5103" w:rsidRDefault="006B5103" w:rsidP="0066387E">
      <w:pPr>
        <w:ind w:right="-990"/>
        <w:jc w:val="both"/>
        <w:rPr>
          <w:i/>
          <w:iCs/>
          <w:color w:val="44546A" w:themeColor="text2"/>
          <w:sz w:val="18"/>
          <w:szCs w:val="18"/>
        </w:rPr>
      </w:pPr>
    </w:p>
    <w:p w14:paraId="573731C9" w14:textId="66B0444B" w:rsidR="0066387E" w:rsidRDefault="006B5103" w:rsidP="00454C26">
      <w:pPr>
        <w:pStyle w:val="Caption"/>
      </w:pPr>
      <w:r>
        <w:lastRenderedPageBreak/>
        <w:t>Figure A</w:t>
      </w:r>
      <w:r w:rsidR="009E6455">
        <w:rPr>
          <w:noProof/>
        </w:rPr>
        <w:fldChar w:fldCharType="begin"/>
      </w:r>
      <w:r w:rsidR="009E6455">
        <w:rPr>
          <w:noProof/>
        </w:rPr>
        <w:instrText xml:space="preserve"> SEQ Figure_A \* ARABIC </w:instrText>
      </w:r>
      <w:r w:rsidR="009E6455">
        <w:rPr>
          <w:noProof/>
        </w:rPr>
        <w:fldChar w:fldCharType="separate"/>
      </w:r>
      <w:r w:rsidR="001B26ED">
        <w:rPr>
          <w:noProof/>
        </w:rPr>
        <w:t>13</w:t>
      </w:r>
      <w:r w:rsidR="009E6455">
        <w:rPr>
          <w:noProof/>
        </w:rPr>
        <w:fldChar w:fldCharType="end"/>
      </w:r>
      <w:r>
        <w:t>:</w:t>
      </w:r>
      <w:r w:rsidR="001B26ED" w:rsidRPr="001B26ED">
        <w:t xml:space="preserve"> </w:t>
      </w:r>
      <w:r w:rsidR="001B26ED">
        <w:t>The share of households exceeding the shadow unaffordability threshold (imaginary rent /</w:t>
      </w:r>
      <w:r w:rsidR="008C3A8A">
        <w:t xml:space="preserve"> (</w:t>
      </w:r>
      <w:r w:rsidR="001B26ED">
        <w:t>income+</w:t>
      </w:r>
      <w:r w:rsidR="001B26ED" w:rsidRPr="008B4594">
        <w:t xml:space="preserve"> </w:t>
      </w:r>
      <w:r w:rsidR="001B26ED">
        <w:t>imaginary rent</w:t>
      </w:r>
      <w:r w:rsidR="008C3A8A">
        <w:t>)</w:t>
      </w:r>
      <w:r w:rsidR="001B26ED">
        <w:t>) in urban areas – by ethnicity</w:t>
      </w:r>
    </w:p>
    <w:p w14:paraId="737AC9F1" w14:textId="227EE726" w:rsidR="006B5103" w:rsidRDefault="008B2DE2" w:rsidP="00E95670">
      <w:r>
        <w:rPr>
          <w:noProof/>
        </w:rPr>
        <w:drawing>
          <wp:inline distT="0" distB="0" distL="0" distR="0" wp14:anchorId="2E2B589B" wp14:editId="44EC5A95">
            <wp:extent cx="5800725" cy="3171825"/>
            <wp:effectExtent l="0" t="0" r="9525" b="9525"/>
            <wp:docPr id="57" name="Grafico 57">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9766F26" w14:textId="02E5FDBF" w:rsidR="00674D24" w:rsidRPr="00454C26" w:rsidRDefault="00674D24" w:rsidP="00454C26">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68B5D4E7" w14:textId="28EEBA70" w:rsidR="006B5103" w:rsidRDefault="006B5103" w:rsidP="00454C26">
      <w:pPr>
        <w:pStyle w:val="Caption"/>
      </w:pPr>
      <w:r>
        <w:t>Figure A</w:t>
      </w:r>
      <w:r w:rsidR="009E6455">
        <w:rPr>
          <w:noProof/>
        </w:rPr>
        <w:fldChar w:fldCharType="begin"/>
      </w:r>
      <w:r w:rsidR="009E6455">
        <w:rPr>
          <w:noProof/>
        </w:rPr>
        <w:instrText xml:space="preserve"> SEQ Figure_A \* ARABIC </w:instrText>
      </w:r>
      <w:r w:rsidR="009E6455">
        <w:rPr>
          <w:noProof/>
        </w:rPr>
        <w:fldChar w:fldCharType="separate"/>
      </w:r>
      <w:r w:rsidR="001B26ED">
        <w:rPr>
          <w:noProof/>
        </w:rPr>
        <w:t>14</w:t>
      </w:r>
      <w:r w:rsidR="009E6455">
        <w:rPr>
          <w:noProof/>
        </w:rPr>
        <w:fldChar w:fldCharType="end"/>
      </w:r>
      <w:r w:rsidR="001B26ED">
        <w:t>: The share of households exceeding the shadow unaffordability threshold (imaginary rent /</w:t>
      </w:r>
      <w:r w:rsidR="008C3A8A">
        <w:t xml:space="preserve"> (</w:t>
      </w:r>
      <w:r w:rsidR="001B26ED">
        <w:t>income+</w:t>
      </w:r>
      <w:r w:rsidR="001B26ED" w:rsidRPr="008B4594">
        <w:t xml:space="preserve"> </w:t>
      </w:r>
      <w:r w:rsidR="001B26ED">
        <w:t>imaginary rent</w:t>
      </w:r>
      <w:r w:rsidR="008C3A8A">
        <w:t>)</w:t>
      </w:r>
      <w:r w:rsidR="001B26ED">
        <w:t>) in rural areas – by ethnicity</w:t>
      </w:r>
    </w:p>
    <w:p w14:paraId="14486320" w14:textId="54092882" w:rsidR="00F32604" w:rsidRDefault="008B2DE2" w:rsidP="00E95670">
      <w:r>
        <w:rPr>
          <w:noProof/>
        </w:rPr>
        <w:drawing>
          <wp:inline distT="0" distB="0" distL="0" distR="0" wp14:anchorId="356E95CB" wp14:editId="6E756AA1">
            <wp:extent cx="5829300" cy="3213735"/>
            <wp:effectExtent l="0" t="0" r="0" b="5715"/>
            <wp:docPr id="58" name="Grafico 58">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F2272CD" w14:textId="2092DB8C" w:rsidR="006B5103" w:rsidRDefault="00674D24" w:rsidP="00454C26">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CFD51A4" w14:textId="77777777" w:rsidR="00C34557" w:rsidRPr="00454C26" w:rsidRDefault="00C34557" w:rsidP="00454C26">
      <w:pPr>
        <w:ind w:right="-990"/>
        <w:jc w:val="both"/>
        <w:rPr>
          <w:rFonts w:cstheme="minorHAnsi"/>
          <w:color w:val="FF0000"/>
        </w:rPr>
      </w:pPr>
    </w:p>
    <w:p w14:paraId="1C3A7A08" w14:textId="6420604D" w:rsidR="006B5103" w:rsidRDefault="006B5103" w:rsidP="00454C26">
      <w:pPr>
        <w:pStyle w:val="Caption"/>
      </w:pPr>
      <w:r>
        <w:lastRenderedPageBreak/>
        <w:t>Figure A</w:t>
      </w:r>
      <w:r w:rsidR="009E6455">
        <w:rPr>
          <w:noProof/>
        </w:rPr>
        <w:fldChar w:fldCharType="begin"/>
      </w:r>
      <w:r w:rsidR="009E6455">
        <w:rPr>
          <w:noProof/>
        </w:rPr>
        <w:instrText xml:space="preserve"> SEQ Figure_A \* ARABIC </w:instrText>
      </w:r>
      <w:r w:rsidR="009E6455">
        <w:rPr>
          <w:noProof/>
        </w:rPr>
        <w:fldChar w:fldCharType="separate"/>
      </w:r>
      <w:r w:rsidR="001B26ED">
        <w:rPr>
          <w:noProof/>
        </w:rPr>
        <w:t>15</w:t>
      </w:r>
      <w:r w:rsidR="009E6455">
        <w:rPr>
          <w:noProof/>
        </w:rPr>
        <w:fldChar w:fldCharType="end"/>
      </w:r>
      <w:r>
        <w:t>:</w:t>
      </w:r>
      <w:r w:rsidR="001B26ED">
        <w:t xml:space="preserve"> The share of households exceeding the extended shadow unaffordability threshold (</w:t>
      </w:r>
      <w:r w:rsidR="008C3A8A">
        <w:t>(</w:t>
      </w:r>
      <w:r w:rsidR="001B26ED">
        <w:t>imaginary rent+</w:t>
      </w:r>
      <w:r w:rsidR="00C34557">
        <w:t xml:space="preserve"> </w:t>
      </w:r>
      <w:r w:rsidR="001B26ED">
        <w:t>exp</w:t>
      </w:r>
      <w:r w:rsidR="00C34557">
        <w:t>enditure</w:t>
      </w:r>
      <w:r w:rsidR="008C3A8A">
        <w:t>)</w:t>
      </w:r>
      <w:r w:rsidR="001B26ED">
        <w:t xml:space="preserve"> </w:t>
      </w:r>
      <w:proofErr w:type="gramStart"/>
      <w:r w:rsidR="001B26ED">
        <w:t>/</w:t>
      </w:r>
      <w:r w:rsidR="008C3A8A">
        <w:t>(</w:t>
      </w:r>
      <w:proofErr w:type="gramEnd"/>
      <w:r w:rsidR="001B26ED">
        <w:t>income+</w:t>
      </w:r>
      <w:r w:rsidR="001B26ED" w:rsidRPr="008B4594">
        <w:t xml:space="preserve"> </w:t>
      </w:r>
      <w:r w:rsidR="001B26ED">
        <w:t>imaginary rent</w:t>
      </w:r>
      <w:r w:rsidR="008C3A8A">
        <w:t>)</w:t>
      </w:r>
      <w:r w:rsidR="001B26ED">
        <w:t>) in urban areas – by ethnicity</w:t>
      </w:r>
      <w:r w:rsidR="00C34557">
        <w:t xml:space="preserve"> </w:t>
      </w:r>
    </w:p>
    <w:p w14:paraId="058B069D" w14:textId="61AD2D85" w:rsidR="006B5103" w:rsidRDefault="006A3265" w:rsidP="00E95670">
      <w:r>
        <w:rPr>
          <w:noProof/>
        </w:rPr>
        <w:drawing>
          <wp:inline distT="0" distB="0" distL="0" distR="0" wp14:anchorId="26E4374E" wp14:editId="1C2A7345">
            <wp:extent cx="5724525" cy="3253740"/>
            <wp:effectExtent l="0" t="0" r="9525" b="3810"/>
            <wp:docPr id="61" name="Grafico 61">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BB83755" w14:textId="0884DA99" w:rsidR="00674D24" w:rsidRPr="00454C26" w:rsidRDefault="00674D24" w:rsidP="00454C26">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C338942" w14:textId="64BB8191" w:rsidR="006B5103" w:rsidRDefault="006B5103" w:rsidP="00454C26">
      <w:pPr>
        <w:pStyle w:val="Caption"/>
      </w:pPr>
      <w:r>
        <w:t>Figure A</w:t>
      </w:r>
      <w:r w:rsidR="009E6455">
        <w:rPr>
          <w:noProof/>
        </w:rPr>
        <w:fldChar w:fldCharType="begin"/>
      </w:r>
      <w:r w:rsidR="009E6455">
        <w:rPr>
          <w:noProof/>
        </w:rPr>
        <w:instrText xml:space="preserve"> SEQ Figure_A \* ARABIC </w:instrText>
      </w:r>
      <w:r w:rsidR="009E6455">
        <w:rPr>
          <w:noProof/>
        </w:rPr>
        <w:fldChar w:fldCharType="separate"/>
      </w:r>
      <w:r w:rsidR="001B26ED">
        <w:rPr>
          <w:noProof/>
        </w:rPr>
        <w:t>16</w:t>
      </w:r>
      <w:r w:rsidR="009E6455">
        <w:rPr>
          <w:noProof/>
        </w:rPr>
        <w:fldChar w:fldCharType="end"/>
      </w:r>
      <w:r w:rsidR="001B26ED">
        <w:t xml:space="preserve">: The share of households exceeding the extended shadow unaffordability threshold </w:t>
      </w:r>
      <w:r w:rsidR="007E0892">
        <w:t>(</w:t>
      </w:r>
      <w:r w:rsidR="001B26ED">
        <w:t>(imaginary rent+</w:t>
      </w:r>
      <w:r w:rsidR="00C34557">
        <w:t xml:space="preserve"> </w:t>
      </w:r>
      <w:r w:rsidR="001B26ED">
        <w:t>exp</w:t>
      </w:r>
      <w:r w:rsidR="00C34557">
        <w:t>enditure</w:t>
      </w:r>
      <w:r w:rsidR="007E0892">
        <w:t>)</w:t>
      </w:r>
      <w:r w:rsidR="001B26ED">
        <w:t xml:space="preserve"> </w:t>
      </w:r>
      <w:proofErr w:type="gramStart"/>
      <w:r w:rsidR="001B26ED">
        <w:t>/</w:t>
      </w:r>
      <w:r w:rsidR="007E0892">
        <w:t>(</w:t>
      </w:r>
      <w:proofErr w:type="gramEnd"/>
      <w:r w:rsidR="001B26ED">
        <w:t>income+</w:t>
      </w:r>
      <w:r w:rsidR="001B26ED" w:rsidRPr="008B4594">
        <w:t xml:space="preserve"> </w:t>
      </w:r>
      <w:r w:rsidR="001B26ED">
        <w:t>imaginary rent</w:t>
      </w:r>
      <w:r w:rsidR="007E0892">
        <w:t>)</w:t>
      </w:r>
      <w:r w:rsidR="001B26ED">
        <w:t xml:space="preserve">) in urban areas – by </w:t>
      </w:r>
      <w:r w:rsidR="00C34557">
        <w:t>ethnicity</w:t>
      </w:r>
    </w:p>
    <w:p w14:paraId="37719EF9" w14:textId="40238CEB" w:rsidR="00F7499E" w:rsidRDefault="006A3265" w:rsidP="00E95670">
      <w:r>
        <w:rPr>
          <w:noProof/>
        </w:rPr>
        <w:drawing>
          <wp:inline distT="0" distB="0" distL="0" distR="0" wp14:anchorId="2394DFEE" wp14:editId="0AFDE05C">
            <wp:extent cx="5648325" cy="3181350"/>
            <wp:effectExtent l="0" t="0" r="9525" b="0"/>
            <wp:docPr id="64" name="Grafico 64">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9FA5D73" w14:textId="77777777" w:rsidR="00674D24" w:rsidRPr="0066387E" w:rsidRDefault="00674D24" w:rsidP="00674D24">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109DC43B" w14:textId="77777777" w:rsidR="006B5103" w:rsidRDefault="006B5103" w:rsidP="00E95670"/>
    <w:p w14:paraId="3851DD56" w14:textId="62E85207" w:rsidR="00F7499E" w:rsidRDefault="00F32604" w:rsidP="00F32604">
      <w:pPr>
        <w:pStyle w:val="Caption"/>
      </w:pPr>
      <w:r>
        <w:lastRenderedPageBreak/>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17</w:t>
      </w:r>
      <w:r w:rsidR="00D656F6">
        <w:rPr>
          <w:noProof/>
        </w:rPr>
        <w:fldChar w:fldCharType="end"/>
      </w:r>
      <w:r>
        <w:t xml:space="preserve">: </w:t>
      </w:r>
      <w:r w:rsidR="0039335E">
        <w:t xml:space="preserve"> The share of households living in unfit houses in </w:t>
      </w:r>
      <w:r w:rsidR="00C34557">
        <w:t>u</w:t>
      </w:r>
      <w:r w:rsidR="0021680A">
        <w:t>rban</w:t>
      </w:r>
      <w:r w:rsidR="0039335E">
        <w:t xml:space="preserve"> </w:t>
      </w:r>
      <w:r w:rsidR="00C34557">
        <w:t>a</w:t>
      </w:r>
      <w:r w:rsidR="0039335E">
        <w:t>reas – by income quartiles</w:t>
      </w:r>
    </w:p>
    <w:p w14:paraId="23C28D69" w14:textId="2336396F" w:rsidR="00E95670" w:rsidRDefault="00F32604" w:rsidP="00E95670">
      <w:r>
        <w:rPr>
          <w:noProof/>
        </w:rPr>
        <w:drawing>
          <wp:inline distT="0" distB="0" distL="0" distR="0" wp14:anchorId="296B5257" wp14:editId="15429A91">
            <wp:extent cx="5724525" cy="3253740"/>
            <wp:effectExtent l="0" t="0" r="9525" b="3810"/>
            <wp:docPr id="103" name="Grafico 10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43BAA99"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2460BB2" w14:textId="77777777" w:rsidR="0066387E" w:rsidRDefault="0066387E" w:rsidP="00E95670"/>
    <w:p w14:paraId="10D3670B" w14:textId="159CD36F" w:rsidR="0039335E" w:rsidRDefault="0039335E" w:rsidP="0039335E">
      <w:pPr>
        <w:pStyle w:val="Caption"/>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18</w:t>
      </w:r>
      <w:r w:rsidR="00D656F6">
        <w:rPr>
          <w:noProof/>
        </w:rPr>
        <w:fldChar w:fldCharType="end"/>
      </w:r>
      <w:r>
        <w:t xml:space="preserve">: The share of households living in unfit houses in </w:t>
      </w:r>
      <w:r w:rsidR="00C34557">
        <w:t>r</w:t>
      </w:r>
      <w:r w:rsidR="0021680A">
        <w:t>ural</w:t>
      </w:r>
      <w:r>
        <w:t xml:space="preserve"> </w:t>
      </w:r>
      <w:r w:rsidR="00C34557">
        <w:t>a</w:t>
      </w:r>
      <w:r>
        <w:t>reas – by income quartiles</w:t>
      </w:r>
    </w:p>
    <w:p w14:paraId="414A89CE" w14:textId="1B143B14" w:rsidR="00C0416F" w:rsidRDefault="00C0416F" w:rsidP="00D74D8C">
      <w:r>
        <w:rPr>
          <w:noProof/>
        </w:rPr>
        <w:drawing>
          <wp:inline distT="0" distB="0" distL="0" distR="0" wp14:anchorId="601F6DAF" wp14:editId="4B085E3E">
            <wp:extent cx="5629275" cy="2514600"/>
            <wp:effectExtent l="0" t="0" r="9525" b="0"/>
            <wp:docPr id="104" name="Grafico 10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7FF03732"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22B3DD6" w14:textId="77777777" w:rsidR="0066387E" w:rsidRDefault="0066387E" w:rsidP="00D74D8C"/>
    <w:p w14:paraId="1451D1A5" w14:textId="21E45DF1" w:rsidR="0039335E" w:rsidRDefault="0039335E" w:rsidP="00D74D8C"/>
    <w:p w14:paraId="50F4A677" w14:textId="54A2FABF" w:rsidR="0039335E" w:rsidRDefault="0039335E" w:rsidP="00D74D8C"/>
    <w:p w14:paraId="0B7A5139" w14:textId="6E8AB765" w:rsidR="0039335E" w:rsidRDefault="0039335E" w:rsidP="00D74D8C"/>
    <w:p w14:paraId="0A86211A" w14:textId="4EEB3411" w:rsidR="00C0416F" w:rsidRDefault="0039335E" w:rsidP="0039335E">
      <w:pPr>
        <w:pStyle w:val="Caption"/>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19</w:t>
      </w:r>
      <w:r w:rsidR="00D656F6">
        <w:rPr>
          <w:noProof/>
        </w:rPr>
        <w:fldChar w:fldCharType="end"/>
      </w:r>
      <w:r>
        <w:t xml:space="preserve">: The share of households living in unfit houses in </w:t>
      </w:r>
      <w:r w:rsidR="00C34557">
        <w:t>u</w:t>
      </w:r>
      <w:r w:rsidR="0021680A">
        <w:t>rban</w:t>
      </w:r>
      <w:r>
        <w:t xml:space="preserve"> </w:t>
      </w:r>
      <w:r w:rsidR="00C34557">
        <w:t>a</w:t>
      </w:r>
      <w:r>
        <w:t>reas – vulnerable groups</w:t>
      </w:r>
    </w:p>
    <w:p w14:paraId="2AC851D6" w14:textId="3D826E21" w:rsidR="0039335E" w:rsidRDefault="00C1269A" w:rsidP="00C1269A">
      <w:r>
        <w:rPr>
          <w:noProof/>
        </w:rPr>
        <w:drawing>
          <wp:inline distT="0" distB="0" distL="0" distR="0" wp14:anchorId="1BAFC6E3" wp14:editId="416DA0C5">
            <wp:extent cx="5981700" cy="3253740"/>
            <wp:effectExtent l="0" t="0" r="0" b="3810"/>
            <wp:docPr id="109" name="Grafico 10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FC7B04B" w14:textId="44FE7D56" w:rsidR="0066387E"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BCD8772" w14:textId="349D9DD8" w:rsidR="0039335E" w:rsidRDefault="0039335E" w:rsidP="0039335E">
      <w:pPr>
        <w:pStyle w:val="Caption"/>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20</w:t>
      </w:r>
      <w:r w:rsidR="00D656F6">
        <w:rPr>
          <w:noProof/>
        </w:rPr>
        <w:fldChar w:fldCharType="end"/>
      </w:r>
      <w:r>
        <w:t xml:space="preserve">: The share of households living in unfit houses in </w:t>
      </w:r>
      <w:r w:rsidR="00C34557">
        <w:t>r</w:t>
      </w:r>
      <w:r w:rsidR="0021680A">
        <w:t>ural</w:t>
      </w:r>
      <w:r>
        <w:t xml:space="preserve"> </w:t>
      </w:r>
      <w:r w:rsidR="00C34557">
        <w:t>a</w:t>
      </w:r>
      <w:r>
        <w:t>reas – vulnerable groups</w:t>
      </w:r>
    </w:p>
    <w:p w14:paraId="28C7FFDF" w14:textId="721B3510" w:rsidR="00C1269A" w:rsidRDefault="00C1269A" w:rsidP="00C1269A">
      <w:r>
        <w:rPr>
          <w:noProof/>
        </w:rPr>
        <w:drawing>
          <wp:inline distT="0" distB="0" distL="0" distR="0" wp14:anchorId="25BD8926" wp14:editId="7DA8C2AE">
            <wp:extent cx="5991225" cy="2714625"/>
            <wp:effectExtent l="0" t="0" r="9525" b="9525"/>
            <wp:docPr id="110" name="Grafico 11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69412390" w14:textId="1DBD4309" w:rsidR="0039335E" w:rsidRDefault="0066387E" w:rsidP="0066387E">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0C16267" w14:textId="15E8AA64" w:rsidR="00C34557" w:rsidRDefault="00C34557" w:rsidP="0066387E">
      <w:pPr>
        <w:ind w:right="-990"/>
        <w:jc w:val="both"/>
        <w:rPr>
          <w:i/>
          <w:iCs/>
          <w:color w:val="44546A" w:themeColor="text2"/>
          <w:sz w:val="18"/>
          <w:szCs w:val="18"/>
        </w:rPr>
      </w:pPr>
    </w:p>
    <w:p w14:paraId="19DD6ED0" w14:textId="1B882426" w:rsidR="00C34557" w:rsidRDefault="00C34557" w:rsidP="0066387E">
      <w:pPr>
        <w:ind w:right="-990"/>
        <w:jc w:val="both"/>
        <w:rPr>
          <w:rFonts w:cstheme="minorHAnsi"/>
          <w:color w:val="FF0000"/>
        </w:rPr>
      </w:pPr>
    </w:p>
    <w:p w14:paraId="50DF7469" w14:textId="77777777" w:rsidR="00C34557" w:rsidRPr="0066387E" w:rsidRDefault="00C34557" w:rsidP="0066387E">
      <w:pPr>
        <w:ind w:right="-990"/>
        <w:jc w:val="both"/>
        <w:rPr>
          <w:rFonts w:cstheme="minorHAnsi"/>
          <w:color w:val="FF0000"/>
        </w:rPr>
      </w:pPr>
    </w:p>
    <w:p w14:paraId="2ECAD02A" w14:textId="08E6DBBA" w:rsidR="00104EFC" w:rsidRDefault="0039335E" w:rsidP="00104EFC">
      <w:pPr>
        <w:pStyle w:val="Caption"/>
        <w:rPr>
          <w:noProof/>
        </w:rPr>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21</w:t>
      </w:r>
      <w:r w:rsidR="00D656F6">
        <w:rPr>
          <w:noProof/>
        </w:rPr>
        <w:fldChar w:fldCharType="end"/>
      </w:r>
      <w:r>
        <w:t xml:space="preserve">: </w:t>
      </w:r>
      <w:r w:rsidR="00104EFC">
        <w:t>The share of households living in overcrowded houses (UN habitat definition) in</w:t>
      </w:r>
      <w:r w:rsidR="00C34557">
        <w:t xml:space="preserve"> ur</w:t>
      </w:r>
      <w:r w:rsidR="0021680A">
        <w:t>ban</w:t>
      </w:r>
      <w:r w:rsidR="00104EFC">
        <w:t xml:space="preserve"> </w:t>
      </w:r>
      <w:r w:rsidR="00C34557">
        <w:t>a</w:t>
      </w:r>
      <w:r w:rsidR="00104EFC">
        <w:t>reas – by income quartiles</w:t>
      </w:r>
      <w:r w:rsidR="00104EFC">
        <w:rPr>
          <w:noProof/>
        </w:rPr>
        <w:t xml:space="preserve"> </w:t>
      </w:r>
    </w:p>
    <w:p w14:paraId="323DAFA3" w14:textId="6D8B263E" w:rsidR="0039335E" w:rsidRDefault="00CC0627" w:rsidP="00104EFC">
      <w:pPr>
        <w:pStyle w:val="Caption"/>
      </w:pPr>
      <w:r>
        <w:rPr>
          <w:noProof/>
        </w:rPr>
        <w:drawing>
          <wp:inline distT="0" distB="0" distL="0" distR="0" wp14:anchorId="00C0BD58" wp14:editId="7D2C7C8E">
            <wp:extent cx="5724525" cy="3253740"/>
            <wp:effectExtent l="0" t="0" r="9525" b="3810"/>
            <wp:docPr id="28" name="Grafico 28">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E4703AD" w14:textId="1269CD62" w:rsidR="0066387E" w:rsidRPr="0066387E"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D71C083" w14:textId="6EBB9B7E" w:rsidR="0039335E" w:rsidRDefault="0039335E" w:rsidP="0039335E">
      <w:pPr>
        <w:pStyle w:val="Caption"/>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22</w:t>
      </w:r>
      <w:r w:rsidR="00D656F6">
        <w:rPr>
          <w:noProof/>
        </w:rPr>
        <w:fldChar w:fldCharType="end"/>
      </w:r>
      <w:r>
        <w:t>: The share of households living in overcrowded houses (UN habitat</w:t>
      </w:r>
      <w:r w:rsidR="00104EFC">
        <w:t xml:space="preserve"> definition</w:t>
      </w:r>
      <w:r>
        <w:t xml:space="preserve">) in </w:t>
      </w:r>
      <w:r w:rsidR="00C34557">
        <w:t>r</w:t>
      </w:r>
      <w:r w:rsidR="0021680A">
        <w:t>ural</w:t>
      </w:r>
      <w:r>
        <w:t xml:space="preserve"> </w:t>
      </w:r>
      <w:r w:rsidR="00C34557">
        <w:t>a</w:t>
      </w:r>
      <w:r>
        <w:t>reas – by income quartiles</w:t>
      </w:r>
    </w:p>
    <w:p w14:paraId="053C1CEC" w14:textId="7FF8D209" w:rsidR="00CC0627" w:rsidRDefault="00CC0627" w:rsidP="00CC0627">
      <w:r>
        <w:rPr>
          <w:noProof/>
        </w:rPr>
        <w:drawing>
          <wp:inline distT="0" distB="0" distL="0" distR="0" wp14:anchorId="2EB35E81" wp14:editId="3DA13CB4">
            <wp:extent cx="5743575" cy="2771775"/>
            <wp:effectExtent l="0" t="0" r="9525" b="9525"/>
            <wp:docPr id="29" name="Grafico 29">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68C4AF3A"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79E8E45" w14:textId="77777777" w:rsidR="0066387E" w:rsidRDefault="0066387E" w:rsidP="00CC0627"/>
    <w:p w14:paraId="1BC6869D" w14:textId="2A2705CF" w:rsidR="00104EFC" w:rsidRDefault="00104EFC" w:rsidP="00CC0627"/>
    <w:p w14:paraId="4B203959" w14:textId="4FFE8EE6" w:rsidR="00104EFC" w:rsidRDefault="00104EFC" w:rsidP="00104EFC">
      <w:pPr>
        <w:pStyle w:val="Caption"/>
      </w:pPr>
      <w:r>
        <w:lastRenderedPageBreak/>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23</w:t>
      </w:r>
      <w:r w:rsidR="00D656F6">
        <w:rPr>
          <w:noProof/>
        </w:rPr>
        <w:fldChar w:fldCharType="end"/>
      </w:r>
      <w:r>
        <w:t xml:space="preserve">: The share of households living in overcrowded houses (SDG definition) in </w:t>
      </w:r>
      <w:r w:rsidR="00C34557">
        <w:t>u</w:t>
      </w:r>
      <w:r w:rsidR="0021680A">
        <w:t>rban</w:t>
      </w:r>
      <w:r>
        <w:t xml:space="preserve"> </w:t>
      </w:r>
      <w:r w:rsidR="00C34557">
        <w:t>a</w:t>
      </w:r>
      <w:r>
        <w:t>reas – by income quartiles</w:t>
      </w:r>
    </w:p>
    <w:p w14:paraId="09476E17" w14:textId="5C832CD2" w:rsidR="00104EFC" w:rsidRDefault="00CC0627" w:rsidP="00CC0627">
      <w:r>
        <w:rPr>
          <w:noProof/>
        </w:rPr>
        <w:drawing>
          <wp:inline distT="0" distB="0" distL="0" distR="0" wp14:anchorId="76434AEC" wp14:editId="0E9E2EB5">
            <wp:extent cx="5724525" cy="3253740"/>
            <wp:effectExtent l="0" t="0" r="9525" b="3810"/>
            <wp:docPr id="30" name="Grafico 30">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C6F5E0E"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6F490FBA" w14:textId="588C3369" w:rsidR="00104EFC" w:rsidRDefault="00104EFC" w:rsidP="00104EFC">
      <w:pPr>
        <w:pStyle w:val="Caption"/>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24</w:t>
      </w:r>
      <w:r w:rsidR="00D656F6">
        <w:rPr>
          <w:noProof/>
        </w:rPr>
        <w:fldChar w:fldCharType="end"/>
      </w:r>
      <w:r>
        <w:t xml:space="preserve">: The share of households living in overcrowded houses (SDG definition) in </w:t>
      </w:r>
      <w:r w:rsidR="00C34557">
        <w:t>r</w:t>
      </w:r>
      <w:r w:rsidR="0021680A">
        <w:t>ural</w:t>
      </w:r>
      <w:r>
        <w:t xml:space="preserve"> </w:t>
      </w:r>
      <w:r w:rsidR="00C34557">
        <w:t>a</w:t>
      </w:r>
      <w:r>
        <w:t>reas – by income quartiles</w:t>
      </w:r>
    </w:p>
    <w:p w14:paraId="6E2E4959" w14:textId="7C57C55B" w:rsidR="00CC0627" w:rsidRDefault="00CC0627" w:rsidP="00CC0627">
      <w:r>
        <w:rPr>
          <w:noProof/>
        </w:rPr>
        <w:drawing>
          <wp:inline distT="0" distB="0" distL="0" distR="0" wp14:anchorId="657289AD" wp14:editId="3D6F9299">
            <wp:extent cx="5715000" cy="3267075"/>
            <wp:effectExtent l="0" t="0" r="0" b="9525"/>
            <wp:docPr id="31" name="Grafico 31">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DAE5C6F" w14:textId="7E09E2D8" w:rsidR="00104EFC" w:rsidRDefault="0066387E" w:rsidP="0066387E">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(HIS)</w:t>
      </w:r>
    </w:p>
    <w:p w14:paraId="5C508482" w14:textId="159D2920" w:rsidR="0066387E" w:rsidRDefault="0066387E" w:rsidP="0066387E">
      <w:pPr>
        <w:ind w:right="-990"/>
        <w:jc w:val="both"/>
        <w:rPr>
          <w:rFonts w:cstheme="minorHAnsi"/>
          <w:color w:val="FF0000"/>
        </w:rPr>
      </w:pPr>
    </w:p>
    <w:p w14:paraId="4AE26D5F" w14:textId="77777777" w:rsidR="00C34557" w:rsidRDefault="00C34557" w:rsidP="00104EFC">
      <w:pPr>
        <w:pStyle w:val="Caption"/>
      </w:pPr>
    </w:p>
    <w:p w14:paraId="321A3863" w14:textId="75B0BF9E" w:rsidR="00104EFC" w:rsidRDefault="00104EFC" w:rsidP="00104EFC">
      <w:pPr>
        <w:pStyle w:val="Caption"/>
      </w:pPr>
      <w:r>
        <w:lastRenderedPageBreak/>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25</w:t>
      </w:r>
      <w:r w:rsidR="00D656F6">
        <w:rPr>
          <w:noProof/>
        </w:rPr>
        <w:fldChar w:fldCharType="end"/>
      </w:r>
      <w:r>
        <w:t xml:space="preserve">: The share of households living in overcrowded houses (UN habitat definition) in </w:t>
      </w:r>
      <w:r w:rsidR="00C34557">
        <w:t>u</w:t>
      </w:r>
      <w:r w:rsidR="0021680A">
        <w:t>rban</w:t>
      </w:r>
      <w:r>
        <w:t xml:space="preserve"> </w:t>
      </w:r>
      <w:r w:rsidR="00C34557">
        <w:t>a</w:t>
      </w:r>
      <w:r>
        <w:t>reas – vulnerable groups</w:t>
      </w:r>
    </w:p>
    <w:p w14:paraId="23F19630" w14:textId="17F85BCD" w:rsidR="00104EFC" w:rsidRDefault="00262ED8" w:rsidP="00262ED8">
      <w:r>
        <w:rPr>
          <w:noProof/>
        </w:rPr>
        <w:drawing>
          <wp:inline distT="0" distB="0" distL="0" distR="0" wp14:anchorId="4C6AFA9C" wp14:editId="386BDF7A">
            <wp:extent cx="5724525" cy="3253740"/>
            <wp:effectExtent l="0" t="0" r="9525" b="3810"/>
            <wp:docPr id="111" name="Grafico 11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F29E0E2"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42D02008" w14:textId="0F32C8FE" w:rsidR="00FD5091" w:rsidRDefault="00FD5091" w:rsidP="00FD5091">
      <w:pPr>
        <w:pStyle w:val="Caption"/>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26</w:t>
      </w:r>
      <w:r w:rsidR="00D656F6">
        <w:rPr>
          <w:noProof/>
        </w:rPr>
        <w:fldChar w:fldCharType="end"/>
      </w:r>
      <w:r>
        <w:t xml:space="preserve">: The share of households living in overcrowded houses (UN habitat definition) in </w:t>
      </w:r>
      <w:r w:rsidR="00C34557">
        <w:t>r</w:t>
      </w:r>
      <w:r w:rsidR="0021680A">
        <w:t>ural</w:t>
      </w:r>
      <w:r w:rsidR="00C34557">
        <w:t xml:space="preserve"> a</w:t>
      </w:r>
      <w:r>
        <w:t>reas – vulnerable groups</w:t>
      </w:r>
    </w:p>
    <w:p w14:paraId="7A80A2F7" w14:textId="04A543A1" w:rsidR="00262ED8" w:rsidRDefault="00262ED8" w:rsidP="00262ED8">
      <w:r>
        <w:rPr>
          <w:noProof/>
        </w:rPr>
        <w:drawing>
          <wp:inline distT="0" distB="0" distL="0" distR="0" wp14:anchorId="56BE030C" wp14:editId="7D57102F">
            <wp:extent cx="5753100" cy="2914650"/>
            <wp:effectExtent l="0" t="0" r="0" b="0"/>
            <wp:docPr id="112" name="Grafico 112">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2512C19"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5B12E56" w14:textId="4F15754D" w:rsidR="00900D55" w:rsidRDefault="00900D55" w:rsidP="00900D55">
      <w:pPr>
        <w:pStyle w:val="Caption"/>
      </w:pPr>
    </w:p>
    <w:p w14:paraId="0541E9FC" w14:textId="2A557CE9" w:rsidR="0066387E" w:rsidRDefault="0066387E" w:rsidP="0066387E"/>
    <w:p w14:paraId="2CA5B8CF" w14:textId="77777777" w:rsidR="00C34557" w:rsidRPr="0066387E" w:rsidRDefault="00C34557" w:rsidP="0066387E"/>
    <w:p w14:paraId="33F8E0A2" w14:textId="778443BF" w:rsidR="00262ED8" w:rsidRDefault="00900D55" w:rsidP="00900D55">
      <w:pPr>
        <w:pStyle w:val="Caption"/>
      </w:pPr>
      <w:r>
        <w:lastRenderedPageBreak/>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27</w:t>
      </w:r>
      <w:r w:rsidR="00D656F6">
        <w:rPr>
          <w:noProof/>
        </w:rPr>
        <w:fldChar w:fldCharType="end"/>
      </w:r>
      <w:r>
        <w:t xml:space="preserve">: The share of households living in overcrowded houses (SDG definition) in </w:t>
      </w:r>
      <w:r w:rsidR="00C34557">
        <w:t>u</w:t>
      </w:r>
      <w:r w:rsidR="0021680A">
        <w:t>rban</w:t>
      </w:r>
      <w:r>
        <w:t xml:space="preserve"> </w:t>
      </w:r>
      <w:r w:rsidR="00C34557">
        <w:t>a</w:t>
      </w:r>
      <w:r>
        <w:t xml:space="preserve">reas </w:t>
      </w:r>
      <w:r w:rsidR="00C34557">
        <w:t>– vulnerable</w:t>
      </w:r>
      <w:r>
        <w:t xml:space="preserve"> groups</w:t>
      </w:r>
    </w:p>
    <w:p w14:paraId="6DCE66EA" w14:textId="4CBA284F" w:rsidR="00262ED8" w:rsidRDefault="00262ED8" w:rsidP="00262ED8">
      <w:r>
        <w:rPr>
          <w:noProof/>
        </w:rPr>
        <w:drawing>
          <wp:inline distT="0" distB="0" distL="0" distR="0" wp14:anchorId="3EE1E323" wp14:editId="7AD38330">
            <wp:extent cx="5724525" cy="3253740"/>
            <wp:effectExtent l="0" t="0" r="9525" b="3810"/>
            <wp:docPr id="113" name="Grafico 113">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63AD1A8" w14:textId="77777777" w:rsidR="0066387E" w:rsidRPr="00776AB0" w:rsidRDefault="0066387E" w:rsidP="0066387E">
      <w:pPr>
        <w:ind w:right="-990"/>
        <w:jc w:val="both"/>
        <w:rPr>
          <w:rFonts w:cstheme="minorHAnsi"/>
          <w:color w:val="FF0000"/>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75703986" w14:textId="248F5D56" w:rsidR="00900D55" w:rsidRDefault="00900D55" w:rsidP="00900D55">
      <w:pPr>
        <w:pStyle w:val="Caption"/>
      </w:pPr>
      <w:r>
        <w:t>Figure A</w:t>
      </w:r>
      <w:r w:rsidR="00D656F6">
        <w:rPr>
          <w:noProof/>
        </w:rPr>
        <w:fldChar w:fldCharType="begin"/>
      </w:r>
      <w:r w:rsidR="00D656F6">
        <w:rPr>
          <w:noProof/>
        </w:rPr>
        <w:instrText xml:space="preserve"> SEQ Figure_A \* ARABIC </w:instrText>
      </w:r>
      <w:r w:rsidR="00D656F6">
        <w:rPr>
          <w:noProof/>
        </w:rPr>
        <w:fldChar w:fldCharType="separate"/>
      </w:r>
      <w:r w:rsidR="001B26ED">
        <w:rPr>
          <w:noProof/>
        </w:rPr>
        <w:t>28</w:t>
      </w:r>
      <w:r w:rsidR="00D656F6">
        <w:rPr>
          <w:noProof/>
        </w:rPr>
        <w:fldChar w:fldCharType="end"/>
      </w:r>
      <w:r>
        <w:t xml:space="preserve">: The share of households living in overcrowded houses (SDG definition) in </w:t>
      </w:r>
      <w:r w:rsidR="00C34557">
        <w:t>r</w:t>
      </w:r>
      <w:r w:rsidR="0021680A">
        <w:t>ural</w:t>
      </w:r>
      <w:r>
        <w:t xml:space="preserve"> </w:t>
      </w:r>
      <w:r w:rsidR="00C34557">
        <w:t>a</w:t>
      </w:r>
      <w:r>
        <w:t>reas – vulnerable groups</w:t>
      </w:r>
    </w:p>
    <w:p w14:paraId="2939C992" w14:textId="7855921C" w:rsidR="00FF796A" w:rsidRDefault="00262ED8" w:rsidP="00900D55">
      <w:pPr>
        <w:pStyle w:val="Caption"/>
      </w:pPr>
      <w:r>
        <w:rPr>
          <w:noProof/>
        </w:rPr>
        <w:drawing>
          <wp:inline distT="0" distB="0" distL="0" distR="0" wp14:anchorId="1F5CC199" wp14:editId="3937FCC6">
            <wp:extent cx="5743575" cy="3215640"/>
            <wp:effectExtent l="0" t="0" r="9525" b="3810"/>
            <wp:docPr id="42" name="Grafico 42">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12DBE51" w14:textId="1014C34D" w:rsidR="0066387E" w:rsidRDefault="0066387E" w:rsidP="0066387E">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07952DEE" w14:textId="2AFC80C3" w:rsidR="001B26ED" w:rsidRDefault="001B26ED" w:rsidP="0066387E">
      <w:pPr>
        <w:ind w:right="-990"/>
        <w:jc w:val="both"/>
        <w:rPr>
          <w:i/>
          <w:iCs/>
          <w:color w:val="44546A" w:themeColor="text2"/>
          <w:sz w:val="18"/>
          <w:szCs w:val="18"/>
        </w:rPr>
      </w:pPr>
    </w:p>
    <w:p w14:paraId="33E48E7C" w14:textId="77777777" w:rsidR="00C34557" w:rsidRDefault="00C34557" w:rsidP="0066387E">
      <w:pPr>
        <w:ind w:right="-990"/>
        <w:jc w:val="both"/>
        <w:rPr>
          <w:i/>
          <w:iCs/>
          <w:color w:val="44546A" w:themeColor="text2"/>
          <w:sz w:val="18"/>
          <w:szCs w:val="18"/>
        </w:rPr>
      </w:pPr>
    </w:p>
    <w:p w14:paraId="18D072FD" w14:textId="123873DF" w:rsidR="00674D24" w:rsidRDefault="001B26ED" w:rsidP="001B26ED">
      <w:pPr>
        <w:pStyle w:val="Caption"/>
      </w:pPr>
      <w:r>
        <w:lastRenderedPageBreak/>
        <w:t>Figure A</w:t>
      </w:r>
      <w:r w:rsidR="009E6455">
        <w:rPr>
          <w:noProof/>
        </w:rPr>
        <w:fldChar w:fldCharType="begin"/>
      </w:r>
      <w:r w:rsidR="009E6455">
        <w:rPr>
          <w:noProof/>
        </w:rPr>
        <w:instrText xml:space="preserve"> SEQ Figure_A \* ARABIC </w:instrText>
      </w:r>
      <w:r w:rsidR="009E6455">
        <w:rPr>
          <w:noProof/>
        </w:rPr>
        <w:fldChar w:fldCharType="separate"/>
      </w:r>
      <w:r>
        <w:rPr>
          <w:noProof/>
        </w:rPr>
        <w:t>29</w:t>
      </w:r>
      <w:r w:rsidR="009E6455">
        <w:rPr>
          <w:noProof/>
        </w:rPr>
        <w:fldChar w:fldCharType="end"/>
      </w:r>
      <w:r>
        <w:t>: The share of households living in overcrowded houses (UN habitat definition) in rural areas – by ethnicity</w:t>
      </w:r>
    </w:p>
    <w:p w14:paraId="5FAA52DB" w14:textId="467B574B" w:rsidR="001B26ED" w:rsidRDefault="001B26ED" w:rsidP="001B26ED">
      <w:r>
        <w:rPr>
          <w:noProof/>
        </w:rPr>
        <w:drawing>
          <wp:inline distT="0" distB="0" distL="0" distR="0" wp14:anchorId="404B91E3" wp14:editId="2E287ABF">
            <wp:extent cx="5724525" cy="3390900"/>
            <wp:effectExtent l="0" t="0" r="9525" b="0"/>
            <wp:docPr id="134" name="Chart 134">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9403B3E" w14:textId="623AF620" w:rsidR="001B26ED" w:rsidRDefault="001B26ED" w:rsidP="001B26ED">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531B9EAF" w14:textId="1AC1DFF2" w:rsidR="001B26ED" w:rsidRDefault="001B26ED" w:rsidP="00454C26">
      <w:pPr>
        <w:pStyle w:val="Caption"/>
        <w:rPr>
          <w:i w:val="0"/>
          <w:iCs w:val="0"/>
        </w:rPr>
      </w:pPr>
      <w:r>
        <w:t>Figure A</w:t>
      </w:r>
      <w:r w:rsidR="009E6455">
        <w:rPr>
          <w:noProof/>
        </w:rPr>
        <w:fldChar w:fldCharType="begin"/>
      </w:r>
      <w:r w:rsidR="009E6455">
        <w:rPr>
          <w:noProof/>
        </w:rPr>
        <w:instrText xml:space="preserve"> SEQ Figure_A \* ARABIC </w:instrText>
      </w:r>
      <w:r w:rsidR="009E6455">
        <w:rPr>
          <w:noProof/>
        </w:rPr>
        <w:fldChar w:fldCharType="separate"/>
      </w:r>
      <w:r>
        <w:rPr>
          <w:noProof/>
        </w:rPr>
        <w:t>30</w:t>
      </w:r>
      <w:r w:rsidR="009E6455">
        <w:rPr>
          <w:noProof/>
        </w:rPr>
        <w:fldChar w:fldCharType="end"/>
      </w:r>
      <w:r>
        <w:t>: The share of households living in overcrowded houses (SDG definition) in urban areas – by ethnicity</w:t>
      </w:r>
    </w:p>
    <w:p w14:paraId="5E4CEC7C" w14:textId="2DF31318" w:rsidR="001B26ED" w:rsidRDefault="0035633D" w:rsidP="0066387E">
      <w:r>
        <w:rPr>
          <w:noProof/>
        </w:rPr>
        <w:drawing>
          <wp:inline distT="0" distB="0" distL="0" distR="0" wp14:anchorId="16255A66" wp14:editId="7A097AE6">
            <wp:extent cx="5734050" cy="3253740"/>
            <wp:effectExtent l="0" t="0" r="0" b="3810"/>
            <wp:docPr id="116" name="Grafico 116">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5A2541FA" w14:textId="77777777" w:rsidR="001B26ED" w:rsidRDefault="001B26ED" w:rsidP="001B26ED">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61304CAB" w14:textId="77777777" w:rsidR="001B26ED" w:rsidRDefault="001B26ED" w:rsidP="0066387E"/>
    <w:p w14:paraId="6140C11B" w14:textId="77777777" w:rsidR="001B26ED" w:rsidRDefault="001B26ED" w:rsidP="0066387E"/>
    <w:p w14:paraId="0A18E66C" w14:textId="1808592A" w:rsidR="001B26ED" w:rsidRDefault="001B26ED" w:rsidP="00454C26">
      <w:pPr>
        <w:pStyle w:val="Caption"/>
      </w:pPr>
      <w:r>
        <w:t>Figure A</w:t>
      </w:r>
      <w:r w:rsidR="009E6455">
        <w:rPr>
          <w:noProof/>
        </w:rPr>
        <w:fldChar w:fldCharType="begin"/>
      </w:r>
      <w:r w:rsidR="009E6455">
        <w:rPr>
          <w:noProof/>
        </w:rPr>
        <w:instrText xml:space="preserve"> SEQ Figure_A \* ARABIC </w:instrText>
      </w:r>
      <w:r w:rsidR="009E6455">
        <w:rPr>
          <w:noProof/>
        </w:rPr>
        <w:fldChar w:fldCharType="separate"/>
      </w:r>
      <w:r>
        <w:rPr>
          <w:noProof/>
        </w:rPr>
        <w:t>31</w:t>
      </w:r>
      <w:r w:rsidR="009E6455">
        <w:rPr>
          <w:noProof/>
        </w:rPr>
        <w:fldChar w:fldCharType="end"/>
      </w:r>
      <w:r>
        <w:t>: The share of households living in overcrowded houses (SDG definition) in rural areas – by ethnicity</w:t>
      </w:r>
    </w:p>
    <w:p w14:paraId="27F09A09" w14:textId="6260EE7B" w:rsidR="00C179DF" w:rsidRDefault="0035633D" w:rsidP="0066387E">
      <w:r>
        <w:rPr>
          <w:noProof/>
        </w:rPr>
        <w:drawing>
          <wp:inline distT="0" distB="0" distL="0" distR="0" wp14:anchorId="3C78BB0A" wp14:editId="7EAC3EBA">
            <wp:extent cx="5829300" cy="3204210"/>
            <wp:effectExtent l="0" t="0" r="0" b="15240"/>
            <wp:docPr id="117" name="Grafico 117">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7E82785C" w14:textId="77777777" w:rsidR="001B26ED" w:rsidRDefault="001B26ED" w:rsidP="001B26ED">
      <w:pPr>
        <w:ind w:right="-990"/>
        <w:jc w:val="both"/>
        <w:rPr>
          <w:i/>
          <w:iCs/>
          <w:color w:val="44546A" w:themeColor="text2"/>
          <w:sz w:val="18"/>
          <w:szCs w:val="18"/>
        </w:rPr>
      </w:pPr>
      <w:r>
        <w:rPr>
          <w:i/>
          <w:iCs/>
          <w:color w:val="44546A" w:themeColor="text2"/>
          <w:sz w:val="18"/>
          <w:szCs w:val="18"/>
        </w:rPr>
        <w:t>Source: National Statistics Office of Georgia (</w:t>
      </w:r>
      <w:proofErr w:type="spellStart"/>
      <w:r>
        <w:rPr>
          <w:i/>
          <w:iCs/>
          <w:color w:val="44546A" w:themeColor="text2"/>
          <w:sz w:val="18"/>
          <w:szCs w:val="18"/>
        </w:rPr>
        <w:t>Geostat</w:t>
      </w:r>
      <w:proofErr w:type="spellEnd"/>
      <w:r>
        <w:rPr>
          <w:i/>
          <w:iCs/>
          <w:color w:val="44546A" w:themeColor="text2"/>
          <w:sz w:val="18"/>
          <w:szCs w:val="18"/>
        </w:rPr>
        <w:t>), Integrated Household Survey (IHS)</w:t>
      </w:r>
    </w:p>
    <w:p w14:paraId="3BA9DCA5" w14:textId="77777777" w:rsidR="001B26ED" w:rsidRDefault="001B26ED" w:rsidP="0066387E"/>
    <w:p w14:paraId="5D954E22" w14:textId="77777777" w:rsidR="00C179DF" w:rsidRDefault="00C179DF">
      <w:r>
        <w:br w:type="page"/>
      </w:r>
    </w:p>
    <w:p w14:paraId="1B48BA72" w14:textId="716916E8" w:rsidR="00C179DF" w:rsidRPr="003623D5" w:rsidRDefault="003610CD" w:rsidP="00C179DF">
      <w:pPr>
        <w:pStyle w:val="Heading2"/>
        <w:jc w:val="both"/>
      </w:pPr>
      <w:r>
        <w:lastRenderedPageBreak/>
        <w:t xml:space="preserve">ANNEX B. </w:t>
      </w:r>
      <w:r w:rsidR="00C179DF">
        <w:t>Housing First</w:t>
      </w:r>
    </w:p>
    <w:p w14:paraId="43E3559A" w14:textId="77777777" w:rsidR="00C179DF" w:rsidRPr="00454C26" w:rsidRDefault="00C179DF" w:rsidP="00C179DF">
      <w:pPr>
        <w:shd w:val="clear" w:color="auto" w:fill="FFFFFF"/>
        <w:spacing w:before="120" w:after="120" w:line="240" w:lineRule="auto"/>
        <w:rPr>
          <w:rFonts w:eastAsia="Times New Roman" w:cstheme="minorHAnsi"/>
          <w:color w:val="222222"/>
          <w:lang w:eastAsia="it-IT"/>
        </w:rPr>
      </w:pPr>
      <w:r w:rsidRPr="00454C26">
        <w:rPr>
          <w:rFonts w:eastAsia="Times New Roman" w:cstheme="minorHAnsi"/>
          <w:b/>
          <w:bCs/>
          <w:color w:val="222222"/>
          <w:lang w:eastAsia="it-IT"/>
        </w:rPr>
        <w:t>Housing First</w:t>
      </w:r>
      <w:r w:rsidRPr="00454C26">
        <w:rPr>
          <w:rFonts w:eastAsia="Times New Roman" w:cstheme="minorHAnsi"/>
          <w:color w:val="222222"/>
          <w:lang w:eastAsia="it-IT"/>
        </w:rPr>
        <w:t xml:space="preserve"> is a relatively recent innovation in human service programs and </w:t>
      </w:r>
      <w:r w:rsidRPr="00454C26">
        <w:rPr>
          <w:rFonts w:eastAsia="Times New Roman" w:cstheme="minorHAnsi"/>
          <w:lang w:eastAsia="it-IT"/>
        </w:rPr>
        <w:t xml:space="preserve">social policy </w:t>
      </w:r>
      <w:r w:rsidRPr="00454C26">
        <w:rPr>
          <w:rFonts w:eastAsia="Times New Roman" w:cstheme="minorHAnsi"/>
          <w:color w:val="222222"/>
          <w:lang w:eastAsia="it-IT"/>
        </w:rPr>
        <w:t xml:space="preserve">regarding treatment of people who are homeless and is an alternative to a system of emergency shelter/transitional housing progressions. </w:t>
      </w:r>
    </w:p>
    <w:p w14:paraId="0357DA54" w14:textId="77777777" w:rsidR="00C179DF" w:rsidRPr="00454C26" w:rsidRDefault="00C179DF" w:rsidP="00C179DF">
      <w:p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 xml:space="preserve">The principles behind this approach are: </w:t>
      </w:r>
    </w:p>
    <w:p w14:paraId="5C5F72C6" w14:textId="77777777" w:rsidR="00C179DF" w:rsidRPr="00454C26" w:rsidRDefault="00C179DF" w:rsidP="00454C26">
      <w:pPr>
        <w:numPr>
          <w:ilvl w:val="0"/>
          <w:numId w:val="25"/>
        </w:numPr>
        <w:shd w:val="clear" w:color="auto" w:fill="FFFFFF"/>
        <w:spacing w:before="100" w:beforeAutospacing="1" w:after="24" w:line="240" w:lineRule="auto"/>
        <w:ind w:left="768"/>
        <w:rPr>
          <w:rFonts w:eastAsia="Times New Roman" w:cstheme="minorHAnsi"/>
          <w:color w:val="222222"/>
          <w:lang w:eastAsia="it-IT"/>
        </w:rPr>
      </w:pPr>
      <w:r w:rsidRPr="00454C26">
        <w:rPr>
          <w:rFonts w:eastAsia="Times New Roman" w:cstheme="minorHAnsi"/>
          <w:color w:val="222222"/>
          <w:lang w:eastAsia="it-IT"/>
        </w:rPr>
        <w:t>Move people into housing directly from streets and shelters without preconditions of treatment acceptance or compliance;</w:t>
      </w:r>
    </w:p>
    <w:p w14:paraId="54C300DA" w14:textId="77777777" w:rsidR="00C179DF" w:rsidRPr="00454C26" w:rsidRDefault="00C179DF" w:rsidP="00454C26">
      <w:pPr>
        <w:numPr>
          <w:ilvl w:val="0"/>
          <w:numId w:val="25"/>
        </w:numPr>
        <w:shd w:val="clear" w:color="auto" w:fill="FFFFFF"/>
        <w:spacing w:before="100" w:beforeAutospacing="1" w:after="24" w:line="240" w:lineRule="auto"/>
        <w:ind w:left="768"/>
        <w:rPr>
          <w:rFonts w:eastAsia="Times New Roman" w:cstheme="minorHAnsi"/>
          <w:color w:val="222222"/>
          <w:lang w:eastAsia="it-IT"/>
        </w:rPr>
      </w:pPr>
      <w:r w:rsidRPr="00454C26">
        <w:rPr>
          <w:rFonts w:eastAsia="Times New Roman" w:cstheme="minorHAnsi"/>
          <w:color w:val="222222"/>
          <w:lang w:eastAsia="it-IT"/>
        </w:rPr>
        <w:t>The provider is obligated to bring robust support services to the housing. These services are predicated on assertive engagement, not coercion;</w:t>
      </w:r>
    </w:p>
    <w:p w14:paraId="58048CC0" w14:textId="77777777" w:rsidR="00C179DF" w:rsidRPr="00454C26" w:rsidRDefault="00C179DF" w:rsidP="00454C26">
      <w:pPr>
        <w:numPr>
          <w:ilvl w:val="0"/>
          <w:numId w:val="25"/>
        </w:numPr>
        <w:shd w:val="clear" w:color="auto" w:fill="FFFFFF"/>
        <w:spacing w:before="100" w:beforeAutospacing="1" w:after="24" w:line="240" w:lineRule="auto"/>
        <w:ind w:left="768"/>
        <w:rPr>
          <w:rFonts w:eastAsia="Times New Roman" w:cstheme="minorHAnsi"/>
          <w:color w:val="222222"/>
          <w:lang w:eastAsia="it-IT"/>
        </w:rPr>
      </w:pPr>
      <w:r w:rsidRPr="00454C26">
        <w:rPr>
          <w:rFonts w:eastAsia="Times New Roman" w:cstheme="minorHAnsi"/>
          <w:color w:val="222222"/>
          <w:lang w:eastAsia="it-IT"/>
        </w:rPr>
        <w:t>Continued tenancy is not dependent on participation in services;</w:t>
      </w:r>
    </w:p>
    <w:p w14:paraId="41988E9F" w14:textId="77777777" w:rsidR="00C179DF" w:rsidRPr="00454C26" w:rsidRDefault="00C179DF" w:rsidP="00454C26">
      <w:pPr>
        <w:numPr>
          <w:ilvl w:val="0"/>
          <w:numId w:val="25"/>
        </w:numPr>
        <w:shd w:val="clear" w:color="auto" w:fill="FFFFFF"/>
        <w:spacing w:before="100" w:beforeAutospacing="1" w:after="24" w:line="240" w:lineRule="auto"/>
        <w:ind w:left="768"/>
        <w:rPr>
          <w:rFonts w:eastAsia="Times New Roman" w:cstheme="minorHAnsi"/>
          <w:color w:val="222222"/>
          <w:lang w:eastAsia="it-IT"/>
        </w:rPr>
      </w:pPr>
      <w:r w:rsidRPr="00454C26">
        <w:rPr>
          <w:rFonts w:eastAsia="Times New Roman" w:cstheme="minorHAnsi"/>
          <w:color w:val="222222"/>
          <w:lang w:eastAsia="it-IT"/>
        </w:rPr>
        <w:t>Priority is given to most disabled and vulnerable homeless members of the community;</w:t>
      </w:r>
    </w:p>
    <w:p w14:paraId="14A440AE" w14:textId="77777777" w:rsidR="00C179DF" w:rsidRPr="00454C26" w:rsidRDefault="00C179DF" w:rsidP="00454C26">
      <w:pPr>
        <w:numPr>
          <w:ilvl w:val="0"/>
          <w:numId w:val="25"/>
        </w:numPr>
        <w:shd w:val="clear" w:color="auto" w:fill="FFFFFF"/>
        <w:spacing w:before="100" w:beforeAutospacing="1" w:after="24" w:line="240" w:lineRule="auto"/>
        <w:ind w:left="768"/>
        <w:rPr>
          <w:rFonts w:eastAsia="Times New Roman" w:cstheme="minorHAnsi"/>
          <w:color w:val="222222"/>
          <w:lang w:eastAsia="it-IT"/>
        </w:rPr>
      </w:pPr>
      <w:r w:rsidRPr="00454C26">
        <w:rPr>
          <w:rFonts w:eastAsia="Times New Roman" w:cstheme="minorHAnsi"/>
          <w:color w:val="222222"/>
          <w:lang w:eastAsia="it-IT"/>
        </w:rPr>
        <w:t>Embraces harm-reduction approach to addictions rather than mandating abstinence. At the same time, the provider must be prepared to support resident commitment to recovery;</w:t>
      </w:r>
    </w:p>
    <w:p w14:paraId="7C5221A8" w14:textId="77777777" w:rsidR="00C179DF" w:rsidRPr="00454C26" w:rsidRDefault="00C179DF" w:rsidP="00454C26">
      <w:pPr>
        <w:numPr>
          <w:ilvl w:val="0"/>
          <w:numId w:val="25"/>
        </w:numPr>
        <w:shd w:val="clear" w:color="auto" w:fill="FFFFFF"/>
        <w:spacing w:before="100" w:beforeAutospacing="1" w:after="24" w:line="240" w:lineRule="auto"/>
        <w:ind w:left="768"/>
        <w:rPr>
          <w:rFonts w:eastAsia="Times New Roman" w:cstheme="minorHAnsi"/>
          <w:color w:val="222222"/>
          <w:lang w:eastAsia="it-IT"/>
        </w:rPr>
      </w:pPr>
      <w:r w:rsidRPr="00454C26">
        <w:rPr>
          <w:rFonts w:eastAsia="Times New Roman" w:cstheme="minorHAnsi"/>
          <w:color w:val="222222"/>
          <w:lang w:eastAsia="it-IT"/>
        </w:rPr>
        <w:t>Residents must have leases and tenant protections under the law;</w:t>
      </w:r>
    </w:p>
    <w:p w14:paraId="75E2310D" w14:textId="77777777" w:rsidR="00C179DF" w:rsidRPr="00454C26" w:rsidRDefault="00C179DF" w:rsidP="00454C26">
      <w:pPr>
        <w:numPr>
          <w:ilvl w:val="0"/>
          <w:numId w:val="25"/>
        </w:numPr>
        <w:shd w:val="clear" w:color="auto" w:fill="FFFFFF"/>
        <w:spacing w:before="100" w:beforeAutospacing="1" w:after="24" w:line="240" w:lineRule="auto"/>
        <w:ind w:left="768"/>
        <w:rPr>
          <w:rFonts w:eastAsia="Times New Roman" w:cstheme="minorHAnsi"/>
          <w:color w:val="222222"/>
          <w:lang w:eastAsia="it-IT"/>
        </w:rPr>
      </w:pPr>
      <w:r w:rsidRPr="00454C26">
        <w:rPr>
          <w:rFonts w:eastAsia="Times New Roman" w:cstheme="minorHAnsi"/>
          <w:color w:val="222222"/>
          <w:lang w:eastAsia="it-IT"/>
        </w:rPr>
        <w:t>Can be implemented as either a project-based or scattered site model.</w:t>
      </w:r>
    </w:p>
    <w:p w14:paraId="0180A5DB" w14:textId="77777777" w:rsidR="00C179DF" w:rsidRPr="00454C26" w:rsidRDefault="00C179DF" w:rsidP="00C179DF">
      <w:pPr>
        <w:shd w:val="clear" w:color="auto" w:fill="FFFFFF"/>
        <w:spacing w:before="120" w:after="120" w:line="240" w:lineRule="auto"/>
        <w:rPr>
          <w:rFonts w:eastAsia="Times New Roman" w:cstheme="minorHAnsi"/>
          <w:color w:val="222222"/>
          <w:lang w:eastAsia="it-IT"/>
        </w:rPr>
      </w:pPr>
    </w:p>
    <w:p w14:paraId="3F6765DA" w14:textId="77777777" w:rsidR="00C179DF" w:rsidRPr="00454C26" w:rsidRDefault="00C179DF" w:rsidP="00C179DF">
      <w:p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Existing evidence about the relative performance of the Housing First programs is generally positive</w:t>
      </w:r>
      <w:r w:rsidRPr="00454C26">
        <w:rPr>
          <w:rStyle w:val="FootnoteReference"/>
          <w:rFonts w:eastAsia="Times New Roman" w:cstheme="minorHAnsi"/>
          <w:color w:val="222222"/>
          <w:lang w:eastAsia="it-IT"/>
        </w:rPr>
        <w:footnoteReference w:id="39"/>
      </w:r>
      <w:r w:rsidRPr="00454C26">
        <w:rPr>
          <w:rFonts w:eastAsia="Times New Roman" w:cstheme="minorHAnsi"/>
          <w:color w:val="222222"/>
          <w:lang w:eastAsia="it-IT"/>
        </w:rPr>
        <w:t>.</w:t>
      </w:r>
    </w:p>
    <w:p w14:paraId="7CBB24E0" w14:textId="77777777" w:rsidR="00C179DF" w:rsidRPr="00454C26" w:rsidRDefault="00C179DF" w:rsidP="00C179DF">
      <w:p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Among the positive effects identified are:</w:t>
      </w:r>
    </w:p>
    <w:p w14:paraId="32829206" w14:textId="77777777" w:rsidR="00C179DF" w:rsidRPr="00454C26" w:rsidRDefault="00C179DF" w:rsidP="00454C26">
      <w:pPr>
        <w:pStyle w:val="ListParagraph"/>
        <w:numPr>
          <w:ilvl w:val="0"/>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Increased health status (including mental health) among participants</w:t>
      </w:r>
    </w:p>
    <w:p w14:paraId="5628B257" w14:textId="77777777" w:rsidR="00C179DF" w:rsidRPr="00454C26" w:rsidRDefault="00C179DF" w:rsidP="00454C26">
      <w:pPr>
        <w:pStyle w:val="ListParagraph"/>
        <w:numPr>
          <w:ilvl w:val="0"/>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Higher percentage of individuals retaining housing among participants</w:t>
      </w:r>
    </w:p>
    <w:p w14:paraId="724E9C5A" w14:textId="77777777" w:rsidR="00C179DF" w:rsidRPr="00454C26" w:rsidRDefault="00C179DF" w:rsidP="00454C26">
      <w:pPr>
        <w:pStyle w:val="ListParagraph"/>
        <w:numPr>
          <w:ilvl w:val="0"/>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Reduced drinking among homeless alcoholics</w:t>
      </w:r>
    </w:p>
    <w:p w14:paraId="4CD12659" w14:textId="77777777" w:rsidR="00C179DF" w:rsidRPr="00454C26" w:rsidRDefault="00C179DF" w:rsidP="00454C26">
      <w:pPr>
        <w:pStyle w:val="ListParagraph"/>
        <w:numPr>
          <w:ilvl w:val="0"/>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Reduction in the number of chronically homeless individuals livi</w:t>
      </w:r>
      <w:bookmarkStart w:id="2" w:name="_GoBack"/>
      <w:bookmarkEnd w:id="2"/>
      <w:r w:rsidRPr="00454C26">
        <w:rPr>
          <w:rFonts w:eastAsia="Times New Roman" w:cstheme="minorHAnsi"/>
          <w:color w:val="222222"/>
          <w:lang w:eastAsia="it-IT"/>
        </w:rPr>
        <w:t>ng on the streets or in shelters</w:t>
      </w:r>
    </w:p>
    <w:p w14:paraId="0EB915B4" w14:textId="77777777" w:rsidR="00C179DF" w:rsidRPr="00454C26" w:rsidRDefault="00C179DF" w:rsidP="00454C26">
      <w:pPr>
        <w:pStyle w:val="ListParagraph"/>
        <w:numPr>
          <w:ilvl w:val="0"/>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Significant cost-savings associated to:</w:t>
      </w:r>
    </w:p>
    <w:p w14:paraId="6D82470C" w14:textId="77777777" w:rsidR="00C179DF" w:rsidRPr="00454C26" w:rsidRDefault="00C179DF" w:rsidP="00454C26">
      <w:pPr>
        <w:pStyle w:val="ListParagraph"/>
        <w:numPr>
          <w:ilvl w:val="1"/>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Reduction in use and cost of emergency services</w:t>
      </w:r>
    </w:p>
    <w:p w14:paraId="39EC7B17" w14:textId="77777777" w:rsidR="00C179DF" w:rsidRPr="00454C26" w:rsidRDefault="00C179DF" w:rsidP="00454C26">
      <w:pPr>
        <w:pStyle w:val="ListParagraph"/>
        <w:numPr>
          <w:ilvl w:val="1"/>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Reduction in other health and social service costs</w:t>
      </w:r>
    </w:p>
    <w:p w14:paraId="403AF234" w14:textId="77777777" w:rsidR="00C179DF" w:rsidRPr="00454C26" w:rsidRDefault="00C179DF" w:rsidP="00454C26">
      <w:pPr>
        <w:pStyle w:val="ListParagraph"/>
        <w:numPr>
          <w:ilvl w:val="1"/>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Reduction in costs associated to chronic homelessness</w:t>
      </w:r>
    </w:p>
    <w:p w14:paraId="306A8E5B" w14:textId="48B83FCA" w:rsidR="00C179DF" w:rsidRPr="00454C26" w:rsidRDefault="00C179DF" w:rsidP="00454C26">
      <w:pPr>
        <w:pStyle w:val="ListParagraph"/>
        <w:numPr>
          <w:ilvl w:val="1"/>
          <w:numId w:val="26"/>
        </w:numPr>
        <w:shd w:val="clear" w:color="auto" w:fill="FFFFFF"/>
        <w:spacing w:before="120" w:after="120" w:line="240" w:lineRule="auto"/>
        <w:rPr>
          <w:rFonts w:eastAsia="Times New Roman" w:cstheme="minorHAnsi"/>
          <w:color w:val="222222"/>
          <w:lang w:eastAsia="it-IT"/>
        </w:rPr>
      </w:pPr>
      <w:r w:rsidRPr="00454C26">
        <w:rPr>
          <w:rFonts w:eastAsia="Times New Roman" w:cstheme="minorHAnsi"/>
          <w:color w:val="222222"/>
          <w:lang w:eastAsia="it-IT"/>
        </w:rPr>
        <w:t>Reduction in police and incarceration costs</w:t>
      </w:r>
      <w:r>
        <w:rPr>
          <w:rFonts w:eastAsia="Times New Roman" w:cstheme="minorHAnsi"/>
          <w:color w:val="222222"/>
          <w:lang w:eastAsia="it-IT"/>
        </w:rPr>
        <w:t>.</w:t>
      </w:r>
    </w:p>
    <w:p w14:paraId="79B0CF85" w14:textId="77777777" w:rsidR="0035633D" w:rsidRPr="00940A1D" w:rsidRDefault="0035633D" w:rsidP="0066387E"/>
    <w:sectPr w:rsidR="0035633D" w:rsidRPr="00940A1D" w:rsidSect="0041763E">
      <w:footerReference w:type="default" r:id="rId130"/>
      <w:pgSz w:w="12240" w:h="15840"/>
      <w:pgMar w:top="1440" w:right="162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A5B1EA" w14:textId="77777777" w:rsidR="009A7338" w:rsidRDefault="009A7338" w:rsidP="00C352F2">
      <w:pPr>
        <w:spacing w:after="0" w:line="240" w:lineRule="auto"/>
      </w:pPr>
      <w:r>
        <w:separator/>
      </w:r>
    </w:p>
  </w:endnote>
  <w:endnote w:type="continuationSeparator" w:id="0">
    <w:p w14:paraId="404D4611" w14:textId="77777777" w:rsidR="009A7338" w:rsidRDefault="009A7338" w:rsidP="00C352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3970224"/>
      <w:docPartObj>
        <w:docPartGallery w:val="Page Numbers (Bottom of Page)"/>
        <w:docPartUnique/>
      </w:docPartObj>
    </w:sdtPr>
    <w:sdtEndPr>
      <w:rPr>
        <w:noProof/>
      </w:rPr>
    </w:sdtEndPr>
    <w:sdtContent>
      <w:p w14:paraId="1CCD004F" w14:textId="0ED35ABF" w:rsidR="009E6455" w:rsidRDefault="009E6455">
        <w:pPr>
          <w:pStyle w:val="Footer"/>
          <w:jc w:val="right"/>
        </w:pPr>
        <w:r>
          <w:fldChar w:fldCharType="begin"/>
        </w:r>
        <w:r>
          <w:instrText xml:space="preserve"> PAGE   \* MERGEFORMAT </w:instrText>
        </w:r>
        <w:r>
          <w:fldChar w:fldCharType="separate"/>
        </w:r>
        <w:r>
          <w:rPr>
            <w:noProof/>
          </w:rPr>
          <w:t>44</w:t>
        </w:r>
        <w:r>
          <w:rPr>
            <w:noProof/>
          </w:rPr>
          <w:fldChar w:fldCharType="end"/>
        </w:r>
      </w:p>
    </w:sdtContent>
  </w:sdt>
  <w:p w14:paraId="1D645138" w14:textId="77777777" w:rsidR="009E6455" w:rsidRDefault="009E64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809EB6" w14:textId="77777777" w:rsidR="009A7338" w:rsidRDefault="009A7338" w:rsidP="00C352F2">
      <w:pPr>
        <w:spacing w:after="0" w:line="240" w:lineRule="auto"/>
      </w:pPr>
      <w:r>
        <w:separator/>
      </w:r>
    </w:p>
  </w:footnote>
  <w:footnote w:type="continuationSeparator" w:id="0">
    <w:p w14:paraId="677583E0" w14:textId="77777777" w:rsidR="009A7338" w:rsidRDefault="009A7338" w:rsidP="00C352F2">
      <w:pPr>
        <w:spacing w:after="0" w:line="240" w:lineRule="auto"/>
      </w:pPr>
      <w:r>
        <w:continuationSeparator/>
      </w:r>
    </w:p>
  </w:footnote>
  <w:footnote w:id="1">
    <w:p w14:paraId="26CEEF17" w14:textId="77777777" w:rsidR="009E6455" w:rsidRPr="00D74D8C" w:rsidRDefault="009E6455" w:rsidP="00813727">
      <w:pPr>
        <w:pStyle w:val="FootnoteText"/>
        <w:rPr>
          <w:rFonts w:cstheme="minorHAnsi"/>
          <w:sz w:val="18"/>
          <w:lang w:val="en-GB"/>
        </w:rPr>
      </w:pPr>
      <w:r w:rsidRPr="00C73B59">
        <w:rPr>
          <w:rStyle w:val="FootnoteReference"/>
          <w:rFonts w:cstheme="minorHAnsi"/>
          <w:sz w:val="18"/>
        </w:rPr>
        <w:footnoteRef/>
      </w:r>
      <w:r w:rsidRPr="00C73B59">
        <w:rPr>
          <w:rFonts w:cstheme="minorHAnsi"/>
          <w:sz w:val="18"/>
        </w:rPr>
        <w:t xml:space="preserve"> The rights and obligations of the local self-governments which are del</w:t>
      </w:r>
      <w:r>
        <w:rPr>
          <w:rFonts w:cstheme="minorHAnsi"/>
          <w:sz w:val="18"/>
        </w:rPr>
        <w:t>egated</w:t>
      </w:r>
      <w:r w:rsidRPr="00C73B59">
        <w:rPr>
          <w:rFonts w:cstheme="minorHAnsi"/>
          <w:sz w:val="18"/>
        </w:rPr>
        <w:t xml:space="preserve"> from the central government </w:t>
      </w:r>
      <w:r>
        <w:rPr>
          <w:rFonts w:cstheme="minorHAnsi"/>
          <w:sz w:val="18"/>
        </w:rPr>
        <w:t>for</w:t>
      </w:r>
      <w:r w:rsidRPr="00C73B59">
        <w:rPr>
          <w:rFonts w:cstheme="minorHAnsi"/>
          <w:sz w:val="18"/>
        </w:rPr>
        <w:t xml:space="preserve"> implement</w:t>
      </w:r>
      <w:r>
        <w:rPr>
          <w:rFonts w:cstheme="minorHAnsi"/>
          <w:sz w:val="18"/>
        </w:rPr>
        <w:t>ation</w:t>
      </w:r>
      <w:r>
        <w:rPr>
          <w:rFonts w:cstheme="minorHAnsi"/>
          <w:sz w:val="18"/>
          <w:lang w:val="ka-GE"/>
        </w:rPr>
        <w:t xml:space="preserve">. </w:t>
      </w:r>
      <w:r>
        <w:rPr>
          <w:rFonts w:cstheme="minorHAnsi"/>
          <w:sz w:val="18"/>
          <w:lang w:val="en-GB"/>
        </w:rPr>
        <w:t xml:space="preserve"> The code of Local Self Government, Chapter 1, Article 4.</w:t>
      </w:r>
    </w:p>
  </w:footnote>
  <w:footnote w:id="2">
    <w:p w14:paraId="6BB70019" w14:textId="77777777" w:rsidR="009E6455" w:rsidRPr="00C73B59" w:rsidRDefault="009E6455" w:rsidP="00813727">
      <w:pPr>
        <w:pStyle w:val="FootnoteText"/>
        <w:rPr>
          <w:rFonts w:ascii="Sylfaen" w:hAnsi="Sylfaen"/>
        </w:rPr>
      </w:pPr>
      <w:r w:rsidRPr="00C73B59">
        <w:rPr>
          <w:rStyle w:val="FootnoteReference"/>
          <w:rFonts w:cstheme="minorHAnsi"/>
          <w:sz w:val="18"/>
        </w:rPr>
        <w:footnoteRef/>
      </w:r>
      <w:r w:rsidRPr="00C73B59">
        <w:rPr>
          <w:rFonts w:cstheme="minorHAnsi"/>
          <w:sz w:val="18"/>
        </w:rPr>
        <w:t xml:space="preserve"> Authority of the local self-government that can be implemented independently under its own responsibility</w:t>
      </w:r>
    </w:p>
  </w:footnote>
  <w:footnote w:id="3">
    <w:p w14:paraId="668BA881" w14:textId="77777777" w:rsidR="009E6455" w:rsidRPr="00D74D8C" w:rsidRDefault="009E6455" w:rsidP="00813727">
      <w:pPr>
        <w:pStyle w:val="FootnoteText"/>
        <w:rPr>
          <w:rFonts w:cstheme="minorHAnsi"/>
          <w:lang w:val="en-GB"/>
        </w:rPr>
      </w:pPr>
      <w:r>
        <w:rPr>
          <w:rStyle w:val="FootnoteReference"/>
        </w:rPr>
        <w:footnoteRef/>
      </w:r>
      <w:r>
        <w:t xml:space="preserve"> </w:t>
      </w:r>
      <w:r w:rsidRPr="005F0A46">
        <w:rPr>
          <w:rFonts w:cstheme="minorHAnsi"/>
          <w:sz w:val="18"/>
          <w:lang w:val="en-GB"/>
        </w:rPr>
        <w:t>Law of Social Assistance, Chapter 1, Article 4</w:t>
      </w:r>
    </w:p>
  </w:footnote>
  <w:footnote w:id="4">
    <w:p w14:paraId="16CC4C96" w14:textId="77777777" w:rsidR="009E6455" w:rsidRPr="00080502" w:rsidRDefault="009E6455" w:rsidP="00813727">
      <w:pPr>
        <w:pStyle w:val="FootnoteText"/>
        <w:rPr>
          <w:rFonts w:cstheme="minorHAnsi"/>
          <w:sz w:val="18"/>
        </w:rPr>
      </w:pPr>
      <w:r>
        <w:rPr>
          <w:rStyle w:val="FootnoteReference"/>
        </w:rPr>
        <w:footnoteRef/>
      </w:r>
      <w:r>
        <w:t xml:space="preserve"> </w:t>
      </w:r>
      <w:r w:rsidRPr="00080502">
        <w:rPr>
          <w:rFonts w:cstheme="minorHAnsi"/>
          <w:sz w:val="18"/>
        </w:rPr>
        <w:t>Law on Internally Displaced Persons, Chapter 1, Article 4.</w:t>
      </w:r>
    </w:p>
  </w:footnote>
  <w:footnote w:id="5">
    <w:p w14:paraId="36A2C34D" w14:textId="77777777" w:rsidR="009E6455" w:rsidRDefault="009E6455" w:rsidP="00813727">
      <w:pPr>
        <w:pStyle w:val="FootnoteText"/>
      </w:pPr>
      <w:r>
        <w:rPr>
          <w:rStyle w:val="FootnoteReference"/>
        </w:rPr>
        <w:footnoteRef/>
      </w:r>
      <w:r>
        <w:t xml:space="preserve"> </w:t>
      </w:r>
      <w:r w:rsidRPr="00080502">
        <w:rPr>
          <w:rFonts w:cstheme="minorHAnsi"/>
          <w:sz w:val="18"/>
        </w:rPr>
        <w:t>One of the main responsibilities of ATIP Fun is to provide Crisis center services to the alleged victims of domestic violence.</w:t>
      </w:r>
    </w:p>
  </w:footnote>
  <w:footnote w:id="6">
    <w:p w14:paraId="1D2B2C47" w14:textId="77777777" w:rsidR="009E6455" w:rsidRDefault="009E6455" w:rsidP="00813727">
      <w:pPr>
        <w:pStyle w:val="FootnoteText"/>
      </w:pPr>
      <w:r>
        <w:rPr>
          <w:rStyle w:val="FootnoteReference"/>
        </w:rPr>
        <w:footnoteRef/>
      </w:r>
      <w:r>
        <w:t xml:space="preserve"> </w:t>
      </w:r>
      <w:r w:rsidRPr="00080502">
        <w:rPr>
          <w:rFonts w:cstheme="minorHAnsi"/>
          <w:sz w:val="18"/>
        </w:rPr>
        <w:t>SSA is responsible to react to the domestic violence and provide social support to the victims (including temporary shelters</w:t>
      </w:r>
      <w:r>
        <w:rPr>
          <w:rFonts w:cstheme="minorHAnsi"/>
          <w:sz w:val="18"/>
        </w:rPr>
        <w:t>)</w:t>
      </w:r>
    </w:p>
  </w:footnote>
  <w:footnote w:id="7">
    <w:p w14:paraId="1C4E6853" w14:textId="77777777" w:rsidR="009E6455" w:rsidRPr="005F0A46" w:rsidRDefault="009E6455" w:rsidP="00813727">
      <w:pPr>
        <w:pStyle w:val="FootnoteText"/>
        <w:rPr>
          <w:rFonts w:cstheme="minorHAnsi"/>
          <w:sz w:val="18"/>
        </w:rPr>
      </w:pPr>
      <w:r>
        <w:rPr>
          <w:rStyle w:val="FootnoteReference"/>
        </w:rPr>
        <w:footnoteRef/>
      </w:r>
      <w:r>
        <w:t xml:space="preserve"> </w:t>
      </w:r>
      <w:r w:rsidRPr="005F0A46">
        <w:rPr>
          <w:rFonts w:cstheme="minorHAnsi"/>
          <w:sz w:val="18"/>
        </w:rPr>
        <w:t xml:space="preserve">The discussion does not include data from 16 municipalizes, which will be provided later by </w:t>
      </w:r>
      <w:proofErr w:type="spellStart"/>
      <w:r w:rsidRPr="005F0A46">
        <w:rPr>
          <w:rFonts w:cstheme="minorHAnsi"/>
          <w:sz w:val="18"/>
        </w:rPr>
        <w:t>MoLSHA</w:t>
      </w:r>
      <w:proofErr w:type="spellEnd"/>
    </w:p>
  </w:footnote>
  <w:footnote w:id="8">
    <w:p w14:paraId="07050B67" w14:textId="77777777" w:rsidR="009E6455" w:rsidRPr="005F0A46" w:rsidRDefault="009E6455" w:rsidP="00813727">
      <w:pPr>
        <w:pStyle w:val="FootnoteText"/>
        <w:rPr>
          <w:rFonts w:cstheme="minorHAnsi"/>
          <w:sz w:val="18"/>
        </w:rPr>
      </w:pPr>
      <w:r w:rsidRPr="005F0A46">
        <w:rPr>
          <w:rStyle w:val="FootnoteReference"/>
          <w:rFonts w:cstheme="minorHAnsi"/>
          <w:sz w:val="18"/>
        </w:rPr>
        <w:footnoteRef/>
      </w:r>
      <w:r w:rsidRPr="005F0A46">
        <w:rPr>
          <w:rFonts w:cstheme="minorHAnsi"/>
          <w:sz w:val="18"/>
        </w:rPr>
        <w:t xml:space="preserve"> It has to be noted as </w:t>
      </w:r>
      <w:proofErr w:type="spellStart"/>
      <w:r w:rsidRPr="005F0A46">
        <w:rPr>
          <w:rFonts w:cstheme="minorHAnsi"/>
          <w:sz w:val="18"/>
        </w:rPr>
        <w:t>MoLSHA</w:t>
      </w:r>
      <w:proofErr w:type="spellEnd"/>
      <w:r w:rsidRPr="005F0A46">
        <w:rPr>
          <w:rFonts w:cstheme="minorHAnsi"/>
          <w:sz w:val="18"/>
        </w:rPr>
        <w:t xml:space="preserve"> and SSA have special programs including care centers for people with disabilities. </w:t>
      </w:r>
    </w:p>
  </w:footnote>
  <w:footnote w:id="9">
    <w:p w14:paraId="67931A53" w14:textId="77777777" w:rsidR="009E6455" w:rsidRPr="00080502" w:rsidRDefault="009E6455" w:rsidP="00813727">
      <w:pPr>
        <w:pStyle w:val="FootnoteText"/>
        <w:rPr>
          <w:sz w:val="18"/>
          <w:lang w:val="en-GB"/>
        </w:rPr>
      </w:pPr>
      <w:r>
        <w:rPr>
          <w:rStyle w:val="FootnoteReference"/>
        </w:rPr>
        <w:footnoteRef/>
      </w:r>
      <w:r>
        <w:rPr>
          <w:lang w:val="en-GB"/>
        </w:rPr>
        <w:t>S</w:t>
      </w:r>
      <w:r w:rsidRPr="00080502">
        <w:rPr>
          <w:sz w:val="18"/>
          <w:lang w:val="en-GB"/>
        </w:rPr>
        <w:t>ervices include: Daily services, daily four-meal, educational services, primary medical care, psychologistic services</w:t>
      </w:r>
    </w:p>
  </w:footnote>
  <w:footnote w:id="10">
    <w:p w14:paraId="1165CCEE" w14:textId="77777777" w:rsidR="009E6455" w:rsidRPr="00D74D8C" w:rsidRDefault="009E6455" w:rsidP="00813727">
      <w:pPr>
        <w:pStyle w:val="FootnoteText"/>
        <w:rPr>
          <w:lang w:val="en-GB"/>
        </w:rPr>
      </w:pPr>
      <w:r w:rsidRPr="00080502">
        <w:rPr>
          <w:rStyle w:val="FootnoteReference"/>
          <w:sz w:val="18"/>
        </w:rPr>
        <w:footnoteRef/>
      </w:r>
      <w:r w:rsidRPr="00080502">
        <w:rPr>
          <w:sz w:val="18"/>
        </w:rPr>
        <w:t xml:space="preserve"> </w:t>
      </w:r>
      <w:r w:rsidRPr="00080502">
        <w:rPr>
          <w:sz w:val="18"/>
          <w:lang w:val="en-GB"/>
        </w:rPr>
        <w:t>Includes mild intellectual disabilities. Likely to result in some learning difficulties in school. Many adults will be able to work and maintain good social relationships and contribute to society.</w:t>
      </w:r>
    </w:p>
  </w:footnote>
  <w:footnote w:id="11">
    <w:p w14:paraId="097373B9" w14:textId="77777777" w:rsidR="009E6455" w:rsidRPr="00D44092" w:rsidRDefault="009E6455" w:rsidP="00813727">
      <w:pPr>
        <w:pStyle w:val="FootnoteText"/>
        <w:rPr>
          <w:lang w:val="en-GB"/>
        </w:rPr>
      </w:pPr>
      <w:r>
        <w:rPr>
          <w:rStyle w:val="FootnoteReference"/>
        </w:rPr>
        <w:footnoteRef/>
      </w:r>
      <w:r>
        <w:t xml:space="preserve"> </w:t>
      </w:r>
      <w:r w:rsidRPr="00080502">
        <w:rPr>
          <w:sz w:val="18"/>
        </w:rPr>
        <w:t>Dependent person is a under 18 kid of the victim of the violence</w:t>
      </w:r>
    </w:p>
  </w:footnote>
  <w:footnote w:id="12">
    <w:p w14:paraId="2D2B2898" w14:textId="77777777" w:rsidR="009E6455" w:rsidRPr="00D44092" w:rsidRDefault="009E6455" w:rsidP="00813727">
      <w:pPr>
        <w:pStyle w:val="FootnoteText"/>
        <w:rPr>
          <w:lang w:val="en-GB"/>
        </w:rPr>
      </w:pPr>
      <w:r>
        <w:rPr>
          <w:rStyle w:val="FootnoteReference"/>
        </w:rPr>
        <w:footnoteRef/>
      </w:r>
      <w:r>
        <w:t xml:space="preserve"> </w:t>
      </w:r>
      <w:r w:rsidRPr="00080502">
        <w:rPr>
          <w:sz w:val="18"/>
          <w:lang w:val="en-GB"/>
        </w:rPr>
        <w:t>According to the</w:t>
      </w:r>
      <w:r w:rsidRPr="00080502">
        <w:rPr>
          <w:sz w:val="18"/>
          <w:lang w:val="ka-GE"/>
        </w:rPr>
        <w:t xml:space="preserve"> </w:t>
      </w:r>
      <w:r w:rsidRPr="00080502">
        <w:rPr>
          <w:sz w:val="18"/>
          <w:lang w:val="en-GB"/>
        </w:rPr>
        <w:t xml:space="preserve">data provided by </w:t>
      </w:r>
      <w:proofErr w:type="spellStart"/>
      <w:r w:rsidRPr="00080502">
        <w:rPr>
          <w:sz w:val="18"/>
          <w:lang w:val="en-GB"/>
        </w:rPr>
        <w:t>MoLSHA</w:t>
      </w:r>
      <w:proofErr w:type="spellEnd"/>
    </w:p>
  </w:footnote>
  <w:footnote w:id="13">
    <w:p w14:paraId="6BC12562" w14:textId="77777777" w:rsidR="009E6455" w:rsidRPr="00D74D8C" w:rsidRDefault="009E6455" w:rsidP="00813727">
      <w:pPr>
        <w:pStyle w:val="FootnoteText"/>
        <w:rPr>
          <w:rFonts w:cstheme="minorHAnsi"/>
          <w:lang w:val="en-GB"/>
        </w:rPr>
      </w:pPr>
      <w:r>
        <w:rPr>
          <w:rStyle w:val="FootnoteReference"/>
        </w:rPr>
        <w:footnoteRef/>
      </w:r>
      <w:r>
        <w:t xml:space="preserve"> </w:t>
      </w:r>
      <w:r w:rsidRPr="00080502">
        <w:rPr>
          <w:rFonts w:cstheme="minorHAnsi"/>
          <w:sz w:val="18"/>
          <w:lang w:val="en-GB"/>
        </w:rPr>
        <w:t xml:space="preserve">In order a person to be eligible to get a shelter/status for IDP, one should justify that she/he was living in </w:t>
      </w:r>
      <w:proofErr w:type="spellStart"/>
      <w:r w:rsidRPr="00080502">
        <w:rPr>
          <w:rFonts w:cstheme="minorHAnsi"/>
          <w:sz w:val="18"/>
          <w:lang w:val="en-GB"/>
        </w:rPr>
        <w:t>Ankhazia</w:t>
      </w:r>
      <w:proofErr w:type="spellEnd"/>
      <w:r w:rsidRPr="00080502">
        <w:rPr>
          <w:rFonts w:cstheme="minorHAnsi"/>
          <w:sz w:val="18"/>
          <w:lang w:val="en-GB"/>
        </w:rPr>
        <w:t xml:space="preserve"> or in </w:t>
      </w:r>
      <w:proofErr w:type="spellStart"/>
      <w:r w:rsidRPr="00080502">
        <w:rPr>
          <w:rFonts w:cstheme="minorHAnsi"/>
          <w:sz w:val="18"/>
          <w:lang w:val="en-GB"/>
        </w:rPr>
        <w:t>Tskhivali</w:t>
      </w:r>
      <w:proofErr w:type="spellEnd"/>
      <w:r w:rsidRPr="00080502">
        <w:rPr>
          <w:rFonts w:cstheme="minorHAnsi"/>
          <w:sz w:val="18"/>
          <w:lang w:val="en-GB"/>
        </w:rPr>
        <w:t xml:space="preserve"> before the conflict. </w:t>
      </w:r>
    </w:p>
  </w:footnote>
  <w:footnote w:id="14">
    <w:p w14:paraId="6BC41C75" w14:textId="77777777" w:rsidR="009E6455" w:rsidRDefault="009E6455" w:rsidP="00813727">
      <w:pPr>
        <w:pStyle w:val="FootnoteText"/>
      </w:pPr>
      <w:r>
        <w:rPr>
          <w:rStyle w:val="FootnoteReference"/>
        </w:rPr>
        <w:footnoteRef/>
      </w:r>
      <w:r>
        <w:t xml:space="preserve"> The Typology is developed by the </w:t>
      </w:r>
      <w:r w:rsidRPr="002548C0">
        <w:t>European Federation of National Organizations Working with the Homeless</w:t>
      </w:r>
      <w:r>
        <w:t xml:space="preserve"> (</w:t>
      </w:r>
      <w:r w:rsidRPr="002548C0">
        <w:t>FEANTSA</w:t>
      </w:r>
      <w:r>
        <w:t>)</w:t>
      </w:r>
    </w:p>
  </w:footnote>
  <w:footnote w:id="15">
    <w:p w14:paraId="1EFB3895" w14:textId="77777777" w:rsidR="009E6455" w:rsidRDefault="009E6455" w:rsidP="0026391F">
      <w:pPr>
        <w:pStyle w:val="FootnoteText"/>
      </w:pPr>
      <w:r>
        <w:rPr>
          <w:rStyle w:val="FootnoteReference"/>
        </w:rPr>
        <w:footnoteRef/>
      </w:r>
      <w:r>
        <w:t xml:space="preserve"> According to ETHOS short stay is defined with less than year and long Stay is defined as more than one year. </w:t>
      </w:r>
    </w:p>
  </w:footnote>
  <w:footnote w:id="16">
    <w:p w14:paraId="42CB46E7" w14:textId="77777777" w:rsidR="009E6455" w:rsidRPr="006066AB" w:rsidRDefault="009E6455" w:rsidP="00813727">
      <w:pPr>
        <w:jc w:val="both"/>
        <w:rPr>
          <w:rFonts w:cstheme="minorHAnsi"/>
          <w:sz w:val="20"/>
          <w:szCs w:val="20"/>
        </w:rPr>
      </w:pPr>
      <w:r>
        <w:rPr>
          <w:rStyle w:val="FootnoteReference"/>
        </w:rPr>
        <w:footnoteRef/>
      </w:r>
      <w:r>
        <w:t xml:space="preserve"> </w:t>
      </w:r>
      <w:r w:rsidRPr="006066AB">
        <w:rPr>
          <w:rFonts w:cstheme="minorHAnsi"/>
          <w:sz w:val="20"/>
          <w:szCs w:val="20"/>
        </w:rPr>
        <w:t xml:space="preserve">Even having access to a shelter or a social house does not necessarily solve all issues. </w:t>
      </w:r>
      <w:r w:rsidRPr="006066AB">
        <w:rPr>
          <w:rFonts w:cstheme="minorHAnsi"/>
          <w:sz w:val="20"/>
          <w:szCs w:val="20"/>
          <w:lang w:val="en-GB"/>
        </w:rPr>
        <w:t>According the Swiss Agency for Development and Cooperation (SDC, 2013)</w:t>
      </w:r>
      <w:r w:rsidRPr="006066AB">
        <w:rPr>
          <w:rStyle w:val="FootnoteReference"/>
          <w:rFonts w:cstheme="minorHAnsi"/>
          <w:sz w:val="20"/>
          <w:szCs w:val="20"/>
          <w:lang w:val="en-GB"/>
        </w:rPr>
        <w:footnoteRef/>
      </w:r>
      <w:r w:rsidRPr="006066AB">
        <w:rPr>
          <w:rFonts w:cstheme="minorHAnsi"/>
          <w:sz w:val="20"/>
          <w:szCs w:val="20"/>
          <w:lang w:val="en-GB"/>
        </w:rPr>
        <w:t xml:space="preserve">, in Georgia </w:t>
      </w:r>
      <w:r w:rsidRPr="006066AB">
        <w:rPr>
          <w:rFonts w:cstheme="minorHAnsi"/>
          <w:sz w:val="20"/>
          <w:szCs w:val="20"/>
        </w:rPr>
        <w:t>there are problems for the household who got permanent houses from the government</w:t>
      </w:r>
      <w:r w:rsidRPr="006066AB">
        <w:rPr>
          <w:rFonts w:ascii="Sylfaen" w:hAnsi="Sylfaen" w:cstheme="minorHAnsi"/>
          <w:sz w:val="20"/>
          <w:szCs w:val="20"/>
          <w:lang w:val="ka-GE"/>
        </w:rPr>
        <w:t xml:space="preserve"> </w:t>
      </w:r>
      <w:r w:rsidRPr="006066AB">
        <w:rPr>
          <w:rFonts w:cstheme="minorHAnsi"/>
          <w:sz w:val="20"/>
          <w:szCs w:val="20"/>
        </w:rPr>
        <w:t>as well.</w:t>
      </w:r>
      <w:r w:rsidRPr="006066AB">
        <w:rPr>
          <w:rFonts w:ascii="Sylfaen" w:hAnsi="Sylfaen" w:cstheme="minorHAnsi"/>
          <w:sz w:val="20"/>
          <w:szCs w:val="20"/>
          <w:lang w:val="ka-GE"/>
        </w:rPr>
        <w:t xml:space="preserve"> </w:t>
      </w:r>
      <w:r w:rsidRPr="006066AB">
        <w:rPr>
          <w:rFonts w:cstheme="minorHAnsi"/>
          <w:sz w:val="20"/>
          <w:szCs w:val="20"/>
        </w:rPr>
        <w:t xml:space="preserve">According to the report, having been given a shelter (or social house) by the government is often a reason of social exclusion. The people living in Social houses report they do not have a social relationship with people living in surrounding areas, and they are stigmatized and excluded. </w:t>
      </w:r>
    </w:p>
    <w:p w14:paraId="0B6BEDA1" w14:textId="77DE35E7" w:rsidR="009E6455" w:rsidRPr="006066AB" w:rsidRDefault="009E6455" w:rsidP="00813727">
      <w:pPr>
        <w:jc w:val="both"/>
        <w:rPr>
          <w:rFonts w:cstheme="minorHAnsi"/>
          <w:sz w:val="20"/>
          <w:szCs w:val="20"/>
        </w:rPr>
      </w:pPr>
      <w:r w:rsidRPr="006066AB">
        <w:rPr>
          <w:rFonts w:cstheme="minorHAnsi"/>
          <w:sz w:val="20"/>
          <w:szCs w:val="20"/>
        </w:rPr>
        <w:t>Other social programs implemented by the government also do not support beneficiaries to be better integrated into the society.</w:t>
      </w:r>
      <w:r w:rsidRPr="006066AB">
        <w:rPr>
          <w:rFonts w:ascii="Sylfaen" w:hAnsi="Sylfaen" w:cstheme="minorHAnsi"/>
          <w:sz w:val="20"/>
          <w:szCs w:val="20"/>
          <w:lang w:val="ka-GE"/>
        </w:rPr>
        <w:t xml:space="preserve"> </w:t>
      </w:r>
      <w:r w:rsidRPr="006066AB">
        <w:rPr>
          <w:rFonts w:cstheme="minorHAnsi"/>
          <w:sz w:val="20"/>
          <w:szCs w:val="20"/>
        </w:rPr>
        <w:t xml:space="preserve">This mostly refers to IDPs and families resettled in the social houses. Usually communal living spaces (such as shelters for IDPs) are located in remote areas, which means less access to the public infrastructure and services such as hospitals, schools, kindergartens. IDPs who are resettled into the urban areas but still remotely from the city center have an advantage over the ones who were collectively resettled into the rural areas in terms of access to job opportunities, although they have more limited access to agricultural land (as a buffer) in case they do not manage to get a job. </w:t>
      </w:r>
    </w:p>
    <w:p w14:paraId="4687E792" w14:textId="77777777" w:rsidR="009E6455" w:rsidRPr="009D13A4" w:rsidRDefault="009E6455" w:rsidP="00813727">
      <w:pPr>
        <w:pStyle w:val="FootnoteText"/>
      </w:pPr>
    </w:p>
  </w:footnote>
  <w:footnote w:id="17">
    <w:p w14:paraId="66CB9AB6" w14:textId="77777777" w:rsidR="009E6455" w:rsidRPr="003D38DD" w:rsidRDefault="009E6455" w:rsidP="00813727">
      <w:pPr>
        <w:pStyle w:val="FootnoteText"/>
        <w:rPr>
          <w:lang w:val="en-GB"/>
        </w:rPr>
      </w:pPr>
      <w:r>
        <w:rPr>
          <w:rStyle w:val="FootnoteReference"/>
        </w:rPr>
        <w:footnoteRef/>
      </w:r>
      <w:r>
        <w:t xml:space="preserve">  </w:t>
      </w:r>
      <w:hyperlink r:id="rId1" w:anchor="Housing_affordability" w:history="1">
        <w:r w:rsidRPr="005107BF">
          <w:rPr>
            <w:rStyle w:val="Hyperlink"/>
          </w:rPr>
          <w:t>Eurostat: Housing Statistics</w:t>
        </w:r>
      </w:hyperlink>
    </w:p>
  </w:footnote>
  <w:footnote w:id="18">
    <w:p w14:paraId="2BFB2DAE" w14:textId="77777777" w:rsidR="009E6455" w:rsidRPr="00AD0300" w:rsidRDefault="009E6455" w:rsidP="00813727">
      <w:pPr>
        <w:pStyle w:val="FootnoteText"/>
      </w:pPr>
      <w:r>
        <w:rPr>
          <w:rStyle w:val="FootnoteReference"/>
        </w:rPr>
        <w:footnoteRef/>
      </w:r>
      <w:r>
        <w:t xml:space="preserve"> Including, for example, expenditures on utilities.</w:t>
      </w:r>
    </w:p>
  </w:footnote>
  <w:footnote w:id="19">
    <w:p w14:paraId="5E1445D3" w14:textId="77777777" w:rsidR="009E6455" w:rsidRPr="00095BBA" w:rsidRDefault="009E6455" w:rsidP="00813727">
      <w:pPr>
        <w:pStyle w:val="FootnoteText"/>
      </w:pPr>
      <w:r>
        <w:rPr>
          <w:rStyle w:val="FootnoteReference"/>
        </w:rPr>
        <w:footnoteRef/>
      </w:r>
      <w:r>
        <w:t xml:space="preserve"> </w:t>
      </w:r>
      <w:r>
        <w:rPr>
          <w:rFonts w:cstheme="minorHAnsi"/>
        </w:rPr>
        <w:t>The data about homeless and roofless people is incomplete and is available in un-organized and unstructured way. Some subcategories include only the recent data and time trends are not available. Even for the indicators for which time trend is available, it is incomplete and omits the data from some data sources. The data from municipalities about roofless people is also inconsistent as methodologies for defining the category are different.</w:t>
      </w:r>
    </w:p>
  </w:footnote>
  <w:footnote w:id="20">
    <w:p w14:paraId="295188C8" w14:textId="6CD73F35" w:rsidR="009E6455" w:rsidRPr="006066AB" w:rsidRDefault="009E6455" w:rsidP="00501E13">
      <w:pPr>
        <w:jc w:val="both"/>
        <w:rPr>
          <w:rStyle w:val="CommentReference"/>
          <w:i/>
          <w:iCs/>
          <w:color w:val="44546A" w:themeColor="text2"/>
          <w:sz w:val="20"/>
          <w:szCs w:val="20"/>
        </w:rPr>
      </w:pPr>
      <w:r>
        <w:rPr>
          <w:rStyle w:val="FootnoteReference"/>
        </w:rPr>
        <w:footnoteRef/>
      </w:r>
      <w:r>
        <w:t xml:space="preserve"> </w:t>
      </w:r>
      <w:r w:rsidRPr="006066AB">
        <w:rPr>
          <w:rFonts w:cstheme="minorHAnsi"/>
          <w:sz w:val="20"/>
          <w:szCs w:val="20"/>
        </w:rPr>
        <w:t xml:space="preserve">The Georgia Household Survey Database from </w:t>
      </w:r>
      <w:proofErr w:type="spellStart"/>
      <w:r w:rsidRPr="006066AB">
        <w:rPr>
          <w:rFonts w:cstheme="minorHAnsi"/>
          <w:sz w:val="20"/>
          <w:szCs w:val="20"/>
        </w:rPr>
        <w:t>Geostat</w:t>
      </w:r>
      <w:proofErr w:type="spellEnd"/>
      <w:r w:rsidRPr="006066AB">
        <w:rPr>
          <w:rFonts w:cstheme="minorHAnsi"/>
          <w:sz w:val="20"/>
          <w:szCs w:val="20"/>
        </w:rPr>
        <w:t xml:space="preserve"> was utilized extensively for estimating several important indicators for unstable housing. </w:t>
      </w:r>
      <w:r w:rsidRPr="006066AB">
        <w:rPr>
          <w:sz w:val="20"/>
          <w:szCs w:val="20"/>
        </w:rPr>
        <w:t xml:space="preserve">In the process of data cleaning we identified and adjusted inconsistencies. When this was not possible, observations were dropped. Due to data availability issues, we restricted the analysis to the period 2007-2018. Our analysis focuses on household level data. </w:t>
      </w:r>
      <w:r w:rsidRPr="006066AB">
        <w:rPr>
          <w:rFonts w:cstheme="minorHAnsi"/>
          <w:sz w:val="20"/>
          <w:szCs w:val="20"/>
        </w:rPr>
        <w:t>All the indicators derived from the Household Database Survey data are generated from quarterly data and the average value of quarterly indicators are used for the major part of the analysis and for conclusions, while in the figures the intervals of the values in four quarters are depicted as well</w:t>
      </w:r>
      <w:r>
        <w:rPr>
          <w:rFonts w:cstheme="minorHAnsi"/>
          <w:sz w:val="20"/>
          <w:szCs w:val="20"/>
        </w:rPr>
        <w:t>.</w:t>
      </w:r>
      <w:r w:rsidRPr="006066AB">
        <w:rPr>
          <w:rFonts w:cstheme="minorHAnsi"/>
          <w:sz w:val="20"/>
          <w:szCs w:val="20"/>
        </w:rPr>
        <w:t xml:space="preserve"> </w:t>
      </w:r>
    </w:p>
    <w:p w14:paraId="12CBE70C" w14:textId="3CFF4D9E" w:rsidR="009E6455" w:rsidRPr="009D13A4" w:rsidRDefault="009E6455">
      <w:pPr>
        <w:pStyle w:val="FootnoteText"/>
      </w:pPr>
    </w:p>
  </w:footnote>
  <w:footnote w:id="21">
    <w:p w14:paraId="570ECC38" w14:textId="77777777" w:rsidR="009E6455" w:rsidRDefault="009E6455" w:rsidP="00153B90">
      <w:pPr>
        <w:pStyle w:val="FootnoteText"/>
      </w:pPr>
      <w:r>
        <w:rPr>
          <w:rStyle w:val="FootnoteReference"/>
        </w:rPr>
        <w:footnoteRef/>
      </w:r>
      <w:r>
        <w:t xml:space="preserve"> From 2014 year there is an increase of population in urban areas, while in rural areas over 10 years period the only decrease is demonstrated</w:t>
      </w:r>
    </w:p>
  </w:footnote>
  <w:footnote w:id="22">
    <w:p w14:paraId="4A21399C" w14:textId="77777777" w:rsidR="009E6455" w:rsidRPr="00C510FB" w:rsidRDefault="009E6455" w:rsidP="00805C02">
      <w:pPr>
        <w:pStyle w:val="FootnoteText"/>
        <w:rPr>
          <w:lang w:val="ka-GE"/>
        </w:rPr>
      </w:pPr>
      <w:r>
        <w:rPr>
          <w:rStyle w:val="FootnoteReference"/>
        </w:rPr>
        <w:footnoteRef/>
      </w:r>
      <w:r>
        <w:t xml:space="preserve"> One explanation behind variable interest rates can be the policy of the central bank to control real effective exchange rate</w:t>
      </w:r>
      <w:r>
        <w:rPr>
          <w:lang w:val="ka-GE"/>
        </w:rPr>
        <w:t xml:space="preserve"> </w:t>
      </w:r>
      <w:r>
        <w:t xml:space="preserve">through money supply mechanism, consequently as exchange rate fluctuations remain one of the most prominent issues in Georgia, National Bank might have been using interest rates as an instrument for regulating exchange rate movements. The existence of the stability period in the data can be the result of massive usage of reserve funds instead of interest rates to control exchange rate variability without affecting consumption decision of debtors, or simply the decision to let the exchange rate a bit more free to float. </w:t>
      </w:r>
    </w:p>
  </w:footnote>
  <w:footnote w:id="23">
    <w:p w14:paraId="35DE6F9E" w14:textId="7D4E5A68" w:rsidR="009E6455" w:rsidRDefault="009E6455" w:rsidP="00A134FE">
      <w:pPr>
        <w:pStyle w:val="FootnoteText"/>
      </w:pPr>
      <w:r>
        <w:rPr>
          <w:rStyle w:val="FootnoteReference"/>
        </w:rPr>
        <w:footnoteRef/>
      </w:r>
      <w:r>
        <w:t xml:space="preserve"> Which is generated combining census data and the data about new house constructions in three main cities Tbilisi, Batumi and Kutaisi from 2015 to 2017 and estimated value from 2018 from Colliers International, as only Tbilisi, Kutaisi and Batumi housing stock data were available. </w:t>
      </w:r>
    </w:p>
  </w:footnote>
  <w:footnote w:id="24">
    <w:p w14:paraId="6B16C3CB" w14:textId="7ADC6E08" w:rsidR="009E6455" w:rsidRDefault="009E6455">
      <w:pPr>
        <w:pStyle w:val="FootnoteText"/>
      </w:pPr>
      <w:r>
        <w:rPr>
          <w:rStyle w:val="FootnoteReference"/>
        </w:rPr>
        <w:footnoteRef/>
      </w:r>
      <w:r>
        <w:t xml:space="preserve"> The total number of houses</w:t>
      </w:r>
    </w:p>
  </w:footnote>
  <w:footnote w:id="25">
    <w:p w14:paraId="316CE22E" w14:textId="77777777" w:rsidR="009E6455" w:rsidRDefault="009E6455" w:rsidP="00A134FE">
      <w:pPr>
        <w:pStyle w:val="FootnoteText"/>
      </w:pPr>
      <w:r>
        <w:rPr>
          <w:rStyle w:val="FootnoteReference"/>
        </w:rPr>
        <w:footnoteRef/>
      </w:r>
      <w:r>
        <w:t xml:space="preserve"> Though might be cases that some of housing stock was also abolished.</w:t>
      </w:r>
    </w:p>
  </w:footnote>
  <w:footnote w:id="26">
    <w:p w14:paraId="365B35BE" w14:textId="12804199" w:rsidR="009E6455" w:rsidRDefault="009E6455">
      <w:pPr>
        <w:pStyle w:val="FootnoteText"/>
      </w:pPr>
      <w:r>
        <w:rPr>
          <w:rStyle w:val="FootnoteReference"/>
        </w:rPr>
        <w:footnoteRef/>
      </w:r>
      <w:r>
        <w:t xml:space="preserve"> Excluding Tbilisi Municipality Data</w:t>
      </w:r>
    </w:p>
  </w:footnote>
  <w:footnote w:id="27">
    <w:p w14:paraId="51004572" w14:textId="41EF48F5" w:rsidR="009E6455" w:rsidRDefault="009E6455">
      <w:pPr>
        <w:pStyle w:val="FootnoteText"/>
      </w:pPr>
      <w:r>
        <w:rPr>
          <w:rStyle w:val="FootnoteReference"/>
        </w:rPr>
        <w:footnoteRef/>
      </w:r>
      <w:r>
        <w:t xml:space="preserve"> In some cases, only individuals are identified in another only households</w:t>
      </w:r>
    </w:p>
    <w:p w14:paraId="6C02D879" w14:textId="77777777" w:rsidR="009E6455" w:rsidRDefault="009E6455">
      <w:pPr>
        <w:pStyle w:val="FootnoteText"/>
      </w:pPr>
    </w:p>
  </w:footnote>
  <w:footnote w:id="28">
    <w:p w14:paraId="08709817" w14:textId="3BE5890C" w:rsidR="009E6455" w:rsidRDefault="009E6455">
      <w:pPr>
        <w:pStyle w:val="FootnoteText"/>
      </w:pPr>
      <w:r>
        <w:rPr>
          <w:rStyle w:val="FootnoteReference"/>
        </w:rPr>
        <w:footnoteRef/>
      </w:r>
      <w:r>
        <w:t xml:space="preserve"> </w:t>
      </w:r>
      <w:r>
        <w:rPr>
          <w:rFonts w:cstheme="minorHAnsi"/>
        </w:rPr>
        <w:t>A</w:t>
      </w:r>
      <w:r w:rsidRPr="00C510FB">
        <w:rPr>
          <w:rFonts w:cstheme="minorHAnsi"/>
        </w:rPr>
        <w:t xml:space="preserve">ccording </w:t>
      </w:r>
      <w:proofErr w:type="gramStart"/>
      <w:r w:rsidRPr="00C510FB">
        <w:rPr>
          <w:rFonts w:cstheme="minorHAnsi"/>
        </w:rPr>
        <w:t xml:space="preserve">to  </w:t>
      </w:r>
      <w:proofErr w:type="spellStart"/>
      <w:r w:rsidRPr="00C510FB">
        <w:rPr>
          <w:rFonts w:cstheme="minorHAnsi"/>
        </w:rPr>
        <w:t>Geostat</w:t>
      </w:r>
      <w:proofErr w:type="spellEnd"/>
      <w:proofErr w:type="gramEnd"/>
      <w:r w:rsidRPr="00C510FB">
        <w:rPr>
          <w:rFonts w:cstheme="minorHAnsi"/>
        </w:rPr>
        <w:t xml:space="preserve"> </w:t>
      </w:r>
      <w:r w:rsidR="009C75E6">
        <w:rPr>
          <w:rFonts w:cstheme="minorHAnsi"/>
        </w:rPr>
        <w:t xml:space="preserve">2018 </w:t>
      </w:r>
      <w:r w:rsidRPr="00C510FB">
        <w:rPr>
          <w:rFonts w:cstheme="minorHAnsi"/>
        </w:rPr>
        <w:t xml:space="preserve">data about </w:t>
      </w:r>
      <w:r>
        <w:rPr>
          <w:rFonts w:cstheme="minorHAnsi"/>
        </w:rPr>
        <w:t xml:space="preserve">the estimated number of households </w:t>
      </w:r>
    </w:p>
  </w:footnote>
  <w:footnote w:id="29">
    <w:p w14:paraId="108C5479" w14:textId="16EA49AF" w:rsidR="009E6455" w:rsidRDefault="009E6455">
      <w:pPr>
        <w:pStyle w:val="FootnoteText"/>
      </w:pPr>
      <w:r>
        <w:rPr>
          <w:rStyle w:val="FootnoteReference"/>
        </w:rPr>
        <w:footnoteRef/>
      </w:r>
      <w:r>
        <w:t xml:space="preserve"> It is not a cumulative number, it is the number of applications each separate </w:t>
      </w:r>
      <w:r w:rsidR="00083474">
        <w:t>year</w:t>
      </w:r>
    </w:p>
  </w:footnote>
  <w:footnote w:id="30">
    <w:p w14:paraId="55148A8E" w14:textId="4486CBDD" w:rsidR="009E6455" w:rsidRPr="004C3BCA" w:rsidRDefault="009E6455">
      <w:pPr>
        <w:pStyle w:val="FootnoteText"/>
      </w:pPr>
      <w:r>
        <w:rPr>
          <w:rStyle w:val="FootnoteReference"/>
        </w:rPr>
        <w:footnoteRef/>
      </w:r>
      <w:r>
        <w:t>It may be argued that it is not the number of cases to have increased, but the number of people reporting them. This does not change the conclusion that more support is going to be needed.</w:t>
      </w:r>
    </w:p>
  </w:footnote>
  <w:footnote w:id="31">
    <w:p w14:paraId="70953239" w14:textId="77777777" w:rsidR="009E6455" w:rsidRDefault="009E6455" w:rsidP="00082663">
      <w:pPr>
        <w:pStyle w:val="FootnoteText"/>
      </w:pPr>
      <w:r>
        <w:rPr>
          <w:rStyle w:val="FootnoteReference"/>
        </w:rPr>
        <w:footnoteRef/>
      </w:r>
      <w:r>
        <w:t xml:space="preserve"> The number of households was estimated from Household Survey Database for 2018 year</w:t>
      </w:r>
    </w:p>
  </w:footnote>
  <w:footnote w:id="32">
    <w:p w14:paraId="09FC9F51" w14:textId="1AC3CC83" w:rsidR="009E6455" w:rsidRPr="0038146B" w:rsidRDefault="009E6455">
      <w:pPr>
        <w:pStyle w:val="FootnoteText"/>
      </w:pPr>
      <w:r>
        <w:rPr>
          <w:rStyle w:val="FootnoteReference"/>
        </w:rPr>
        <w:footnoteRef/>
      </w:r>
      <w:r>
        <w:t xml:space="preserve"> </w:t>
      </w:r>
      <w:r>
        <w:rPr>
          <w:rFonts w:cstheme="minorHAnsi"/>
        </w:rPr>
        <w:t>This is particularly true for rural areas the maximal share of households who rent houses over years approached just 0.249% in 2010.</w:t>
      </w:r>
    </w:p>
  </w:footnote>
  <w:footnote w:id="33">
    <w:p w14:paraId="0697743E" w14:textId="295D7AC4" w:rsidR="009E6455" w:rsidRPr="00C510FB" w:rsidRDefault="009E6455" w:rsidP="00A75F4F">
      <w:pPr>
        <w:pStyle w:val="FootnoteText"/>
        <w:rPr>
          <w:lang w:val="ka-GE"/>
        </w:rPr>
      </w:pPr>
      <w:r>
        <w:rPr>
          <w:rStyle w:val="FootnoteReference"/>
        </w:rPr>
        <w:footnoteRef/>
      </w:r>
      <w:r>
        <w:t xml:space="preserve"> </w:t>
      </w:r>
      <w:r>
        <w:rPr>
          <w:rFonts w:cstheme="minorHAnsi"/>
        </w:rPr>
        <w:t>UN woman published t</w:t>
      </w:r>
      <w:r w:rsidRPr="00E27DA9">
        <w:rPr>
          <w:rFonts w:cstheme="minorHAnsi"/>
        </w:rPr>
        <w:t>he National Study on Violence against Women in Georgia</w:t>
      </w:r>
      <w:r>
        <w:rPr>
          <w:rFonts w:cstheme="minorHAnsi"/>
        </w:rPr>
        <w:t xml:space="preserve"> in 2018, where it was indicated that t</w:t>
      </w:r>
      <w:r w:rsidRPr="00E27DA9">
        <w:rPr>
          <w:rFonts w:cstheme="minorHAnsi"/>
        </w:rPr>
        <w:t>here has been a significant increase in the percentage of women who have reported to the police an act of violence committed by an intimate partner</w:t>
      </w:r>
      <w:r>
        <w:rPr>
          <w:rFonts w:cstheme="minorHAnsi"/>
        </w:rPr>
        <w:t xml:space="preserve">, </w:t>
      </w:r>
      <w:r w:rsidRPr="00E27DA9">
        <w:rPr>
          <w:rFonts w:cstheme="minorHAnsi"/>
        </w:rPr>
        <w:t xml:space="preserve">18 per cent in 2017, compared to 1.5 per cent in 2009. </w:t>
      </w:r>
      <w:r>
        <w:rPr>
          <w:rFonts w:cstheme="minorHAnsi"/>
        </w:rPr>
        <w:t>However, it worth highlighting that</w:t>
      </w:r>
      <w:r w:rsidRPr="00E27DA9">
        <w:rPr>
          <w:rFonts w:cstheme="minorHAnsi"/>
        </w:rPr>
        <w:t xml:space="preserve"> the percentage of women who believe</w:t>
      </w:r>
      <w:r>
        <w:rPr>
          <w:rFonts w:cstheme="minorHAnsi"/>
        </w:rPr>
        <w:t>d</w:t>
      </w:r>
      <w:r w:rsidRPr="00E27DA9">
        <w:rPr>
          <w:rFonts w:cstheme="minorHAnsi"/>
        </w:rPr>
        <w:t xml:space="preserve"> that domestic violence </w:t>
      </w:r>
      <w:r>
        <w:rPr>
          <w:rFonts w:cstheme="minorHAnsi"/>
        </w:rPr>
        <w:t xml:space="preserve">was </w:t>
      </w:r>
      <w:r w:rsidRPr="00E27DA9">
        <w:rPr>
          <w:rFonts w:cstheme="minorHAnsi"/>
        </w:rPr>
        <w:t xml:space="preserve">a private matter and that no one should </w:t>
      </w:r>
      <w:r>
        <w:rPr>
          <w:rFonts w:cstheme="minorHAnsi"/>
        </w:rPr>
        <w:t xml:space="preserve">have </w:t>
      </w:r>
      <w:r w:rsidRPr="00E27DA9">
        <w:rPr>
          <w:rFonts w:cstheme="minorHAnsi"/>
        </w:rPr>
        <w:t>interfere</w:t>
      </w:r>
      <w:r>
        <w:rPr>
          <w:rFonts w:cstheme="minorHAnsi"/>
        </w:rPr>
        <w:t>d</w:t>
      </w:r>
      <w:r w:rsidRPr="00E27DA9">
        <w:rPr>
          <w:rFonts w:cstheme="minorHAnsi"/>
        </w:rPr>
        <w:t xml:space="preserve"> </w:t>
      </w:r>
      <w:r>
        <w:rPr>
          <w:rFonts w:cstheme="minorHAnsi"/>
        </w:rPr>
        <w:t>has</w:t>
      </w:r>
      <w:r w:rsidRPr="00E27DA9">
        <w:rPr>
          <w:rFonts w:cstheme="minorHAnsi"/>
        </w:rPr>
        <w:t xml:space="preserve"> decreased from 78 per cent in 2009 to 33 per cent in 2017</w:t>
      </w:r>
      <w:r>
        <w:rPr>
          <w:rFonts w:cstheme="minorHAnsi"/>
        </w:rPr>
        <w:t xml:space="preserve">, which validates the statement that awareness is increasing among the society. </w:t>
      </w:r>
    </w:p>
  </w:footnote>
  <w:footnote w:id="34">
    <w:p w14:paraId="444F6ECD" w14:textId="77777777" w:rsidR="009E6455" w:rsidRDefault="009E6455" w:rsidP="00082663">
      <w:pPr>
        <w:pStyle w:val="FootnoteText"/>
      </w:pPr>
      <w:r>
        <w:rPr>
          <w:rStyle w:val="FootnoteReference"/>
        </w:rPr>
        <w:footnoteRef/>
      </w:r>
      <w:r>
        <w:t xml:space="preserve"> The number of </w:t>
      </w:r>
      <w:proofErr w:type="gramStart"/>
      <w:r>
        <w:t>population</w:t>
      </w:r>
      <w:proofErr w:type="gramEnd"/>
      <w:r>
        <w:t xml:space="preserve"> is taken from </w:t>
      </w:r>
      <w:proofErr w:type="spellStart"/>
      <w:r>
        <w:t>Geostat</w:t>
      </w:r>
      <w:proofErr w:type="spellEnd"/>
      <w:r>
        <w:t xml:space="preserve"> for each years</w:t>
      </w:r>
    </w:p>
  </w:footnote>
  <w:footnote w:id="35">
    <w:p w14:paraId="01EB5514" w14:textId="4B6E6334" w:rsidR="009E6455" w:rsidRPr="00610BE1" w:rsidRDefault="009E6455">
      <w:pPr>
        <w:pStyle w:val="FootnoteText"/>
      </w:pPr>
      <w:r>
        <w:rPr>
          <w:rStyle w:val="FootnoteReference"/>
        </w:rPr>
        <w:footnoteRef/>
      </w:r>
      <w:r>
        <w:t xml:space="preserve"> </w:t>
      </w:r>
      <w:r>
        <w:rPr>
          <w:rFonts w:cstheme="minorHAnsi"/>
        </w:rPr>
        <w:t>A situation in which there are</w:t>
      </w:r>
      <w:r w:rsidRPr="003623D5">
        <w:rPr>
          <w:rFonts w:cstheme="minorHAnsi"/>
        </w:rPr>
        <w:t xml:space="preserve"> more than three people per habitable room</w:t>
      </w:r>
      <w:r w:rsidRPr="00B001FE">
        <w:rPr>
          <w:rFonts w:cstheme="minorHAnsi"/>
        </w:rPr>
        <w:t xml:space="preserve"> </w:t>
      </w:r>
      <w:r>
        <w:rPr>
          <w:rFonts w:cstheme="minorHAnsi"/>
        </w:rPr>
        <w:t>(e</w:t>
      </w:r>
      <w:r w:rsidRPr="001317FE">
        <w:rPr>
          <w:rFonts w:cstheme="minorHAnsi"/>
          <w:sz w:val="22"/>
          <w:szCs w:val="22"/>
        </w:rPr>
        <w:t xml:space="preserve">xcluding </w:t>
      </w:r>
      <w:r>
        <w:rPr>
          <w:rFonts w:cstheme="minorHAnsi"/>
          <w:sz w:val="22"/>
          <w:szCs w:val="22"/>
        </w:rPr>
        <w:t>halls, bathroom and other non- habitable rooms</w:t>
      </w:r>
      <w:r>
        <w:rPr>
          <w:rFonts w:cstheme="minorHAnsi"/>
        </w:rPr>
        <w:t>)</w:t>
      </w:r>
      <w:r>
        <w:rPr>
          <w:rStyle w:val="FootnoteReference"/>
          <w:rFonts w:cstheme="minorHAnsi"/>
        </w:rPr>
        <w:t xml:space="preserve"> </w:t>
      </w:r>
      <w:r w:rsidRPr="003623D5">
        <w:rPr>
          <w:rFonts w:cstheme="minorHAnsi"/>
        </w:rPr>
        <w:t>is assumed to be overcrowded</w:t>
      </w:r>
      <w:r>
        <w:rPr>
          <w:rFonts w:cstheme="minorHAnsi"/>
        </w:rPr>
        <w:t>. A</w:t>
      </w:r>
      <w:r w:rsidRPr="003623D5">
        <w:rPr>
          <w:rFonts w:cstheme="minorHAnsi"/>
        </w:rPr>
        <w:t>s younger age children are considered in most papers as half a person, the definition was adopted and applied accordingly to calculate overcrowding indicator.</w:t>
      </w:r>
    </w:p>
  </w:footnote>
  <w:footnote w:id="36">
    <w:p w14:paraId="17D4185B" w14:textId="04FF9D4C" w:rsidR="009E6455" w:rsidRPr="00610BE1" w:rsidRDefault="009E6455">
      <w:pPr>
        <w:pStyle w:val="FootnoteText"/>
      </w:pPr>
      <w:r>
        <w:rPr>
          <w:rStyle w:val="FootnoteReference"/>
        </w:rPr>
        <w:footnoteRef/>
      </w:r>
      <w:r>
        <w:t xml:space="preserve"> </w:t>
      </w:r>
      <w:r w:rsidRPr="003623D5">
        <w:rPr>
          <w:rFonts w:cstheme="minorHAnsi"/>
        </w:rPr>
        <w:t>less than three quadratic meters per person</w:t>
      </w:r>
      <w:r>
        <w:rPr>
          <w:rFonts w:cstheme="minorHAnsi"/>
        </w:rPr>
        <w:t>.</w:t>
      </w:r>
    </w:p>
  </w:footnote>
  <w:footnote w:id="37">
    <w:p w14:paraId="3A49CC0F" w14:textId="7D707E4F" w:rsidR="009E6455" w:rsidRPr="00286AFD" w:rsidRDefault="009E6455">
      <w:pPr>
        <w:pStyle w:val="FootnoteText"/>
      </w:pPr>
      <w:r>
        <w:rPr>
          <w:rStyle w:val="FootnoteReference"/>
        </w:rPr>
        <w:footnoteRef/>
      </w:r>
      <w:r>
        <w:t xml:space="preserve"> The families, where the average age of member is more than 60 years. </w:t>
      </w:r>
      <w:r w:rsidRPr="00454C26">
        <w:t>We d</w:t>
      </w:r>
      <w:r>
        <w:t>o not report results relative to elderly households as in no case we find evidence of such households being particularly disadvantaged relative to the rest of the population.</w:t>
      </w:r>
    </w:p>
  </w:footnote>
  <w:footnote w:id="38">
    <w:p w14:paraId="3853ABCC" w14:textId="234335B0" w:rsidR="009C75E6" w:rsidRPr="00DD0F23" w:rsidRDefault="009E6455" w:rsidP="009C75E6">
      <w:pPr>
        <w:pStyle w:val="FootnoteText"/>
      </w:pPr>
      <w:r>
        <w:rPr>
          <w:rStyle w:val="FootnoteReference"/>
        </w:rPr>
        <w:footnoteRef/>
      </w:r>
      <w:r>
        <w:t xml:space="preserve"> </w:t>
      </w:r>
      <w:r w:rsidR="009C75E6">
        <w:t>The findings of Social Economic Policy Analysis with regard to son-preference and gender-bias sex selection in Georgia (2019)</w:t>
      </w:r>
      <w:r>
        <w:t xml:space="preserve"> </w:t>
      </w:r>
      <w:r w:rsidR="009C75E6">
        <w:t xml:space="preserve">show that </w:t>
      </w:r>
      <w:r>
        <w:t>awareness</w:t>
      </w:r>
      <w:r w:rsidR="009C75E6">
        <w:t xml:space="preserve"> </w:t>
      </w:r>
      <w:proofErr w:type="gramStart"/>
      <w:r w:rsidR="009C75E6">
        <w:t>about  SSA</w:t>
      </w:r>
      <w:proofErr w:type="gramEnd"/>
      <w:r w:rsidR="009C75E6">
        <w:t xml:space="preserve"> initiatives to reduce poverty is low among ethnical minorities.</w:t>
      </w:r>
    </w:p>
    <w:p w14:paraId="7FB7219A" w14:textId="2C3793BF" w:rsidR="009E6455" w:rsidRPr="00DD0F23" w:rsidRDefault="009E6455">
      <w:pPr>
        <w:pStyle w:val="FootnoteText"/>
      </w:pPr>
    </w:p>
  </w:footnote>
  <w:footnote w:id="39">
    <w:p w14:paraId="02E40E42" w14:textId="79FDD92A" w:rsidR="009E6455" w:rsidRPr="00F61A0C" w:rsidRDefault="009E6455" w:rsidP="00C179DF">
      <w:pPr>
        <w:pStyle w:val="FootnoteText"/>
      </w:pPr>
      <w:r>
        <w:rPr>
          <w:rStyle w:val="FootnoteReference"/>
        </w:rPr>
        <w:footnoteRef/>
      </w:r>
      <w:r w:rsidRPr="00F61A0C">
        <w:t xml:space="preserve"> For a review of the e</w:t>
      </w:r>
      <w:r>
        <w:t xml:space="preserve">xisting literature and more references on the topic read:  </w:t>
      </w:r>
      <w:r w:rsidRPr="00F61A0C">
        <w:t xml:space="preserve">O'Flaherty </w:t>
      </w:r>
      <w:r>
        <w:t xml:space="preserve">(2019). </w:t>
      </w:r>
      <w:r w:rsidRPr="00AF5DE4">
        <w:t>Homelessness research: A guide for economists (and friends)</w:t>
      </w:r>
      <w:r>
        <w:t xml:space="preserve">. </w:t>
      </w:r>
      <w:r w:rsidRPr="00AF5DE4">
        <w:rPr>
          <w:i/>
          <w:iCs/>
        </w:rPr>
        <w:t>Journal of Housing Economics</w:t>
      </w:r>
      <w:r w:rsidRPr="00AF5DE4">
        <w:t>,</w:t>
      </w:r>
      <w:r>
        <w:t xml:space="preserve"> 44, pp. 1-</w:t>
      </w:r>
      <w:r w:rsidR="00A02C89">
        <w:t xml:space="preserve">25 </w:t>
      </w:r>
      <w:r w:rsidR="00A02C89" w:rsidRPr="00AF5DE4">
        <w:t>and</w:t>
      </w:r>
      <w:r>
        <w:t xml:space="preserve"> </w:t>
      </w:r>
      <w:hyperlink r:id="rId2" w:history="1">
        <w:r w:rsidRPr="00F61A0C">
          <w:rPr>
            <w:rStyle w:val="Hyperlink"/>
          </w:rPr>
          <w:t>https://en.wikipedia.org/wiki/Housing_First</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44532"/>
    <w:multiLevelType w:val="hybridMultilevel"/>
    <w:tmpl w:val="90487D6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4D04806"/>
    <w:multiLevelType w:val="hybridMultilevel"/>
    <w:tmpl w:val="03E23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885639"/>
    <w:multiLevelType w:val="hybridMultilevel"/>
    <w:tmpl w:val="2ED2B370"/>
    <w:lvl w:ilvl="0" w:tplc="E7289B70">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E0E53BA"/>
    <w:multiLevelType w:val="hybridMultilevel"/>
    <w:tmpl w:val="6ED688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92A7E"/>
    <w:multiLevelType w:val="hybridMultilevel"/>
    <w:tmpl w:val="D2A0F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6242A7"/>
    <w:multiLevelType w:val="hybridMultilevel"/>
    <w:tmpl w:val="7E88CA5A"/>
    <w:lvl w:ilvl="0" w:tplc="E7289B70">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0CC101A"/>
    <w:multiLevelType w:val="hybridMultilevel"/>
    <w:tmpl w:val="B2DACD40"/>
    <w:lvl w:ilvl="0" w:tplc="04100001">
      <w:start w:val="1"/>
      <w:numFmt w:val="bullet"/>
      <w:lvlText w:val=""/>
      <w:lvlJc w:val="left"/>
      <w:pPr>
        <w:ind w:left="768" w:hanging="360"/>
      </w:pPr>
      <w:rPr>
        <w:rFonts w:ascii="Symbol" w:hAnsi="Symbol"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7" w15:restartNumberingAfterBreak="0">
    <w:nsid w:val="11FB6F33"/>
    <w:multiLevelType w:val="hybridMultilevel"/>
    <w:tmpl w:val="83CE1C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754EBD"/>
    <w:multiLevelType w:val="hybridMultilevel"/>
    <w:tmpl w:val="E84C4BAA"/>
    <w:lvl w:ilvl="0" w:tplc="E7289B70">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2051058F"/>
    <w:multiLevelType w:val="hybridMultilevel"/>
    <w:tmpl w:val="E3DAAB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2BDF3C93"/>
    <w:multiLevelType w:val="multilevel"/>
    <w:tmpl w:val="083AEBB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BFC0EBC"/>
    <w:multiLevelType w:val="hybridMultilevel"/>
    <w:tmpl w:val="0D6C3FBC"/>
    <w:lvl w:ilvl="0" w:tplc="E7289B70">
      <w:numFmt w:val="bullet"/>
      <w:lvlText w:val="-"/>
      <w:lvlJc w:val="left"/>
      <w:pPr>
        <w:ind w:left="768" w:hanging="360"/>
      </w:pPr>
      <w:rPr>
        <w:rFonts w:ascii="Calibri" w:eastAsiaTheme="minorHAnsi" w:hAnsi="Calibri" w:cs="Calibri" w:hint="default"/>
      </w:rPr>
    </w:lvl>
    <w:lvl w:ilvl="1" w:tplc="04100003">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12" w15:restartNumberingAfterBreak="0">
    <w:nsid w:val="2CFA1C78"/>
    <w:multiLevelType w:val="hybridMultilevel"/>
    <w:tmpl w:val="2CA87FB8"/>
    <w:lvl w:ilvl="0" w:tplc="0410000F">
      <w:start w:val="1"/>
      <w:numFmt w:val="decimal"/>
      <w:lvlText w:val="%1."/>
      <w:lvlJc w:val="left"/>
      <w:pPr>
        <w:ind w:left="72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2DF370C6"/>
    <w:multiLevelType w:val="hybridMultilevel"/>
    <w:tmpl w:val="4A0AB0FA"/>
    <w:lvl w:ilvl="0" w:tplc="E7289B70">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2F644DBC"/>
    <w:multiLevelType w:val="hybridMultilevel"/>
    <w:tmpl w:val="89E0BBB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5" w15:restartNumberingAfterBreak="0">
    <w:nsid w:val="38097D3A"/>
    <w:multiLevelType w:val="hybridMultilevel"/>
    <w:tmpl w:val="6A7A62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B8143C"/>
    <w:multiLevelType w:val="hybridMultilevel"/>
    <w:tmpl w:val="79FE613C"/>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3D2901E4"/>
    <w:multiLevelType w:val="multilevel"/>
    <w:tmpl w:val="696E2B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5F4666F"/>
    <w:multiLevelType w:val="hybridMultilevel"/>
    <w:tmpl w:val="FAF8C1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4BC207F0"/>
    <w:multiLevelType w:val="hybridMultilevel"/>
    <w:tmpl w:val="7C8452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4BC74324"/>
    <w:multiLevelType w:val="hybridMultilevel"/>
    <w:tmpl w:val="F1E43F1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BF04AD"/>
    <w:multiLevelType w:val="hybridMultilevel"/>
    <w:tmpl w:val="40ECEF8C"/>
    <w:lvl w:ilvl="0" w:tplc="04100001">
      <w:start w:val="1"/>
      <w:numFmt w:val="bullet"/>
      <w:lvlText w:val=""/>
      <w:lvlJc w:val="left"/>
      <w:pPr>
        <w:ind w:left="768" w:hanging="360"/>
      </w:pPr>
      <w:rPr>
        <w:rFonts w:ascii="Symbol" w:hAnsi="Symbol"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22" w15:restartNumberingAfterBreak="0">
    <w:nsid w:val="4E9744FE"/>
    <w:multiLevelType w:val="hybridMultilevel"/>
    <w:tmpl w:val="033C7B16"/>
    <w:lvl w:ilvl="0" w:tplc="E7289B70">
      <w:numFmt w:val="bullet"/>
      <w:lvlText w:val="-"/>
      <w:lvlJc w:val="left"/>
      <w:pPr>
        <w:ind w:left="768" w:hanging="360"/>
      </w:pPr>
      <w:rPr>
        <w:rFonts w:ascii="Calibri" w:eastAsiaTheme="minorHAnsi" w:hAnsi="Calibri" w:cs="Calibri"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23" w15:restartNumberingAfterBreak="0">
    <w:nsid w:val="53D8517B"/>
    <w:multiLevelType w:val="hybridMultilevel"/>
    <w:tmpl w:val="2CF2BDB6"/>
    <w:lvl w:ilvl="0" w:tplc="E7289B70">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62E8320A"/>
    <w:multiLevelType w:val="hybridMultilevel"/>
    <w:tmpl w:val="BB32270E"/>
    <w:lvl w:ilvl="0" w:tplc="E7289B70">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679C1697"/>
    <w:multiLevelType w:val="hybridMultilevel"/>
    <w:tmpl w:val="C3C60CD6"/>
    <w:lvl w:ilvl="0" w:tplc="E7289B70">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68B25179"/>
    <w:multiLevelType w:val="hybridMultilevel"/>
    <w:tmpl w:val="A1E09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14"/>
  </w:num>
  <w:num w:numId="3">
    <w:abstractNumId w:val="9"/>
  </w:num>
  <w:num w:numId="4">
    <w:abstractNumId w:val="21"/>
  </w:num>
  <w:num w:numId="5">
    <w:abstractNumId w:val="6"/>
  </w:num>
  <w:num w:numId="6">
    <w:abstractNumId w:val="19"/>
  </w:num>
  <w:num w:numId="7">
    <w:abstractNumId w:val="18"/>
  </w:num>
  <w:num w:numId="8">
    <w:abstractNumId w:val="26"/>
  </w:num>
  <w:num w:numId="9">
    <w:abstractNumId w:val="3"/>
  </w:num>
  <w:num w:numId="10">
    <w:abstractNumId w:val="20"/>
  </w:num>
  <w:num w:numId="11">
    <w:abstractNumId w:val="4"/>
  </w:num>
  <w:num w:numId="12">
    <w:abstractNumId w:val="1"/>
  </w:num>
  <w:num w:numId="13">
    <w:abstractNumId w:val="16"/>
  </w:num>
  <w:num w:numId="14">
    <w:abstractNumId w:val="7"/>
  </w:num>
  <w:num w:numId="15">
    <w:abstractNumId w:val="5"/>
  </w:num>
  <w:num w:numId="16">
    <w:abstractNumId w:val="8"/>
  </w:num>
  <w:num w:numId="17">
    <w:abstractNumId w:val="23"/>
  </w:num>
  <w:num w:numId="18">
    <w:abstractNumId w:val="24"/>
  </w:num>
  <w:num w:numId="19">
    <w:abstractNumId w:val="2"/>
  </w:num>
  <w:num w:numId="20">
    <w:abstractNumId w:val="13"/>
  </w:num>
  <w:num w:numId="21">
    <w:abstractNumId w:val="25"/>
  </w:num>
  <w:num w:numId="22">
    <w:abstractNumId w:val="22"/>
  </w:num>
  <w:num w:numId="23">
    <w:abstractNumId w:val="11"/>
  </w:num>
  <w:num w:numId="24">
    <w:abstractNumId w:val="12"/>
  </w:num>
  <w:num w:numId="25">
    <w:abstractNumId w:val="17"/>
  </w:num>
  <w:num w:numId="26">
    <w:abstractNumId w:val="0"/>
  </w:num>
  <w:num w:numId="27">
    <w:abstractNumId w:val="10"/>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7A2C"/>
    <w:rsid w:val="00000A90"/>
    <w:rsid w:val="0000132B"/>
    <w:rsid w:val="00001CF2"/>
    <w:rsid w:val="00002A62"/>
    <w:rsid w:val="00002B47"/>
    <w:rsid w:val="00003638"/>
    <w:rsid w:val="00003F02"/>
    <w:rsid w:val="000044DA"/>
    <w:rsid w:val="00005342"/>
    <w:rsid w:val="0000692C"/>
    <w:rsid w:val="00006BF8"/>
    <w:rsid w:val="00007902"/>
    <w:rsid w:val="000105AD"/>
    <w:rsid w:val="00012027"/>
    <w:rsid w:val="000123C6"/>
    <w:rsid w:val="00012BAB"/>
    <w:rsid w:val="000146C7"/>
    <w:rsid w:val="0001598D"/>
    <w:rsid w:val="00016BFF"/>
    <w:rsid w:val="0002007F"/>
    <w:rsid w:val="00020242"/>
    <w:rsid w:val="00020CC1"/>
    <w:rsid w:val="00021AC9"/>
    <w:rsid w:val="00021C4F"/>
    <w:rsid w:val="00023594"/>
    <w:rsid w:val="00023AB9"/>
    <w:rsid w:val="0002423F"/>
    <w:rsid w:val="000254C9"/>
    <w:rsid w:val="00026AA5"/>
    <w:rsid w:val="00031EC7"/>
    <w:rsid w:val="000349EA"/>
    <w:rsid w:val="00035106"/>
    <w:rsid w:val="00035838"/>
    <w:rsid w:val="00035B45"/>
    <w:rsid w:val="00037671"/>
    <w:rsid w:val="000402EC"/>
    <w:rsid w:val="0004131A"/>
    <w:rsid w:val="00042339"/>
    <w:rsid w:val="000429ED"/>
    <w:rsid w:val="00042B15"/>
    <w:rsid w:val="00045FB8"/>
    <w:rsid w:val="000464AC"/>
    <w:rsid w:val="000465A9"/>
    <w:rsid w:val="00047306"/>
    <w:rsid w:val="00050211"/>
    <w:rsid w:val="00053CF5"/>
    <w:rsid w:val="0005413D"/>
    <w:rsid w:val="0005503D"/>
    <w:rsid w:val="0005537F"/>
    <w:rsid w:val="00056817"/>
    <w:rsid w:val="00056B9A"/>
    <w:rsid w:val="00057544"/>
    <w:rsid w:val="000602CB"/>
    <w:rsid w:val="00060A04"/>
    <w:rsid w:val="00060A25"/>
    <w:rsid w:val="00061A04"/>
    <w:rsid w:val="00061EB0"/>
    <w:rsid w:val="000638CF"/>
    <w:rsid w:val="000644AF"/>
    <w:rsid w:val="00065F6D"/>
    <w:rsid w:val="00065FE5"/>
    <w:rsid w:val="00070643"/>
    <w:rsid w:val="000718A6"/>
    <w:rsid w:val="00071E1D"/>
    <w:rsid w:val="00074246"/>
    <w:rsid w:val="000745BD"/>
    <w:rsid w:val="00075E30"/>
    <w:rsid w:val="000768C0"/>
    <w:rsid w:val="00077FF3"/>
    <w:rsid w:val="00080B4B"/>
    <w:rsid w:val="00080B8E"/>
    <w:rsid w:val="000818D5"/>
    <w:rsid w:val="00081E1C"/>
    <w:rsid w:val="00081E30"/>
    <w:rsid w:val="00082663"/>
    <w:rsid w:val="000827F3"/>
    <w:rsid w:val="00083144"/>
    <w:rsid w:val="00083474"/>
    <w:rsid w:val="000846E0"/>
    <w:rsid w:val="000846F5"/>
    <w:rsid w:val="000852AB"/>
    <w:rsid w:val="00085960"/>
    <w:rsid w:val="00085A99"/>
    <w:rsid w:val="00086FB5"/>
    <w:rsid w:val="00092187"/>
    <w:rsid w:val="00092977"/>
    <w:rsid w:val="00095BBA"/>
    <w:rsid w:val="00097B0D"/>
    <w:rsid w:val="000A110C"/>
    <w:rsid w:val="000A28C6"/>
    <w:rsid w:val="000A3A7A"/>
    <w:rsid w:val="000A5089"/>
    <w:rsid w:val="000A5F42"/>
    <w:rsid w:val="000A6110"/>
    <w:rsid w:val="000A6CC2"/>
    <w:rsid w:val="000A6EA1"/>
    <w:rsid w:val="000B0F00"/>
    <w:rsid w:val="000B1B7E"/>
    <w:rsid w:val="000B2486"/>
    <w:rsid w:val="000B2DD5"/>
    <w:rsid w:val="000B3572"/>
    <w:rsid w:val="000B53CE"/>
    <w:rsid w:val="000B6BA6"/>
    <w:rsid w:val="000B791D"/>
    <w:rsid w:val="000C1E49"/>
    <w:rsid w:val="000C2094"/>
    <w:rsid w:val="000C4D9A"/>
    <w:rsid w:val="000C537D"/>
    <w:rsid w:val="000C609D"/>
    <w:rsid w:val="000C65FF"/>
    <w:rsid w:val="000C6A34"/>
    <w:rsid w:val="000D3B47"/>
    <w:rsid w:val="000D7F02"/>
    <w:rsid w:val="000E137A"/>
    <w:rsid w:val="000E142A"/>
    <w:rsid w:val="000E2677"/>
    <w:rsid w:val="000E35A3"/>
    <w:rsid w:val="000E4B75"/>
    <w:rsid w:val="000E69CF"/>
    <w:rsid w:val="000F15D3"/>
    <w:rsid w:val="000F2E1F"/>
    <w:rsid w:val="000F2F1C"/>
    <w:rsid w:val="000F376A"/>
    <w:rsid w:val="000F4718"/>
    <w:rsid w:val="000F5ECE"/>
    <w:rsid w:val="000F6810"/>
    <w:rsid w:val="00101CF4"/>
    <w:rsid w:val="00102747"/>
    <w:rsid w:val="00104BF7"/>
    <w:rsid w:val="00104EFC"/>
    <w:rsid w:val="0010531E"/>
    <w:rsid w:val="001065A2"/>
    <w:rsid w:val="00107A27"/>
    <w:rsid w:val="00107E8E"/>
    <w:rsid w:val="001116C4"/>
    <w:rsid w:val="00111D30"/>
    <w:rsid w:val="00112189"/>
    <w:rsid w:val="00113C88"/>
    <w:rsid w:val="00114309"/>
    <w:rsid w:val="00114B16"/>
    <w:rsid w:val="00115C67"/>
    <w:rsid w:val="00115CE1"/>
    <w:rsid w:val="00115F20"/>
    <w:rsid w:val="00116119"/>
    <w:rsid w:val="00116160"/>
    <w:rsid w:val="00116E42"/>
    <w:rsid w:val="00117573"/>
    <w:rsid w:val="00120F43"/>
    <w:rsid w:val="001241A3"/>
    <w:rsid w:val="0012460E"/>
    <w:rsid w:val="00127771"/>
    <w:rsid w:val="00130916"/>
    <w:rsid w:val="00131366"/>
    <w:rsid w:val="001316CE"/>
    <w:rsid w:val="001340CF"/>
    <w:rsid w:val="001355D1"/>
    <w:rsid w:val="00136694"/>
    <w:rsid w:val="0014303F"/>
    <w:rsid w:val="00143A68"/>
    <w:rsid w:val="00143DE0"/>
    <w:rsid w:val="00143FE1"/>
    <w:rsid w:val="00144E87"/>
    <w:rsid w:val="00144F4E"/>
    <w:rsid w:val="001467CC"/>
    <w:rsid w:val="0014722D"/>
    <w:rsid w:val="00147A56"/>
    <w:rsid w:val="001537CB"/>
    <w:rsid w:val="00153B90"/>
    <w:rsid w:val="0015491A"/>
    <w:rsid w:val="001563A5"/>
    <w:rsid w:val="00157137"/>
    <w:rsid w:val="00157AC6"/>
    <w:rsid w:val="0016023C"/>
    <w:rsid w:val="00160797"/>
    <w:rsid w:val="00160CAE"/>
    <w:rsid w:val="00161941"/>
    <w:rsid w:val="00162B20"/>
    <w:rsid w:val="00162CF4"/>
    <w:rsid w:val="00163722"/>
    <w:rsid w:val="00163982"/>
    <w:rsid w:val="00164452"/>
    <w:rsid w:val="00164908"/>
    <w:rsid w:val="00164DD2"/>
    <w:rsid w:val="00166951"/>
    <w:rsid w:val="001713DA"/>
    <w:rsid w:val="00172328"/>
    <w:rsid w:val="00177003"/>
    <w:rsid w:val="00180037"/>
    <w:rsid w:val="00181FB5"/>
    <w:rsid w:val="00181FF5"/>
    <w:rsid w:val="001830C2"/>
    <w:rsid w:val="00184B54"/>
    <w:rsid w:val="00184C1F"/>
    <w:rsid w:val="00184F36"/>
    <w:rsid w:val="00185571"/>
    <w:rsid w:val="001859D9"/>
    <w:rsid w:val="00185C7C"/>
    <w:rsid w:val="0018609E"/>
    <w:rsid w:val="001862BB"/>
    <w:rsid w:val="00195323"/>
    <w:rsid w:val="0019570B"/>
    <w:rsid w:val="00195A40"/>
    <w:rsid w:val="00195F37"/>
    <w:rsid w:val="001966FC"/>
    <w:rsid w:val="0019727C"/>
    <w:rsid w:val="00197DDA"/>
    <w:rsid w:val="001A399B"/>
    <w:rsid w:val="001A3AF4"/>
    <w:rsid w:val="001A5CF2"/>
    <w:rsid w:val="001A7ADF"/>
    <w:rsid w:val="001B013C"/>
    <w:rsid w:val="001B0A58"/>
    <w:rsid w:val="001B153C"/>
    <w:rsid w:val="001B239E"/>
    <w:rsid w:val="001B26ED"/>
    <w:rsid w:val="001B27F0"/>
    <w:rsid w:val="001B3A55"/>
    <w:rsid w:val="001B665F"/>
    <w:rsid w:val="001B6C01"/>
    <w:rsid w:val="001B6EF6"/>
    <w:rsid w:val="001B7A20"/>
    <w:rsid w:val="001C0929"/>
    <w:rsid w:val="001C442B"/>
    <w:rsid w:val="001C44D3"/>
    <w:rsid w:val="001D0BC7"/>
    <w:rsid w:val="001D0CC4"/>
    <w:rsid w:val="001D3950"/>
    <w:rsid w:val="001D3CBD"/>
    <w:rsid w:val="001D41D3"/>
    <w:rsid w:val="001D4C62"/>
    <w:rsid w:val="001D5696"/>
    <w:rsid w:val="001D5DC4"/>
    <w:rsid w:val="001D7A93"/>
    <w:rsid w:val="001E0852"/>
    <w:rsid w:val="001E3C41"/>
    <w:rsid w:val="001E6D5F"/>
    <w:rsid w:val="001E741F"/>
    <w:rsid w:val="001E790B"/>
    <w:rsid w:val="001F00A5"/>
    <w:rsid w:val="001F39F5"/>
    <w:rsid w:val="001F4235"/>
    <w:rsid w:val="001F47FE"/>
    <w:rsid w:val="001F719E"/>
    <w:rsid w:val="001F7E38"/>
    <w:rsid w:val="001F7EE1"/>
    <w:rsid w:val="0020159F"/>
    <w:rsid w:val="00202405"/>
    <w:rsid w:val="00207726"/>
    <w:rsid w:val="00207929"/>
    <w:rsid w:val="00211554"/>
    <w:rsid w:val="00212CFB"/>
    <w:rsid w:val="00213464"/>
    <w:rsid w:val="0021460B"/>
    <w:rsid w:val="00215297"/>
    <w:rsid w:val="0021680A"/>
    <w:rsid w:val="002200AF"/>
    <w:rsid w:val="00220A16"/>
    <w:rsid w:val="00220A76"/>
    <w:rsid w:val="002211A0"/>
    <w:rsid w:val="00223E1F"/>
    <w:rsid w:val="00224D75"/>
    <w:rsid w:val="00225199"/>
    <w:rsid w:val="00226191"/>
    <w:rsid w:val="002273F7"/>
    <w:rsid w:val="0023024B"/>
    <w:rsid w:val="002317C3"/>
    <w:rsid w:val="0023289B"/>
    <w:rsid w:val="00232C18"/>
    <w:rsid w:val="002349B8"/>
    <w:rsid w:val="00240801"/>
    <w:rsid w:val="0024084F"/>
    <w:rsid w:val="00241D21"/>
    <w:rsid w:val="0024336B"/>
    <w:rsid w:val="002435A6"/>
    <w:rsid w:val="002449D4"/>
    <w:rsid w:val="00246102"/>
    <w:rsid w:val="00246368"/>
    <w:rsid w:val="00252D7E"/>
    <w:rsid w:val="00253106"/>
    <w:rsid w:val="00253BEA"/>
    <w:rsid w:val="002548C0"/>
    <w:rsid w:val="00254A72"/>
    <w:rsid w:val="00254D30"/>
    <w:rsid w:val="0025552E"/>
    <w:rsid w:val="002569C4"/>
    <w:rsid w:val="0025736C"/>
    <w:rsid w:val="002574B6"/>
    <w:rsid w:val="00262ED8"/>
    <w:rsid w:val="00263506"/>
    <w:rsid w:val="002637FA"/>
    <w:rsid w:val="0026391F"/>
    <w:rsid w:val="00263B85"/>
    <w:rsid w:val="00263CBE"/>
    <w:rsid w:val="00267018"/>
    <w:rsid w:val="002670A8"/>
    <w:rsid w:val="00267D55"/>
    <w:rsid w:val="002702A9"/>
    <w:rsid w:val="00270896"/>
    <w:rsid w:val="00271153"/>
    <w:rsid w:val="002714E3"/>
    <w:rsid w:val="002750B8"/>
    <w:rsid w:val="00275221"/>
    <w:rsid w:val="00275251"/>
    <w:rsid w:val="00276D58"/>
    <w:rsid w:val="00277472"/>
    <w:rsid w:val="002829B5"/>
    <w:rsid w:val="00282FFE"/>
    <w:rsid w:val="00283A4D"/>
    <w:rsid w:val="00283BBF"/>
    <w:rsid w:val="002862DD"/>
    <w:rsid w:val="00286AFD"/>
    <w:rsid w:val="0028738D"/>
    <w:rsid w:val="002879EA"/>
    <w:rsid w:val="002903D5"/>
    <w:rsid w:val="00291AA6"/>
    <w:rsid w:val="0029257A"/>
    <w:rsid w:val="002949A0"/>
    <w:rsid w:val="0029516D"/>
    <w:rsid w:val="00295AF1"/>
    <w:rsid w:val="00296B5B"/>
    <w:rsid w:val="0029703F"/>
    <w:rsid w:val="002A088C"/>
    <w:rsid w:val="002A0944"/>
    <w:rsid w:val="002A0DA6"/>
    <w:rsid w:val="002A26A6"/>
    <w:rsid w:val="002A4E9A"/>
    <w:rsid w:val="002A619E"/>
    <w:rsid w:val="002A7ADC"/>
    <w:rsid w:val="002B2B19"/>
    <w:rsid w:val="002B37FF"/>
    <w:rsid w:val="002B4330"/>
    <w:rsid w:val="002B79EF"/>
    <w:rsid w:val="002B7B33"/>
    <w:rsid w:val="002C2383"/>
    <w:rsid w:val="002C3A3C"/>
    <w:rsid w:val="002C4D45"/>
    <w:rsid w:val="002C55D8"/>
    <w:rsid w:val="002C645B"/>
    <w:rsid w:val="002C676C"/>
    <w:rsid w:val="002C7940"/>
    <w:rsid w:val="002C7F06"/>
    <w:rsid w:val="002D0C01"/>
    <w:rsid w:val="002D25D9"/>
    <w:rsid w:val="002D30AB"/>
    <w:rsid w:val="002D7497"/>
    <w:rsid w:val="002E13A0"/>
    <w:rsid w:val="002E21DB"/>
    <w:rsid w:val="002E3EF3"/>
    <w:rsid w:val="002E3FE7"/>
    <w:rsid w:val="002E4305"/>
    <w:rsid w:val="002E4D6C"/>
    <w:rsid w:val="002E5B72"/>
    <w:rsid w:val="002F0802"/>
    <w:rsid w:val="002F164D"/>
    <w:rsid w:val="002F2025"/>
    <w:rsid w:val="002F245C"/>
    <w:rsid w:val="002F26E9"/>
    <w:rsid w:val="002F4309"/>
    <w:rsid w:val="002F4757"/>
    <w:rsid w:val="002F5231"/>
    <w:rsid w:val="002F52DA"/>
    <w:rsid w:val="002F6424"/>
    <w:rsid w:val="00300B9F"/>
    <w:rsid w:val="00301B47"/>
    <w:rsid w:val="0030279C"/>
    <w:rsid w:val="00304B4D"/>
    <w:rsid w:val="00304F26"/>
    <w:rsid w:val="00306203"/>
    <w:rsid w:val="00310935"/>
    <w:rsid w:val="00310B3B"/>
    <w:rsid w:val="00312490"/>
    <w:rsid w:val="003157F9"/>
    <w:rsid w:val="00321448"/>
    <w:rsid w:val="00321F20"/>
    <w:rsid w:val="00325004"/>
    <w:rsid w:val="00325EE0"/>
    <w:rsid w:val="003262B3"/>
    <w:rsid w:val="0033081E"/>
    <w:rsid w:val="003317AC"/>
    <w:rsid w:val="0033558E"/>
    <w:rsid w:val="00335941"/>
    <w:rsid w:val="00335DAF"/>
    <w:rsid w:val="00336320"/>
    <w:rsid w:val="003369D5"/>
    <w:rsid w:val="00337169"/>
    <w:rsid w:val="003373EC"/>
    <w:rsid w:val="00337DC1"/>
    <w:rsid w:val="00340607"/>
    <w:rsid w:val="0034153B"/>
    <w:rsid w:val="00341778"/>
    <w:rsid w:val="003420DE"/>
    <w:rsid w:val="003429B9"/>
    <w:rsid w:val="003436D9"/>
    <w:rsid w:val="00344DB8"/>
    <w:rsid w:val="00345107"/>
    <w:rsid w:val="00345487"/>
    <w:rsid w:val="0034562F"/>
    <w:rsid w:val="003465D3"/>
    <w:rsid w:val="00346D7D"/>
    <w:rsid w:val="00350A34"/>
    <w:rsid w:val="00351A6D"/>
    <w:rsid w:val="00353859"/>
    <w:rsid w:val="0035633D"/>
    <w:rsid w:val="00357F15"/>
    <w:rsid w:val="003610CD"/>
    <w:rsid w:val="00362D3B"/>
    <w:rsid w:val="00362D83"/>
    <w:rsid w:val="00370A0D"/>
    <w:rsid w:val="0037133A"/>
    <w:rsid w:val="003776EA"/>
    <w:rsid w:val="00377AF5"/>
    <w:rsid w:val="0038146B"/>
    <w:rsid w:val="00384998"/>
    <w:rsid w:val="003851B8"/>
    <w:rsid w:val="00385394"/>
    <w:rsid w:val="003874DF"/>
    <w:rsid w:val="003921E3"/>
    <w:rsid w:val="00392CDC"/>
    <w:rsid w:val="0039335E"/>
    <w:rsid w:val="003951A8"/>
    <w:rsid w:val="00395305"/>
    <w:rsid w:val="003967BF"/>
    <w:rsid w:val="003979A7"/>
    <w:rsid w:val="003A0584"/>
    <w:rsid w:val="003A1BA9"/>
    <w:rsid w:val="003A1C29"/>
    <w:rsid w:val="003A3548"/>
    <w:rsid w:val="003A672B"/>
    <w:rsid w:val="003A754D"/>
    <w:rsid w:val="003A7576"/>
    <w:rsid w:val="003A7CD5"/>
    <w:rsid w:val="003A7DD2"/>
    <w:rsid w:val="003A7ECE"/>
    <w:rsid w:val="003B042B"/>
    <w:rsid w:val="003B2C8F"/>
    <w:rsid w:val="003B2FFA"/>
    <w:rsid w:val="003B373E"/>
    <w:rsid w:val="003B7394"/>
    <w:rsid w:val="003C19BD"/>
    <w:rsid w:val="003C204B"/>
    <w:rsid w:val="003C2946"/>
    <w:rsid w:val="003C2AA0"/>
    <w:rsid w:val="003C3CBF"/>
    <w:rsid w:val="003C3D79"/>
    <w:rsid w:val="003C3ED6"/>
    <w:rsid w:val="003C52F4"/>
    <w:rsid w:val="003D01A0"/>
    <w:rsid w:val="003D0A8E"/>
    <w:rsid w:val="003D3ACE"/>
    <w:rsid w:val="003D6E09"/>
    <w:rsid w:val="003D77BF"/>
    <w:rsid w:val="003E055F"/>
    <w:rsid w:val="003E0E70"/>
    <w:rsid w:val="003E15BE"/>
    <w:rsid w:val="003E2B43"/>
    <w:rsid w:val="003E2D23"/>
    <w:rsid w:val="003E2D7A"/>
    <w:rsid w:val="003E4478"/>
    <w:rsid w:val="003E4678"/>
    <w:rsid w:val="003E4E47"/>
    <w:rsid w:val="003E6C1B"/>
    <w:rsid w:val="003E71C5"/>
    <w:rsid w:val="003F0AF2"/>
    <w:rsid w:val="003F20B6"/>
    <w:rsid w:val="003F303B"/>
    <w:rsid w:val="003F345D"/>
    <w:rsid w:val="003F3C2D"/>
    <w:rsid w:val="003F498D"/>
    <w:rsid w:val="003F4EF6"/>
    <w:rsid w:val="003F5D0A"/>
    <w:rsid w:val="003F61D4"/>
    <w:rsid w:val="003F6708"/>
    <w:rsid w:val="003F7954"/>
    <w:rsid w:val="00401970"/>
    <w:rsid w:val="004047CC"/>
    <w:rsid w:val="00405F9B"/>
    <w:rsid w:val="00406192"/>
    <w:rsid w:val="0040670A"/>
    <w:rsid w:val="00407B2C"/>
    <w:rsid w:val="00407BCB"/>
    <w:rsid w:val="00410062"/>
    <w:rsid w:val="004128DF"/>
    <w:rsid w:val="004134DF"/>
    <w:rsid w:val="00413577"/>
    <w:rsid w:val="0041763E"/>
    <w:rsid w:val="00420294"/>
    <w:rsid w:val="00423682"/>
    <w:rsid w:val="00423E38"/>
    <w:rsid w:val="00424379"/>
    <w:rsid w:val="004245FC"/>
    <w:rsid w:val="00424E0D"/>
    <w:rsid w:val="00425134"/>
    <w:rsid w:val="00425A3B"/>
    <w:rsid w:val="00426FCF"/>
    <w:rsid w:val="00427EB2"/>
    <w:rsid w:val="004306C9"/>
    <w:rsid w:val="004330B2"/>
    <w:rsid w:val="00434629"/>
    <w:rsid w:val="00434EE9"/>
    <w:rsid w:val="004357C1"/>
    <w:rsid w:val="004360B9"/>
    <w:rsid w:val="0043630D"/>
    <w:rsid w:val="00436D6E"/>
    <w:rsid w:val="00441ACF"/>
    <w:rsid w:val="00442F03"/>
    <w:rsid w:val="0044339C"/>
    <w:rsid w:val="00444D23"/>
    <w:rsid w:val="004472A3"/>
    <w:rsid w:val="004477C6"/>
    <w:rsid w:val="0045083F"/>
    <w:rsid w:val="00450A92"/>
    <w:rsid w:val="0045141B"/>
    <w:rsid w:val="00451749"/>
    <w:rsid w:val="00452448"/>
    <w:rsid w:val="00452888"/>
    <w:rsid w:val="004531A1"/>
    <w:rsid w:val="00453C90"/>
    <w:rsid w:val="00454277"/>
    <w:rsid w:val="00454C26"/>
    <w:rsid w:val="004566A3"/>
    <w:rsid w:val="0046220A"/>
    <w:rsid w:val="004629CA"/>
    <w:rsid w:val="00462C33"/>
    <w:rsid w:val="00462D0D"/>
    <w:rsid w:val="00470F92"/>
    <w:rsid w:val="00471063"/>
    <w:rsid w:val="0047187F"/>
    <w:rsid w:val="0047374F"/>
    <w:rsid w:val="0047582A"/>
    <w:rsid w:val="00477529"/>
    <w:rsid w:val="004804EB"/>
    <w:rsid w:val="004805A0"/>
    <w:rsid w:val="00483363"/>
    <w:rsid w:val="00485015"/>
    <w:rsid w:val="00485A5E"/>
    <w:rsid w:val="00485B10"/>
    <w:rsid w:val="004918F9"/>
    <w:rsid w:val="004925E6"/>
    <w:rsid w:val="00493139"/>
    <w:rsid w:val="004944B3"/>
    <w:rsid w:val="00494C9F"/>
    <w:rsid w:val="00495B10"/>
    <w:rsid w:val="00495B6A"/>
    <w:rsid w:val="00496FF6"/>
    <w:rsid w:val="0049708B"/>
    <w:rsid w:val="004972E1"/>
    <w:rsid w:val="004974A3"/>
    <w:rsid w:val="004A3E26"/>
    <w:rsid w:val="004A3F5D"/>
    <w:rsid w:val="004A72A2"/>
    <w:rsid w:val="004A732D"/>
    <w:rsid w:val="004B0098"/>
    <w:rsid w:val="004B1119"/>
    <w:rsid w:val="004B1B66"/>
    <w:rsid w:val="004B26FC"/>
    <w:rsid w:val="004B2DFA"/>
    <w:rsid w:val="004B345F"/>
    <w:rsid w:val="004B3883"/>
    <w:rsid w:val="004C1630"/>
    <w:rsid w:val="004C19A2"/>
    <w:rsid w:val="004C3BCA"/>
    <w:rsid w:val="004C6D8D"/>
    <w:rsid w:val="004C6E65"/>
    <w:rsid w:val="004D04CC"/>
    <w:rsid w:val="004D128F"/>
    <w:rsid w:val="004D176A"/>
    <w:rsid w:val="004D20F0"/>
    <w:rsid w:val="004D2C40"/>
    <w:rsid w:val="004D5B78"/>
    <w:rsid w:val="004D6AD0"/>
    <w:rsid w:val="004D6CF6"/>
    <w:rsid w:val="004E09CD"/>
    <w:rsid w:val="004E1303"/>
    <w:rsid w:val="004E384B"/>
    <w:rsid w:val="004E4B32"/>
    <w:rsid w:val="004E507D"/>
    <w:rsid w:val="004E63A3"/>
    <w:rsid w:val="004F5559"/>
    <w:rsid w:val="004F65B6"/>
    <w:rsid w:val="00500B6C"/>
    <w:rsid w:val="00501A83"/>
    <w:rsid w:val="00501C19"/>
    <w:rsid w:val="00501E13"/>
    <w:rsid w:val="00503BE2"/>
    <w:rsid w:val="005076C7"/>
    <w:rsid w:val="00507A2C"/>
    <w:rsid w:val="005100C9"/>
    <w:rsid w:val="005107BF"/>
    <w:rsid w:val="00510EE1"/>
    <w:rsid w:val="00511095"/>
    <w:rsid w:val="00511AE8"/>
    <w:rsid w:val="0051757D"/>
    <w:rsid w:val="005176A4"/>
    <w:rsid w:val="00520A5B"/>
    <w:rsid w:val="00521BAD"/>
    <w:rsid w:val="00524644"/>
    <w:rsid w:val="005263C2"/>
    <w:rsid w:val="005267A9"/>
    <w:rsid w:val="00527FFC"/>
    <w:rsid w:val="005301D7"/>
    <w:rsid w:val="0053116C"/>
    <w:rsid w:val="005311C2"/>
    <w:rsid w:val="005347CB"/>
    <w:rsid w:val="005359D0"/>
    <w:rsid w:val="00535DFB"/>
    <w:rsid w:val="00537B45"/>
    <w:rsid w:val="005407F0"/>
    <w:rsid w:val="00541241"/>
    <w:rsid w:val="0054139F"/>
    <w:rsid w:val="00542CB9"/>
    <w:rsid w:val="00542FE0"/>
    <w:rsid w:val="005446D5"/>
    <w:rsid w:val="005463EC"/>
    <w:rsid w:val="00550364"/>
    <w:rsid w:val="00550994"/>
    <w:rsid w:val="00550F24"/>
    <w:rsid w:val="00550FE3"/>
    <w:rsid w:val="0055357E"/>
    <w:rsid w:val="00554E9F"/>
    <w:rsid w:val="00555222"/>
    <w:rsid w:val="005559A6"/>
    <w:rsid w:val="00560AF8"/>
    <w:rsid w:val="00560B66"/>
    <w:rsid w:val="00560BEE"/>
    <w:rsid w:val="00562FAE"/>
    <w:rsid w:val="00562FE4"/>
    <w:rsid w:val="005634E5"/>
    <w:rsid w:val="0056391F"/>
    <w:rsid w:val="00563A96"/>
    <w:rsid w:val="00570D47"/>
    <w:rsid w:val="00574C94"/>
    <w:rsid w:val="0057712E"/>
    <w:rsid w:val="005801C8"/>
    <w:rsid w:val="00581CD8"/>
    <w:rsid w:val="00587843"/>
    <w:rsid w:val="00593D82"/>
    <w:rsid w:val="00593E6B"/>
    <w:rsid w:val="0059428D"/>
    <w:rsid w:val="00597980"/>
    <w:rsid w:val="005A097B"/>
    <w:rsid w:val="005A0AD5"/>
    <w:rsid w:val="005A3245"/>
    <w:rsid w:val="005A32A5"/>
    <w:rsid w:val="005A5881"/>
    <w:rsid w:val="005A66BB"/>
    <w:rsid w:val="005A68FE"/>
    <w:rsid w:val="005B0E22"/>
    <w:rsid w:val="005B1E6F"/>
    <w:rsid w:val="005B227B"/>
    <w:rsid w:val="005B2986"/>
    <w:rsid w:val="005B2C3C"/>
    <w:rsid w:val="005B337D"/>
    <w:rsid w:val="005B437B"/>
    <w:rsid w:val="005B6276"/>
    <w:rsid w:val="005B6DB2"/>
    <w:rsid w:val="005B71DF"/>
    <w:rsid w:val="005B7A7B"/>
    <w:rsid w:val="005C1527"/>
    <w:rsid w:val="005C2102"/>
    <w:rsid w:val="005C2292"/>
    <w:rsid w:val="005C251D"/>
    <w:rsid w:val="005C2A94"/>
    <w:rsid w:val="005C3430"/>
    <w:rsid w:val="005C4957"/>
    <w:rsid w:val="005C4BBF"/>
    <w:rsid w:val="005C5DEA"/>
    <w:rsid w:val="005C6868"/>
    <w:rsid w:val="005C6B76"/>
    <w:rsid w:val="005C7561"/>
    <w:rsid w:val="005D09C4"/>
    <w:rsid w:val="005D0FCA"/>
    <w:rsid w:val="005D1D77"/>
    <w:rsid w:val="005D1E5F"/>
    <w:rsid w:val="005D2626"/>
    <w:rsid w:val="005D2F4D"/>
    <w:rsid w:val="005D487C"/>
    <w:rsid w:val="005D4A8D"/>
    <w:rsid w:val="005D668A"/>
    <w:rsid w:val="005D6BB3"/>
    <w:rsid w:val="005E095C"/>
    <w:rsid w:val="005E5500"/>
    <w:rsid w:val="005E5BE0"/>
    <w:rsid w:val="005E5DA0"/>
    <w:rsid w:val="005E616C"/>
    <w:rsid w:val="005E6E98"/>
    <w:rsid w:val="005E733D"/>
    <w:rsid w:val="005E7A3E"/>
    <w:rsid w:val="005E7D11"/>
    <w:rsid w:val="005F0FCC"/>
    <w:rsid w:val="005F3F58"/>
    <w:rsid w:val="005F3FA2"/>
    <w:rsid w:val="005F500C"/>
    <w:rsid w:val="005F58BA"/>
    <w:rsid w:val="005F62D2"/>
    <w:rsid w:val="005F779F"/>
    <w:rsid w:val="0060021E"/>
    <w:rsid w:val="0060111E"/>
    <w:rsid w:val="0060317C"/>
    <w:rsid w:val="006032DF"/>
    <w:rsid w:val="00603E18"/>
    <w:rsid w:val="006066AB"/>
    <w:rsid w:val="00610046"/>
    <w:rsid w:val="006108AF"/>
    <w:rsid w:val="00610965"/>
    <w:rsid w:val="006109BB"/>
    <w:rsid w:val="00610BE1"/>
    <w:rsid w:val="00612294"/>
    <w:rsid w:val="00612C4C"/>
    <w:rsid w:val="00614EF9"/>
    <w:rsid w:val="0061537E"/>
    <w:rsid w:val="006172B2"/>
    <w:rsid w:val="00620FC8"/>
    <w:rsid w:val="00621091"/>
    <w:rsid w:val="006216B1"/>
    <w:rsid w:val="00622084"/>
    <w:rsid w:val="00622646"/>
    <w:rsid w:val="00622FCF"/>
    <w:rsid w:val="00623899"/>
    <w:rsid w:val="006253C7"/>
    <w:rsid w:val="00625B6E"/>
    <w:rsid w:val="00626B5B"/>
    <w:rsid w:val="00627C45"/>
    <w:rsid w:val="00630606"/>
    <w:rsid w:val="00631070"/>
    <w:rsid w:val="00635760"/>
    <w:rsid w:val="006357DF"/>
    <w:rsid w:val="0063644B"/>
    <w:rsid w:val="006367E4"/>
    <w:rsid w:val="00636DEB"/>
    <w:rsid w:val="00640544"/>
    <w:rsid w:val="006407BD"/>
    <w:rsid w:val="00640A0A"/>
    <w:rsid w:val="006424CF"/>
    <w:rsid w:val="00642DA0"/>
    <w:rsid w:val="006442A4"/>
    <w:rsid w:val="00644AFE"/>
    <w:rsid w:val="00644E39"/>
    <w:rsid w:val="006451F5"/>
    <w:rsid w:val="00645536"/>
    <w:rsid w:val="00646191"/>
    <w:rsid w:val="00646BAE"/>
    <w:rsid w:val="00647A2A"/>
    <w:rsid w:val="00653B6B"/>
    <w:rsid w:val="00660277"/>
    <w:rsid w:val="00661270"/>
    <w:rsid w:val="00661965"/>
    <w:rsid w:val="00662BCC"/>
    <w:rsid w:val="0066387E"/>
    <w:rsid w:val="00665B70"/>
    <w:rsid w:val="00666886"/>
    <w:rsid w:val="00673B4F"/>
    <w:rsid w:val="00674D24"/>
    <w:rsid w:val="00675825"/>
    <w:rsid w:val="006762AB"/>
    <w:rsid w:val="00677767"/>
    <w:rsid w:val="00677CE8"/>
    <w:rsid w:val="00680EE0"/>
    <w:rsid w:val="00680F00"/>
    <w:rsid w:val="00681FCE"/>
    <w:rsid w:val="00682CDC"/>
    <w:rsid w:val="00682EE5"/>
    <w:rsid w:val="00683E3C"/>
    <w:rsid w:val="006918FD"/>
    <w:rsid w:val="00692EDD"/>
    <w:rsid w:val="00693F58"/>
    <w:rsid w:val="006946FE"/>
    <w:rsid w:val="00694FEE"/>
    <w:rsid w:val="0069585E"/>
    <w:rsid w:val="00697493"/>
    <w:rsid w:val="006A06E6"/>
    <w:rsid w:val="006A18F7"/>
    <w:rsid w:val="006A1CD0"/>
    <w:rsid w:val="006A3265"/>
    <w:rsid w:val="006A3C08"/>
    <w:rsid w:val="006A4651"/>
    <w:rsid w:val="006A5A3B"/>
    <w:rsid w:val="006A6A03"/>
    <w:rsid w:val="006B0DBB"/>
    <w:rsid w:val="006B1313"/>
    <w:rsid w:val="006B1DDE"/>
    <w:rsid w:val="006B203D"/>
    <w:rsid w:val="006B248E"/>
    <w:rsid w:val="006B38AF"/>
    <w:rsid w:val="006B5103"/>
    <w:rsid w:val="006B55A1"/>
    <w:rsid w:val="006B6CFB"/>
    <w:rsid w:val="006B7725"/>
    <w:rsid w:val="006B7D0C"/>
    <w:rsid w:val="006C011D"/>
    <w:rsid w:val="006C0927"/>
    <w:rsid w:val="006C0CBD"/>
    <w:rsid w:val="006C180A"/>
    <w:rsid w:val="006C1BD4"/>
    <w:rsid w:val="006C20D5"/>
    <w:rsid w:val="006C32C4"/>
    <w:rsid w:val="006C3BD6"/>
    <w:rsid w:val="006C475E"/>
    <w:rsid w:val="006C694D"/>
    <w:rsid w:val="006C7E8D"/>
    <w:rsid w:val="006D0132"/>
    <w:rsid w:val="006D0434"/>
    <w:rsid w:val="006D394F"/>
    <w:rsid w:val="006D5226"/>
    <w:rsid w:val="006D6F18"/>
    <w:rsid w:val="006E13CF"/>
    <w:rsid w:val="006E17F2"/>
    <w:rsid w:val="006F0B15"/>
    <w:rsid w:val="006F3C71"/>
    <w:rsid w:val="006F4538"/>
    <w:rsid w:val="006F480B"/>
    <w:rsid w:val="006F5BA0"/>
    <w:rsid w:val="006F64C8"/>
    <w:rsid w:val="006F7AA7"/>
    <w:rsid w:val="00700ECC"/>
    <w:rsid w:val="00701696"/>
    <w:rsid w:val="00703A15"/>
    <w:rsid w:val="00705630"/>
    <w:rsid w:val="00705F80"/>
    <w:rsid w:val="00706418"/>
    <w:rsid w:val="00710B6F"/>
    <w:rsid w:val="00711901"/>
    <w:rsid w:val="00712455"/>
    <w:rsid w:val="00712ABC"/>
    <w:rsid w:val="00712FA6"/>
    <w:rsid w:val="00713248"/>
    <w:rsid w:val="00714369"/>
    <w:rsid w:val="0071772B"/>
    <w:rsid w:val="007205E5"/>
    <w:rsid w:val="00720DC2"/>
    <w:rsid w:val="007218C0"/>
    <w:rsid w:val="00722ACE"/>
    <w:rsid w:val="00724785"/>
    <w:rsid w:val="00725A71"/>
    <w:rsid w:val="00730215"/>
    <w:rsid w:val="00730B29"/>
    <w:rsid w:val="00730EA3"/>
    <w:rsid w:val="007316EC"/>
    <w:rsid w:val="0073533A"/>
    <w:rsid w:val="00735C73"/>
    <w:rsid w:val="00737368"/>
    <w:rsid w:val="007437E8"/>
    <w:rsid w:val="00745D0A"/>
    <w:rsid w:val="00747C2C"/>
    <w:rsid w:val="00750843"/>
    <w:rsid w:val="00751374"/>
    <w:rsid w:val="00753341"/>
    <w:rsid w:val="00753DE5"/>
    <w:rsid w:val="00754A4B"/>
    <w:rsid w:val="00755C3D"/>
    <w:rsid w:val="00756E9E"/>
    <w:rsid w:val="0075701D"/>
    <w:rsid w:val="00757DFF"/>
    <w:rsid w:val="0076050C"/>
    <w:rsid w:val="0076156A"/>
    <w:rsid w:val="00762AD1"/>
    <w:rsid w:val="007654F9"/>
    <w:rsid w:val="00765C2E"/>
    <w:rsid w:val="00766048"/>
    <w:rsid w:val="007662A6"/>
    <w:rsid w:val="007665D8"/>
    <w:rsid w:val="00766707"/>
    <w:rsid w:val="007673BD"/>
    <w:rsid w:val="00767D00"/>
    <w:rsid w:val="00770122"/>
    <w:rsid w:val="007702D5"/>
    <w:rsid w:val="00770B83"/>
    <w:rsid w:val="00770BD6"/>
    <w:rsid w:val="00770D63"/>
    <w:rsid w:val="00774544"/>
    <w:rsid w:val="007750B1"/>
    <w:rsid w:val="0077510A"/>
    <w:rsid w:val="00777DF2"/>
    <w:rsid w:val="00781296"/>
    <w:rsid w:val="00781669"/>
    <w:rsid w:val="0078436A"/>
    <w:rsid w:val="007849E1"/>
    <w:rsid w:val="00786963"/>
    <w:rsid w:val="007877BA"/>
    <w:rsid w:val="007900C8"/>
    <w:rsid w:val="007914FE"/>
    <w:rsid w:val="00791993"/>
    <w:rsid w:val="00792A30"/>
    <w:rsid w:val="00794588"/>
    <w:rsid w:val="00794E58"/>
    <w:rsid w:val="007966B4"/>
    <w:rsid w:val="007A0171"/>
    <w:rsid w:val="007A1B79"/>
    <w:rsid w:val="007A540D"/>
    <w:rsid w:val="007A5F02"/>
    <w:rsid w:val="007A737D"/>
    <w:rsid w:val="007A7578"/>
    <w:rsid w:val="007B1AB8"/>
    <w:rsid w:val="007B2EE9"/>
    <w:rsid w:val="007B33CB"/>
    <w:rsid w:val="007B392A"/>
    <w:rsid w:val="007B3C4A"/>
    <w:rsid w:val="007B4C31"/>
    <w:rsid w:val="007B606F"/>
    <w:rsid w:val="007B6630"/>
    <w:rsid w:val="007C2318"/>
    <w:rsid w:val="007C28E3"/>
    <w:rsid w:val="007C31BC"/>
    <w:rsid w:val="007C44B3"/>
    <w:rsid w:val="007C4674"/>
    <w:rsid w:val="007D02A2"/>
    <w:rsid w:val="007D358C"/>
    <w:rsid w:val="007D423C"/>
    <w:rsid w:val="007D47B0"/>
    <w:rsid w:val="007D4FED"/>
    <w:rsid w:val="007D6826"/>
    <w:rsid w:val="007D6D99"/>
    <w:rsid w:val="007D7EEE"/>
    <w:rsid w:val="007E0892"/>
    <w:rsid w:val="007E1276"/>
    <w:rsid w:val="007E25A2"/>
    <w:rsid w:val="007E31B3"/>
    <w:rsid w:val="007E35B1"/>
    <w:rsid w:val="007E38C5"/>
    <w:rsid w:val="007E4595"/>
    <w:rsid w:val="007E4A05"/>
    <w:rsid w:val="007E5116"/>
    <w:rsid w:val="007E51F6"/>
    <w:rsid w:val="007E561B"/>
    <w:rsid w:val="007E74FE"/>
    <w:rsid w:val="007E7570"/>
    <w:rsid w:val="007F0531"/>
    <w:rsid w:val="007F33B4"/>
    <w:rsid w:val="007F36BE"/>
    <w:rsid w:val="007F3A75"/>
    <w:rsid w:val="007F4163"/>
    <w:rsid w:val="007F7688"/>
    <w:rsid w:val="007F76DC"/>
    <w:rsid w:val="00805441"/>
    <w:rsid w:val="00805C02"/>
    <w:rsid w:val="0080615E"/>
    <w:rsid w:val="00807598"/>
    <w:rsid w:val="0080775B"/>
    <w:rsid w:val="0081024D"/>
    <w:rsid w:val="00810B13"/>
    <w:rsid w:val="00812C76"/>
    <w:rsid w:val="00813176"/>
    <w:rsid w:val="00813727"/>
    <w:rsid w:val="00813DB5"/>
    <w:rsid w:val="008176E9"/>
    <w:rsid w:val="008222A1"/>
    <w:rsid w:val="00823852"/>
    <w:rsid w:val="0082460E"/>
    <w:rsid w:val="00825804"/>
    <w:rsid w:val="00825FFF"/>
    <w:rsid w:val="00827BCA"/>
    <w:rsid w:val="00830A2C"/>
    <w:rsid w:val="0083171C"/>
    <w:rsid w:val="0083221F"/>
    <w:rsid w:val="00833808"/>
    <w:rsid w:val="00833D7B"/>
    <w:rsid w:val="008340E9"/>
    <w:rsid w:val="008349E8"/>
    <w:rsid w:val="00835BAF"/>
    <w:rsid w:val="00837434"/>
    <w:rsid w:val="00840F80"/>
    <w:rsid w:val="00842C1C"/>
    <w:rsid w:val="00842CD5"/>
    <w:rsid w:val="0084352B"/>
    <w:rsid w:val="0084365B"/>
    <w:rsid w:val="00843912"/>
    <w:rsid w:val="00845E03"/>
    <w:rsid w:val="008463E7"/>
    <w:rsid w:val="00846DA0"/>
    <w:rsid w:val="00847047"/>
    <w:rsid w:val="00851EF0"/>
    <w:rsid w:val="00852A9B"/>
    <w:rsid w:val="00853549"/>
    <w:rsid w:val="00854EB2"/>
    <w:rsid w:val="008552C1"/>
    <w:rsid w:val="00856157"/>
    <w:rsid w:val="00860BF6"/>
    <w:rsid w:val="00861B81"/>
    <w:rsid w:val="00865301"/>
    <w:rsid w:val="00865F3B"/>
    <w:rsid w:val="00866E84"/>
    <w:rsid w:val="00871565"/>
    <w:rsid w:val="00874281"/>
    <w:rsid w:val="0087782B"/>
    <w:rsid w:val="008802AD"/>
    <w:rsid w:val="00881948"/>
    <w:rsid w:val="00883B52"/>
    <w:rsid w:val="008870ED"/>
    <w:rsid w:val="00887C56"/>
    <w:rsid w:val="00890982"/>
    <w:rsid w:val="008924A3"/>
    <w:rsid w:val="008924CA"/>
    <w:rsid w:val="00892D5E"/>
    <w:rsid w:val="00893B0A"/>
    <w:rsid w:val="008941F3"/>
    <w:rsid w:val="008942B2"/>
    <w:rsid w:val="00894F22"/>
    <w:rsid w:val="00895510"/>
    <w:rsid w:val="008962FE"/>
    <w:rsid w:val="0089690C"/>
    <w:rsid w:val="008A0A72"/>
    <w:rsid w:val="008A2660"/>
    <w:rsid w:val="008A269C"/>
    <w:rsid w:val="008A31FF"/>
    <w:rsid w:val="008A37BB"/>
    <w:rsid w:val="008A3DEB"/>
    <w:rsid w:val="008A4925"/>
    <w:rsid w:val="008A506F"/>
    <w:rsid w:val="008A5B96"/>
    <w:rsid w:val="008A6044"/>
    <w:rsid w:val="008A624B"/>
    <w:rsid w:val="008B197F"/>
    <w:rsid w:val="008B2DE2"/>
    <w:rsid w:val="008B4594"/>
    <w:rsid w:val="008B4F0F"/>
    <w:rsid w:val="008B558E"/>
    <w:rsid w:val="008B6E40"/>
    <w:rsid w:val="008B73F0"/>
    <w:rsid w:val="008C0488"/>
    <w:rsid w:val="008C1EB1"/>
    <w:rsid w:val="008C2D57"/>
    <w:rsid w:val="008C3A8A"/>
    <w:rsid w:val="008D0260"/>
    <w:rsid w:val="008D0A76"/>
    <w:rsid w:val="008D18D2"/>
    <w:rsid w:val="008D1A12"/>
    <w:rsid w:val="008D4D3B"/>
    <w:rsid w:val="008D5510"/>
    <w:rsid w:val="008D57D3"/>
    <w:rsid w:val="008E0281"/>
    <w:rsid w:val="008E0AB8"/>
    <w:rsid w:val="008E0E76"/>
    <w:rsid w:val="008E1B6F"/>
    <w:rsid w:val="008E1CB4"/>
    <w:rsid w:val="008E35FB"/>
    <w:rsid w:val="008E4495"/>
    <w:rsid w:val="008E5E10"/>
    <w:rsid w:val="008E75FE"/>
    <w:rsid w:val="008E7FFC"/>
    <w:rsid w:val="008F0515"/>
    <w:rsid w:val="008F16AA"/>
    <w:rsid w:val="008F2E66"/>
    <w:rsid w:val="008F33A7"/>
    <w:rsid w:val="008F38A0"/>
    <w:rsid w:val="008F3E6B"/>
    <w:rsid w:val="008F4778"/>
    <w:rsid w:val="008F4CB4"/>
    <w:rsid w:val="008F50E1"/>
    <w:rsid w:val="008F59A2"/>
    <w:rsid w:val="008F62D8"/>
    <w:rsid w:val="008F6D4A"/>
    <w:rsid w:val="00900D55"/>
    <w:rsid w:val="009023E5"/>
    <w:rsid w:val="00903D3F"/>
    <w:rsid w:val="00905A67"/>
    <w:rsid w:val="00907578"/>
    <w:rsid w:val="00910DDE"/>
    <w:rsid w:val="00914E0C"/>
    <w:rsid w:val="009155F8"/>
    <w:rsid w:val="009164BB"/>
    <w:rsid w:val="00921655"/>
    <w:rsid w:val="00921FEB"/>
    <w:rsid w:val="00923572"/>
    <w:rsid w:val="009238DC"/>
    <w:rsid w:val="00927137"/>
    <w:rsid w:val="00927FDA"/>
    <w:rsid w:val="00930DE8"/>
    <w:rsid w:val="0093229B"/>
    <w:rsid w:val="00932EED"/>
    <w:rsid w:val="00932EFA"/>
    <w:rsid w:val="00934715"/>
    <w:rsid w:val="0093581B"/>
    <w:rsid w:val="00936A18"/>
    <w:rsid w:val="009409B6"/>
    <w:rsid w:val="00940A1D"/>
    <w:rsid w:val="00940B0A"/>
    <w:rsid w:val="0094183E"/>
    <w:rsid w:val="0094269A"/>
    <w:rsid w:val="00943272"/>
    <w:rsid w:val="00944B53"/>
    <w:rsid w:val="00944C68"/>
    <w:rsid w:val="009455F8"/>
    <w:rsid w:val="00945606"/>
    <w:rsid w:val="00946A5A"/>
    <w:rsid w:val="00946ABD"/>
    <w:rsid w:val="00946E57"/>
    <w:rsid w:val="00947B10"/>
    <w:rsid w:val="00951AF0"/>
    <w:rsid w:val="009522B1"/>
    <w:rsid w:val="0095309C"/>
    <w:rsid w:val="009538EB"/>
    <w:rsid w:val="009559E6"/>
    <w:rsid w:val="009578A3"/>
    <w:rsid w:val="00957B0C"/>
    <w:rsid w:val="00961F50"/>
    <w:rsid w:val="009621B1"/>
    <w:rsid w:val="00965510"/>
    <w:rsid w:val="00966F6B"/>
    <w:rsid w:val="009711FA"/>
    <w:rsid w:val="00973467"/>
    <w:rsid w:val="00973E81"/>
    <w:rsid w:val="0097559D"/>
    <w:rsid w:val="009761AD"/>
    <w:rsid w:val="00976D0B"/>
    <w:rsid w:val="0097787D"/>
    <w:rsid w:val="00984B55"/>
    <w:rsid w:val="00984C31"/>
    <w:rsid w:val="00984E17"/>
    <w:rsid w:val="00985A48"/>
    <w:rsid w:val="00985F44"/>
    <w:rsid w:val="009871BE"/>
    <w:rsid w:val="00987915"/>
    <w:rsid w:val="00991729"/>
    <w:rsid w:val="009923A7"/>
    <w:rsid w:val="009934DB"/>
    <w:rsid w:val="00993B35"/>
    <w:rsid w:val="00994A05"/>
    <w:rsid w:val="00995768"/>
    <w:rsid w:val="009979ED"/>
    <w:rsid w:val="009A0BFB"/>
    <w:rsid w:val="009A0D7E"/>
    <w:rsid w:val="009A0DFF"/>
    <w:rsid w:val="009A1708"/>
    <w:rsid w:val="009A2A10"/>
    <w:rsid w:val="009A5460"/>
    <w:rsid w:val="009A5701"/>
    <w:rsid w:val="009A7338"/>
    <w:rsid w:val="009B098F"/>
    <w:rsid w:val="009B68F9"/>
    <w:rsid w:val="009C0B17"/>
    <w:rsid w:val="009C11AD"/>
    <w:rsid w:val="009C3A90"/>
    <w:rsid w:val="009C48A0"/>
    <w:rsid w:val="009C4E4C"/>
    <w:rsid w:val="009C5978"/>
    <w:rsid w:val="009C67C6"/>
    <w:rsid w:val="009C6C97"/>
    <w:rsid w:val="009C6D75"/>
    <w:rsid w:val="009C7567"/>
    <w:rsid w:val="009C75E6"/>
    <w:rsid w:val="009D0124"/>
    <w:rsid w:val="009D01B0"/>
    <w:rsid w:val="009D13A4"/>
    <w:rsid w:val="009D29C3"/>
    <w:rsid w:val="009D2A14"/>
    <w:rsid w:val="009D2AEA"/>
    <w:rsid w:val="009D2B39"/>
    <w:rsid w:val="009D33CA"/>
    <w:rsid w:val="009D4CEE"/>
    <w:rsid w:val="009D4F17"/>
    <w:rsid w:val="009D5D3F"/>
    <w:rsid w:val="009D7E72"/>
    <w:rsid w:val="009E07EC"/>
    <w:rsid w:val="009E2516"/>
    <w:rsid w:val="009E2666"/>
    <w:rsid w:val="009E27F9"/>
    <w:rsid w:val="009E2D5E"/>
    <w:rsid w:val="009E3298"/>
    <w:rsid w:val="009E6455"/>
    <w:rsid w:val="009E722D"/>
    <w:rsid w:val="009F0393"/>
    <w:rsid w:val="009F53EE"/>
    <w:rsid w:val="009F5F3B"/>
    <w:rsid w:val="009F646C"/>
    <w:rsid w:val="009F70F6"/>
    <w:rsid w:val="00A008D7"/>
    <w:rsid w:val="00A02C89"/>
    <w:rsid w:val="00A02CAE"/>
    <w:rsid w:val="00A039CA"/>
    <w:rsid w:val="00A04582"/>
    <w:rsid w:val="00A05D81"/>
    <w:rsid w:val="00A06B05"/>
    <w:rsid w:val="00A07D82"/>
    <w:rsid w:val="00A134FE"/>
    <w:rsid w:val="00A16E57"/>
    <w:rsid w:val="00A20319"/>
    <w:rsid w:val="00A2053D"/>
    <w:rsid w:val="00A2181E"/>
    <w:rsid w:val="00A254EA"/>
    <w:rsid w:val="00A321D5"/>
    <w:rsid w:val="00A32F5E"/>
    <w:rsid w:val="00A35053"/>
    <w:rsid w:val="00A35CEA"/>
    <w:rsid w:val="00A3628D"/>
    <w:rsid w:val="00A36356"/>
    <w:rsid w:val="00A40699"/>
    <w:rsid w:val="00A41659"/>
    <w:rsid w:val="00A44232"/>
    <w:rsid w:val="00A4456D"/>
    <w:rsid w:val="00A44ED5"/>
    <w:rsid w:val="00A4567A"/>
    <w:rsid w:val="00A469CF"/>
    <w:rsid w:val="00A46B4E"/>
    <w:rsid w:val="00A47463"/>
    <w:rsid w:val="00A50C6C"/>
    <w:rsid w:val="00A52288"/>
    <w:rsid w:val="00A529AB"/>
    <w:rsid w:val="00A53F26"/>
    <w:rsid w:val="00A55C6F"/>
    <w:rsid w:val="00A56857"/>
    <w:rsid w:val="00A63318"/>
    <w:rsid w:val="00A634CA"/>
    <w:rsid w:val="00A636A2"/>
    <w:rsid w:val="00A63782"/>
    <w:rsid w:val="00A63BA6"/>
    <w:rsid w:val="00A651D1"/>
    <w:rsid w:val="00A6687C"/>
    <w:rsid w:val="00A66CBA"/>
    <w:rsid w:val="00A67B75"/>
    <w:rsid w:val="00A71AD8"/>
    <w:rsid w:val="00A726DD"/>
    <w:rsid w:val="00A7274B"/>
    <w:rsid w:val="00A7332D"/>
    <w:rsid w:val="00A739F3"/>
    <w:rsid w:val="00A73D6B"/>
    <w:rsid w:val="00A73E4C"/>
    <w:rsid w:val="00A740EA"/>
    <w:rsid w:val="00A75F4F"/>
    <w:rsid w:val="00A769B7"/>
    <w:rsid w:val="00A76A0D"/>
    <w:rsid w:val="00A822EA"/>
    <w:rsid w:val="00A85598"/>
    <w:rsid w:val="00A86D82"/>
    <w:rsid w:val="00A87478"/>
    <w:rsid w:val="00A930AE"/>
    <w:rsid w:val="00A935CC"/>
    <w:rsid w:val="00A943B1"/>
    <w:rsid w:val="00A967E0"/>
    <w:rsid w:val="00A96C8C"/>
    <w:rsid w:val="00AA3DB2"/>
    <w:rsid w:val="00AA46F9"/>
    <w:rsid w:val="00AA4AEE"/>
    <w:rsid w:val="00AA5768"/>
    <w:rsid w:val="00AA67D3"/>
    <w:rsid w:val="00AB0C91"/>
    <w:rsid w:val="00AB1080"/>
    <w:rsid w:val="00AB25EE"/>
    <w:rsid w:val="00AB2F5F"/>
    <w:rsid w:val="00AB3D05"/>
    <w:rsid w:val="00AB4B04"/>
    <w:rsid w:val="00AB5582"/>
    <w:rsid w:val="00AB6311"/>
    <w:rsid w:val="00AB76C1"/>
    <w:rsid w:val="00AC0FF4"/>
    <w:rsid w:val="00AC14FE"/>
    <w:rsid w:val="00AC1A13"/>
    <w:rsid w:val="00AC2271"/>
    <w:rsid w:val="00AC4266"/>
    <w:rsid w:val="00AC52BB"/>
    <w:rsid w:val="00AC6DB6"/>
    <w:rsid w:val="00AD0300"/>
    <w:rsid w:val="00AD5B52"/>
    <w:rsid w:val="00AD6AFD"/>
    <w:rsid w:val="00AE2664"/>
    <w:rsid w:val="00AE27E2"/>
    <w:rsid w:val="00AE4F97"/>
    <w:rsid w:val="00AE59F1"/>
    <w:rsid w:val="00AE5FC0"/>
    <w:rsid w:val="00AE61E0"/>
    <w:rsid w:val="00AE65B7"/>
    <w:rsid w:val="00AF01DD"/>
    <w:rsid w:val="00AF15BC"/>
    <w:rsid w:val="00AF237D"/>
    <w:rsid w:val="00AF2BC1"/>
    <w:rsid w:val="00AF34D3"/>
    <w:rsid w:val="00AF40D2"/>
    <w:rsid w:val="00AF438D"/>
    <w:rsid w:val="00AF58AE"/>
    <w:rsid w:val="00AF61CE"/>
    <w:rsid w:val="00AF6486"/>
    <w:rsid w:val="00B001FE"/>
    <w:rsid w:val="00B00ECA"/>
    <w:rsid w:val="00B01F95"/>
    <w:rsid w:val="00B03043"/>
    <w:rsid w:val="00B04087"/>
    <w:rsid w:val="00B0423B"/>
    <w:rsid w:val="00B06F3E"/>
    <w:rsid w:val="00B12947"/>
    <w:rsid w:val="00B132B6"/>
    <w:rsid w:val="00B13389"/>
    <w:rsid w:val="00B14D20"/>
    <w:rsid w:val="00B16C99"/>
    <w:rsid w:val="00B202DC"/>
    <w:rsid w:val="00B20AB9"/>
    <w:rsid w:val="00B21DEA"/>
    <w:rsid w:val="00B23E72"/>
    <w:rsid w:val="00B24A05"/>
    <w:rsid w:val="00B26094"/>
    <w:rsid w:val="00B262A4"/>
    <w:rsid w:val="00B27267"/>
    <w:rsid w:val="00B31141"/>
    <w:rsid w:val="00B31F7B"/>
    <w:rsid w:val="00B32501"/>
    <w:rsid w:val="00B32702"/>
    <w:rsid w:val="00B32E8D"/>
    <w:rsid w:val="00B34ACD"/>
    <w:rsid w:val="00B46C09"/>
    <w:rsid w:val="00B47765"/>
    <w:rsid w:val="00B5006D"/>
    <w:rsid w:val="00B502CE"/>
    <w:rsid w:val="00B50949"/>
    <w:rsid w:val="00B52F1D"/>
    <w:rsid w:val="00B5456B"/>
    <w:rsid w:val="00B55931"/>
    <w:rsid w:val="00B55AEB"/>
    <w:rsid w:val="00B56BD0"/>
    <w:rsid w:val="00B60015"/>
    <w:rsid w:val="00B60355"/>
    <w:rsid w:val="00B607EC"/>
    <w:rsid w:val="00B60CFB"/>
    <w:rsid w:val="00B62680"/>
    <w:rsid w:val="00B62760"/>
    <w:rsid w:val="00B6481D"/>
    <w:rsid w:val="00B64F39"/>
    <w:rsid w:val="00B650E4"/>
    <w:rsid w:val="00B661F7"/>
    <w:rsid w:val="00B66507"/>
    <w:rsid w:val="00B66D18"/>
    <w:rsid w:val="00B67373"/>
    <w:rsid w:val="00B70242"/>
    <w:rsid w:val="00B710A2"/>
    <w:rsid w:val="00B71553"/>
    <w:rsid w:val="00B71A2E"/>
    <w:rsid w:val="00B748C4"/>
    <w:rsid w:val="00B76C30"/>
    <w:rsid w:val="00B77B33"/>
    <w:rsid w:val="00B77FB8"/>
    <w:rsid w:val="00B815AB"/>
    <w:rsid w:val="00B81944"/>
    <w:rsid w:val="00B81D46"/>
    <w:rsid w:val="00B8247B"/>
    <w:rsid w:val="00B8319F"/>
    <w:rsid w:val="00B83E7B"/>
    <w:rsid w:val="00B876C3"/>
    <w:rsid w:val="00B91154"/>
    <w:rsid w:val="00B92175"/>
    <w:rsid w:val="00B92BE5"/>
    <w:rsid w:val="00B93D35"/>
    <w:rsid w:val="00B94C7F"/>
    <w:rsid w:val="00B95DFB"/>
    <w:rsid w:val="00B97349"/>
    <w:rsid w:val="00BA0C92"/>
    <w:rsid w:val="00BA1720"/>
    <w:rsid w:val="00BA1E1E"/>
    <w:rsid w:val="00BA2590"/>
    <w:rsid w:val="00BA29E7"/>
    <w:rsid w:val="00BA68D7"/>
    <w:rsid w:val="00BA6D5C"/>
    <w:rsid w:val="00BA7746"/>
    <w:rsid w:val="00BB0506"/>
    <w:rsid w:val="00BB07C7"/>
    <w:rsid w:val="00BB3286"/>
    <w:rsid w:val="00BB6043"/>
    <w:rsid w:val="00BC0EF7"/>
    <w:rsid w:val="00BC34BD"/>
    <w:rsid w:val="00BC5907"/>
    <w:rsid w:val="00BC5C98"/>
    <w:rsid w:val="00BC645F"/>
    <w:rsid w:val="00BC672A"/>
    <w:rsid w:val="00BC6D6B"/>
    <w:rsid w:val="00BC7AC0"/>
    <w:rsid w:val="00BD06D4"/>
    <w:rsid w:val="00BD151A"/>
    <w:rsid w:val="00BD5583"/>
    <w:rsid w:val="00BD5EF9"/>
    <w:rsid w:val="00BE1347"/>
    <w:rsid w:val="00BE17CA"/>
    <w:rsid w:val="00BE20F3"/>
    <w:rsid w:val="00BE23AA"/>
    <w:rsid w:val="00BE2CEC"/>
    <w:rsid w:val="00BE37BB"/>
    <w:rsid w:val="00BE4976"/>
    <w:rsid w:val="00BE545D"/>
    <w:rsid w:val="00BE5B2B"/>
    <w:rsid w:val="00BF00DA"/>
    <w:rsid w:val="00BF0842"/>
    <w:rsid w:val="00BF2254"/>
    <w:rsid w:val="00BF2723"/>
    <w:rsid w:val="00BF36B9"/>
    <w:rsid w:val="00BF5CBA"/>
    <w:rsid w:val="00BF7389"/>
    <w:rsid w:val="00C002D5"/>
    <w:rsid w:val="00C007C0"/>
    <w:rsid w:val="00C0115F"/>
    <w:rsid w:val="00C02A72"/>
    <w:rsid w:val="00C031E7"/>
    <w:rsid w:val="00C0416F"/>
    <w:rsid w:val="00C06A53"/>
    <w:rsid w:val="00C108C7"/>
    <w:rsid w:val="00C1105A"/>
    <w:rsid w:val="00C11927"/>
    <w:rsid w:val="00C1269A"/>
    <w:rsid w:val="00C12D37"/>
    <w:rsid w:val="00C14743"/>
    <w:rsid w:val="00C1507B"/>
    <w:rsid w:val="00C16560"/>
    <w:rsid w:val="00C16C8B"/>
    <w:rsid w:val="00C17330"/>
    <w:rsid w:val="00C179DF"/>
    <w:rsid w:val="00C2029D"/>
    <w:rsid w:val="00C207AF"/>
    <w:rsid w:val="00C27377"/>
    <w:rsid w:val="00C275E1"/>
    <w:rsid w:val="00C30A10"/>
    <w:rsid w:val="00C32F22"/>
    <w:rsid w:val="00C33505"/>
    <w:rsid w:val="00C34557"/>
    <w:rsid w:val="00C34D8D"/>
    <w:rsid w:val="00C34DA4"/>
    <w:rsid w:val="00C352F2"/>
    <w:rsid w:val="00C3784C"/>
    <w:rsid w:val="00C40F3F"/>
    <w:rsid w:val="00C410D9"/>
    <w:rsid w:val="00C42D34"/>
    <w:rsid w:val="00C43270"/>
    <w:rsid w:val="00C44C92"/>
    <w:rsid w:val="00C469BC"/>
    <w:rsid w:val="00C46BD8"/>
    <w:rsid w:val="00C47DA9"/>
    <w:rsid w:val="00C507A9"/>
    <w:rsid w:val="00C510FB"/>
    <w:rsid w:val="00C52830"/>
    <w:rsid w:val="00C52A2F"/>
    <w:rsid w:val="00C5511B"/>
    <w:rsid w:val="00C57236"/>
    <w:rsid w:val="00C6273A"/>
    <w:rsid w:val="00C6347D"/>
    <w:rsid w:val="00C70818"/>
    <w:rsid w:val="00C71F4B"/>
    <w:rsid w:val="00C73046"/>
    <w:rsid w:val="00C73958"/>
    <w:rsid w:val="00C73B59"/>
    <w:rsid w:val="00C73DD2"/>
    <w:rsid w:val="00C73F1F"/>
    <w:rsid w:val="00C75D72"/>
    <w:rsid w:val="00C82E2A"/>
    <w:rsid w:val="00C847C9"/>
    <w:rsid w:val="00C87868"/>
    <w:rsid w:val="00C90DE4"/>
    <w:rsid w:val="00C91DD4"/>
    <w:rsid w:val="00C922BD"/>
    <w:rsid w:val="00C93299"/>
    <w:rsid w:val="00C94090"/>
    <w:rsid w:val="00C945B7"/>
    <w:rsid w:val="00C95335"/>
    <w:rsid w:val="00C97410"/>
    <w:rsid w:val="00CA137F"/>
    <w:rsid w:val="00CA2B32"/>
    <w:rsid w:val="00CA2C57"/>
    <w:rsid w:val="00CA6B5E"/>
    <w:rsid w:val="00CB02C2"/>
    <w:rsid w:val="00CB16E9"/>
    <w:rsid w:val="00CB2974"/>
    <w:rsid w:val="00CB2F76"/>
    <w:rsid w:val="00CB3AF0"/>
    <w:rsid w:val="00CB4060"/>
    <w:rsid w:val="00CB45B2"/>
    <w:rsid w:val="00CB4614"/>
    <w:rsid w:val="00CB4950"/>
    <w:rsid w:val="00CB7211"/>
    <w:rsid w:val="00CC0627"/>
    <w:rsid w:val="00CC065A"/>
    <w:rsid w:val="00CC0A8C"/>
    <w:rsid w:val="00CC1CE6"/>
    <w:rsid w:val="00CC3200"/>
    <w:rsid w:val="00CC4402"/>
    <w:rsid w:val="00CC6ADD"/>
    <w:rsid w:val="00CC7391"/>
    <w:rsid w:val="00CC73A4"/>
    <w:rsid w:val="00CD0E4F"/>
    <w:rsid w:val="00CD3B20"/>
    <w:rsid w:val="00CD57B2"/>
    <w:rsid w:val="00CD78CA"/>
    <w:rsid w:val="00CD78EE"/>
    <w:rsid w:val="00CE03B8"/>
    <w:rsid w:val="00CE0C5B"/>
    <w:rsid w:val="00CE1655"/>
    <w:rsid w:val="00CE245E"/>
    <w:rsid w:val="00CE38E8"/>
    <w:rsid w:val="00CE6DC3"/>
    <w:rsid w:val="00CE78E2"/>
    <w:rsid w:val="00CE7C81"/>
    <w:rsid w:val="00CE7F57"/>
    <w:rsid w:val="00CF01FB"/>
    <w:rsid w:val="00CF0B5D"/>
    <w:rsid w:val="00CF24E2"/>
    <w:rsid w:val="00CF27CD"/>
    <w:rsid w:val="00CF2A24"/>
    <w:rsid w:val="00CF42C4"/>
    <w:rsid w:val="00CF4A44"/>
    <w:rsid w:val="00CF581D"/>
    <w:rsid w:val="00CF7300"/>
    <w:rsid w:val="00CF798A"/>
    <w:rsid w:val="00D02CAE"/>
    <w:rsid w:val="00D05103"/>
    <w:rsid w:val="00D06A0D"/>
    <w:rsid w:val="00D06D7F"/>
    <w:rsid w:val="00D07958"/>
    <w:rsid w:val="00D1027D"/>
    <w:rsid w:val="00D103D5"/>
    <w:rsid w:val="00D10CD4"/>
    <w:rsid w:val="00D110CB"/>
    <w:rsid w:val="00D11145"/>
    <w:rsid w:val="00D1156F"/>
    <w:rsid w:val="00D11BED"/>
    <w:rsid w:val="00D127B3"/>
    <w:rsid w:val="00D15208"/>
    <w:rsid w:val="00D178D2"/>
    <w:rsid w:val="00D20247"/>
    <w:rsid w:val="00D20800"/>
    <w:rsid w:val="00D20C76"/>
    <w:rsid w:val="00D26124"/>
    <w:rsid w:val="00D26CE5"/>
    <w:rsid w:val="00D26E29"/>
    <w:rsid w:val="00D32581"/>
    <w:rsid w:val="00D34144"/>
    <w:rsid w:val="00D3454B"/>
    <w:rsid w:val="00D36729"/>
    <w:rsid w:val="00D378F5"/>
    <w:rsid w:val="00D40391"/>
    <w:rsid w:val="00D40D0F"/>
    <w:rsid w:val="00D40DD9"/>
    <w:rsid w:val="00D4186C"/>
    <w:rsid w:val="00D42603"/>
    <w:rsid w:val="00D44350"/>
    <w:rsid w:val="00D4436B"/>
    <w:rsid w:val="00D458BE"/>
    <w:rsid w:val="00D46EC1"/>
    <w:rsid w:val="00D50B00"/>
    <w:rsid w:val="00D50F26"/>
    <w:rsid w:val="00D53B66"/>
    <w:rsid w:val="00D55177"/>
    <w:rsid w:val="00D62481"/>
    <w:rsid w:val="00D6370C"/>
    <w:rsid w:val="00D656F6"/>
    <w:rsid w:val="00D66EC3"/>
    <w:rsid w:val="00D70D21"/>
    <w:rsid w:val="00D71482"/>
    <w:rsid w:val="00D7176C"/>
    <w:rsid w:val="00D73169"/>
    <w:rsid w:val="00D73774"/>
    <w:rsid w:val="00D7473B"/>
    <w:rsid w:val="00D74D8C"/>
    <w:rsid w:val="00D75D1A"/>
    <w:rsid w:val="00D76E58"/>
    <w:rsid w:val="00D8368D"/>
    <w:rsid w:val="00D840AD"/>
    <w:rsid w:val="00D85BB4"/>
    <w:rsid w:val="00D86365"/>
    <w:rsid w:val="00D92987"/>
    <w:rsid w:val="00D93C0C"/>
    <w:rsid w:val="00D97C0D"/>
    <w:rsid w:val="00D97FFB"/>
    <w:rsid w:val="00DA00E8"/>
    <w:rsid w:val="00DA09D1"/>
    <w:rsid w:val="00DA28FF"/>
    <w:rsid w:val="00DA2DA8"/>
    <w:rsid w:val="00DA3B66"/>
    <w:rsid w:val="00DA452F"/>
    <w:rsid w:val="00DA5BF1"/>
    <w:rsid w:val="00DA7146"/>
    <w:rsid w:val="00DB15EF"/>
    <w:rsid w:val="00DB30A8"/>
    <w:rsid w:val="00DB398A"/>
    <w:rsid w:val="00DB3FC9"/>
    <w:rsid w:val="00DB6FCA"/>
    <w:rsid w:val="00DC09F0"/>
    <w:rsid w:val="00DC1E0F"/>
    <w:rsid w:val="00DC246E"/>
    <w:rsid w:val="00DC43EF"/>
    <w:rsid w:val="00DC59E5"/>
    <w:rsid w:val="00DC61D1"/>
    <w:rsid w:val="00DC62CF"/>
    <w:rsid w:val="00DC6BDC"/>
    <w:rsid w:val="00DC738D"/>
    <w:rsid w:val="00DC74EF"/>
    <w:rsid w:val="00DD0A7E"/>
    <w:rsid w:val="00DD0B1B"/>
    <w:rsid w:val="00DD0F23"/>
    <w:rsid w:val="00DD1962"/>
    <w:rsid w:val="00DD20A2"/>
    <w:rsid w:val="00DD2AF2"/>
    <w:rsid w:val="00DD2E0F"/>
    <w:rsid w:val="00DD3779"/>
    <w:rsid w:val="00DD3A27"/>
    <w:rsid w:val="00DD4D8A"/>
    <w:rsid w:val="00DD5D44"/>
    <w:rsid w:val="00DD6CBB"/>
    <w:rsid w:val="00DD6F22"/>
    <w:rsid w:val="00DE03C3"/>
    <w:rsid w:val="00DE047A"/>
    <w:rsid w:val="00DE3D3F"/>
    <w:rsid w:val="00DE3EC8"/>
    <w:rsid w:val="00DE4581"/>
    <w:rsid w:val="00DE504A"/>
    <w:rsid w:val="00DE5529"/>
    <w:rsid w:val="00DE592C"/>
    <w:rsid w:val="00DE7DAB"/>
    <w:rsid w:val="00DF31BC"/>
    <w:rsid w:val="00DF425F"/>
    <w:rsid w:val="00DF6DE0"/>
    <w:rsid w:val="00DF7344"/>
    <w:rsid w:val="00E0038A"/>
    <w:rsid w:val="00E00431"/>
    <w:rsid w:val="00E017F3"/>
    <w:rsid w:val="00E01A15"/>
    <w:rsid w:val="00E02133"/>
    <w:rsid w:val="00E039BA"/>
    <w:rsid w:val="00E04329"/>
    <w:rsid w:val="00E0485C"/>
    <w:rsid w:val="00E06321"/>
    <w:rsid w:val="00E06C4F"/>
    <w:rsid w:val="00E11810"/>
    <w:rsid w:val="00E11C61"/>
    <w:rsid w:val="00E12507"/>
    <w:rsid w:val="00E15508"/>
    <w:rsid w:val="00E16B70"/>
    <w:rsid w:val="00E16CFB"/>
    <w:rsid w:val="00E17740"/>
    <w:rsid w:val="00E17D65"/>
    <w:rsid w:val="00E2085E"/>
    <w:rsid w:val="00E242DF"/>
    <w:rsid w:val="00E26415"/>
    <w:rsid w:val="00E266FC"/>
    <w:rsid w:val="00E269D4"/>
    <w:rsid w:val="00E30BB0"/>
    <w:rsid w:val="00E315A5"/>
    <w:rsid w:val="00E32ADB"/>
    <w:rsid w:val="00E33818"/>
    <w:rsid w:val="00E3413C"/>
    <w:rsid w:val="00E34FFA"/>
    <w:rsid w:val="00E36C2A"/>
    <w:rsid w:val="00E36C32"/>
    <w:rsid w:val="00E415EE"/>
    <w:rsid w:val="00E41AA7"/>
    <w:rsid w:val="00E41B8E"/>
    <w:rsid w:val="00E42670"/>
    <w:rsid w:val="00E42999"/>
    <w:rsid w:val="00E4637A"/>
    <w:rsid w:val="00E47787"/>
    <w:rsid w:val="00E53D81"/>
    <w:rsid w:val="00E55EC4"/>
    <w:rsid w:val="00E562C9"/>
    <w:rsid w:val="00E57522"/>
    <w:rsid w:val="00E57AC4"/>
    <w:rsid w:val="00E57B15"/>
    <w:rsid w:val="00E604D5"/>
    <w:rsid w:val="00E6068A"/>
    <w:rsid w:val="00E606F5"/>
    <w:rsid w:val="00E61A55"/>
    <w:rsid w:val="00E65721"/>
    <w:rsid w:val="00E66886"/>
    <w:rsid w:val="00E72FBC"/>
    <w:rsid w:val="00E7441F"/>
    <w:rsid w:val="00E74983"/>
    <w:rsid w:val="00E761B6"/>
    <w:rsid w:val="00E7673E"/>
    <w:rsid w:val="00E77F3D"/>
    <w:rsid w:val="00E80C7D"/>
    <w:rsid w:val="00E84644"/>
    <w:rsid w:val="00E852B0"/>
    <w:rsid w:val="00E85C05"/>
    <w:rsid w:val="00E86A76"/>
    <w:rsid w:val="00E90630"/>
    <w:rsid w:val="00E90AEA"/>
    <w:rsid w:val="00E9352C"/>
    <w:rsid w:val="00E95670"/>
    <w:rsid w:val="00E96D39"/>
    <w:rsid w:val="00E96D79"/>
    <w:rsid w:val="00E977B3"/>
    <w:rsid w:val="00EA06CC"/>
    <w:rsid w:val="00EA0E3C"/>
    <w:rsid w:val="00EA3E73"/>
    <w:rsid w:val="00EA6A80"/>
    <w:rsid w:val="00EA6AA3"/>
    <w:rsid w:val="00EA7352"/>
    <w:rsid w:val="00EB143B"/>
    <w:rsid w:val="00EB1F8C"/>
    <w:rsid w:val="00EB20EB"/>
    <w:rsid w:val="00EB269E"/>
    <w:rsid w:val="00EB322C"/>
    <w:rsid w:val="00EB4292"/>
    <w:rsid w:val="00EB5695"/>
    <w:rsid w:val="00EB58B6"/>
    <w:rsid w:val="00EB6A42"/>
    <w:rsid w:val="00EB6BF8"/>
    <w:rsid w:val="00EC0B6A"/>
    <w:rsid w:val="00EC12FA"/>
    <w:rsid w:val="00EC2C04"/>
    <w:rsid w:val="00EC31D3"/>
    <w:rsid w:val="00EC381B"/>
    <w:rsid w:val="00EC5FF9"/>
    <w:rsid w:val="00EC6AD9"/>
    <w:rsid w:val="00EC6B7E"/>
    <w:rsid w:val="00ED1827"/>
    <w:rsid w:val="00ED2A54"/>
    <w:rsid w:val="00ED4E7C"/>
    <w:rsid w:val="00ED50F5"/>
    <w:rsid w:val="00ED61CB"/>
    <w:rsid w:val="00EE1776"/>
    <w:rsid w:val="00EE4334"/>
    <w:rsid w:val="00EE59E4"/>
    <w:rsid w:val="00EE5BB4"/>
    <w:rsid w:val="00EE6CAB"/>
    <w:rsid w:val="00EE768E"/>
    <w:rsid w:val="00EF046A"/>
    <w:rsid w:val="00EF227A"/>
    <w:rsid w:val="00EF2E7F"/>
    <w:rsid w:val="00EF3008"/>
    <w:rsid w:val="00EF3EF8"/>
    <w:rsid w:val="00EF4675"/>
    <w:rsid w:val="00EF5E50"/>
    <w:rsid w:val="00EF6A34"/>
    <w:rsid w:val="00F003C2"/>
    <w:rsid w:val="00F00466"/>
    <w:rsid w:val="00F016CC"/>
    <w:rsid w:val="00F021FE"/>
    <w:rsid w:val="00F0244E"/>
    <w:rsid w:val="00F06E6A"/>
    <w:rsid w:val="00F06F83"/>
    <w:rsid w:val="00F1024C"/>
    <w:rsid w:val="00F11557"/>
    <w:rsid w:val="00F13C98"/>
    <w:rsid w:val="00F140C0"/>
    <w:rsid w:val="00F15FFB"/>
    <w:rsid w:val="00F16C12"/>
    <w:rsid w:val="00F17745"/>
    <w:rsid w:val="00F17A29"/>
    <w:rsid w:val="00F20BFB"/>
    <w:rsid w:val="00F2126E"/>
    <w:rsid w:val="00F23109"/>
    <w:rsid w:val="00F24394"/>
    <w:rsid w:val="00F259D8"/>
    <w:rsid w:val="00F25E48"/>
    <w:rsid w:val="00F27788"/>
    <w:rsid w:val="00F27814"/>
    <w:rsid w:val="00F2789E"/>
    <w:rsid w:val="00F30082"/>
    <w:rsid w:val="00F308A2"/>
    <w:rsid w:val="00F32604"/>
    <w:rsid w:val="00F34779"/>
    <w:rsid w:val="00F349C0"/>
    <w:rsid w:val="00F37DC0"/>
    <w:rsid w:val="00F37F63"/>
    <w:rsid w:val="00F41672"/>
    <w:rsid w:val="00F44A42"/>
    <w:rsid w:val="00F44ED8"/>
    <w:rsid w:val="00F47FC1"/>
    <w:rsid w:val="00F523B3"/>
    <w:rsid w:val="00F52A31"/>
    <w:rsid w:val="00F52F47"/>
    <w:rsid w:val="00F534D8"/>
    <w:rsid w:val="00F53D44"/>
    <w:rsid w:val="00F53EA3"/>
    <w:rsid w:val="00F54222"/>
    <w:rsid w:val="00F54803"/>
    <w:rsid w:val="00F54EEC"/>
    <w:rsid w:val="00F54EEE"/>
    <w:rsid w:val="00F555B4"/>
    <w:rsid w:val="00F56F2B"/>
    <w:rsid w:val="00F611F0"/>
    <w:rsid w:val="00F626FE"/>
    <w:rsid w:val="00F63514"/>
    <w:rsid w:val="00F63F83"/>
    <w:rsid w:val="00F64504"/>
    <w:rsid w:val="00F65463"/>
    <w:rsid w:val="00F65882"/>
    <w:rsid w:val="00F67735"/>
    <w:rsid w:val="00F67C33"/>
    <w:rsid w:val="00F70B54"/>
    <w:rsid w:val="00F7393E"/>
    <w:rsid w:val="00F73B90"/>
    <w:rsid w:val="00F7499E"/>
    <w:rsid w:val="00F75634"/>
    <w:rsid w:val="00F801E5"/>
    <w:rsid w:val="00F813BE"/>
    <w:rsid w:val="00F81FF7"/>
    <w:rsid w:val="00F8295E"/>
    <w:rsid w:val="00F859FB"/>
    <w:rsid w:val="00F85DAA"/>
    <w:rsid w:val="00F86458"/>
    <w:rsid w:val="00F87C3F"/>
    <w:rsid w:val="00F90B9D"/>
    <w:rsid w:val="00F9285D"/>
    <w:rsid w:val="00F94358"/>
    <w:rsid w:val="00F9530B"/>
    <w:rsid w:val="00F95A5F"/>
    <w:rsid w:val="00F96244"/>
    <w:rsid w:val="00F96441"/>
    <w:rsid w:val="00F96D81"/>
    <w:rsid w:val="00F97396"/>
    <w:rsid w:val="00F97C78"/>
    <w:rsid w:val="00FA1022"/>
    <w:rsid w:val="00FA259F"/>
    <w:rsid w:val="00FA30BC"/>
    <w:rsid w:val="00FA60F1"/>
    <w:rsid w:val="00FA66C2"/>
    <w:rsid w:val="00FA6F54"/>
    <w:rsid w:val="00FA7A0D"/>
    <w:rsid w:val="00FA7F1D"/>
    <w:rsid w:val="00FB024A"/>
    <w:rsid w:val="00FB142E"/>
    <w:rsid w:val="00FB3779"/>
    <w:rsid w:val="00FB39EE"/>
    <w:rsid w:val="00FB3D8D"/>
    <w:rsid w:val="00FB444D"/>
    <w:rsid w:val="00FB465D"/>
    <w:rsid w:val="00FB4C25"/>
    <w:rsid w:val="00FB543C"/>
    <w:rsid w:val="00FB5BEA"/>
    <w:rsid w:val="00FB7226"/>
    <w:rsid w:val="00FB7A33"/>
    <w:rsid w:val="00FB7F87"/>
    <w:rsid w:val="00FC081D"/>
    <w:rsid w:val="00FC1A4C"/>
    <w:rsid w:val="00FC1C5D"/>
    <w:rsid w:val="00FC3BAF"/>
    <w:rsid w:val="00FC4697"/>
    <w:rsid w:val="00FC4B1F"/>
    <w:rsid w:val="00FC7B35"/>
    <w:rsid w:val="00FD09FD"/>
    <w:rsid w:val="00FD201A"/>
    <w:rsid w:val="00FD247B"/>
    <w:rsid w:val="00FD2C9F"/>
    <w:rsid w:val="00FD4758"/>
    <w:rsid w:val="00FD49C3"/>
    <w:rsid w:val="00FD5091"/>
    <w:rsid w:val="00FD7F22"/>
    <w:rsid w:val="00FE0FC3"/>
    <w:rsid w:val="00FE17B6"/>
    <w:rsid w:val="00FE1ED5"/>
    <w:rsid w:val="00FE5709"/>
    <w:rsid w:val="00FE6233"/>
    <w:rsid w:val="00FF1947"/>
    <w:rsid w:val="00FF3FD4"/>
    <w:rsid w:val="00FF597A"/>
    <w:rsid w:val="00FF79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7B6616"/>
  <w15:chartTrackingRefBased/>
  <w15:docId w15:val="{B7ECD4D3-B3B4-463F-BEAF-7AA4EFD3B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449D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449D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739F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A634C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49D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449D4"/>
    <w:rPr>
      <w:rFonts w:asciiTheme="majorHAnsi" w:eastAsiaTheme="majorEastAsia" w:hAnsiTheme="majorHAnsi" w:cstheme="majorBidi"/>
      <w:color w:val="2E74B5" w:themeColor="accent1" w:themeShade="BF"/>
      <w:sz w:val="26"/>
      <w:szCs w:val="26"/>
    </w:rPr>
  </w:style>
  <w:style w:type="paragraph" w:styleId="FootnoteText">
    <w:name w:val="footnote text"/>
    <w:basedOn w:val="Normal"/>
    <w:link w:val="FootnoteTextChar"/>
    <w:uiPriority w:val="99"/>
    <w:unhideWhenUsed/>
    <w:rsid w:val="00C352F2"/>
    <w:pPr>
      <w:spacing w:after="0" w:line="240" w:lineRule="auto"/>
    </w:pPr>
    <w:rPr>
      <w:sz w:val="20"/>
      <w:szCs w:val="20"/>
    </w:rPr>
  </w:style>
  <w:style w:type="character" w:customStyle="1" w:styleId="FootnoteTextChar">
    <w:name w:val="Footnote Text Char"/>
    <w:basedOn w:val="DefaultParagraphFont"/>
    <w:link w:val="FootnoteText"/>
    <w:uiPriority w:val="99"/>
    <w:rsid w:val="00C352F2"/>
    <w:rPr>
      <w:sz w:val="20"/>
      <w:szCs w:val="20"/>
    </w:rPr>
  </w:style>
  <w:style w:type="character" w:styleId="FootnoteReference">
    <w:name w:val="footnote reference"/>
    <w:basedOn w:val="DefaultParagraphFont"/>
    <w:uiPriority w:val="99"/>
    <w:unhideWhenUsed/>
    <w:rsid w:val="00C352F2"/>
    <w:rPr>
      <w:vertAlign w:val="superscript"/>
    </w:rPr>
  </w:style>
  <w:style w:type="table" w:styleId="TableGrid">
    <w:name w:val="Table Grid"/>
    <w:basedOn w:val="TableNormal"/>
    <w:uiPriority w:val="39"/>
    <w:rsid w:val="00681F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05021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ListParagraph">
    <w:name w:val="List Paragraph"/>
    <w:basedOn w:val="Normal"/>
    <w:uiPriority w:val="34"/>
    <w:qFormat/>
    <w:rsid w:val="000D3B47"/>
    <w:pPr>
      <w:ind w:left="720"/>
      <w:contextualSpacing/>
    </w:pPr>
  </w:style>
  <w:style w:type="character" w:styleId="CommentReference">
    <w:name w:val="annotation reference"/>
    <w:basedOn w:val="DefaultParagraphFont"/>
    <w:uiPriority w:val="99"/>
    <w:semiHidden/>
    <w:unhideWhenUsed/>
    <w:rsid w:val="001F00A5"/>
    <w:rPr>
      <w:sz w:val="16"/>
      <w:szCs w:val="16"/>
    </w:rPr>
  </w:style>
  <w:style w:type="paragraph" w:styleId="CommentText">
    <w:name w:val="annotation text"/>
    <w:basedOn w:val="Normal"/>
    <w:link w:val="CommentTextChar"/>
    <w:uiPriority w:val="99"/>
    <w:unhideWhenUsed/>
    <w:rsid w:val="001F00A5"/>
    <w:pPr>
      <w:spacing w:line="240" w:lineRule="auto"/>
    </w:pPr>
    <w:rPr>
      <w:sz w:val="20"/>
      <w:szCs w:val="20"/>
    </w:rPr>
  </w:style>
  <w:style w:type="character" w:customStyle="1" w:styleId="CommentTextChar">
    <w:name w:val="Comment Text Char"/>
    <w:basedOn w:val="DefaultParagraphFont"/>
    <w:link w:val="CommentText"/>
    <w:uiPriority w:val="99"/>
    <w:rsid w:val="001F00A5"/>
    <w:rPr>
      <w:sz w:val="20"/>
      <w:szCs w:val="20"/>
    </w:rPr>
  </w:style>
  <w:style w:type="paragraph" w:styleId="CommentSubject">
    <w:name w:val="annotation subject"/>
    <w:basedOn w:val="CommentText"/>
    <w:next w:val="CommentText"/>
    <w:link w:val="CommentSubjectChar"/>
    <w:uiPriority w:val="99"/>
    <w:semiHidden/>
    <w:unhideWhenUsed/>
    <w:rsid w:val="001F00A5"/>
    <w:rPr>
      <w:b/>
      <w:bCs/>
    </w:rPr>
  </w:style>
  <w:style w:type="character" w:customStyle="1" w:styleId="CommentSubjectChar">
    <w:name w:val="Comment Subject Char"/>
    <w:basedOn w:val="CommentTextChar"/>
    <w:link w:val="CommentSubject"/>
    <w:uiPriority w:val="99"/>
    <w:semiHidden/>
    <w:rsid w:val="001F00A5"/>
    <w:rPr>
      <w:b/>
      <w:bCs/>
      <w:sz w:val="20"/>
      <w:szCs w:val="20"/>
    </w:rPr>
  </w:style>
  <w:style w:type="paragraph" w:styleId="BalloonText">
    <w:name w:val="Balloon Text"/>
    <w:basedOn w:val="Normal"/>
    <w:link w:val="BalloonTextChar"/>
    <w:uiPriority w:val="99"/>
    <w:semiHidden/>
    <w:unhideWhenUsed/>
    <w:rsid w:val="001F0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00A5"/>
    <w:rPr>
      <w:rFonts w:ascii="Segoe UI" w:hAnsi="Segoe UI" w:cs="Segoe UI"/>
      <w:sz w:val="18"/>
      <w:szCs w:val="18"/>
    </w:rPr>
  </w:style>
  <w:style w:type="paragraph" w:styleId="NormalWeb">
    <w:name w:val="Normal (Web)"/>
    <w:basedOn w:val="Normal"/>
    <w:uiPriority w:val="99"/>
    <w:semiHidden/>
    <w:unhideWhenUsed/>
    <w:rsid w:val="00CF58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A634CA"/>
    <w:rPr>
      <w:rFonts w:asciiTheme="majorHAnsi" w:eastAsiaTheme="majorEastAsia" w:hAnsiTheme="majorHAnsi" w:cstheme="majorBidi"/>
      <w:i/>
      <w:iCs/>
      <w:color w:val="2E74B5" w:themeColor="accent1" w:themeShade="BF"/>
    </w:rPr>
  </w:style>
  <w:style w:type="paragraph" w:styleId="Header">
    <w:name w:val="header"/>
    <w:basedOn w:val="Normal"/>
    <w:link w:val="HeaderChar"/>
    <w:uiPriority w:val="99"/>
    <w:unhideWhenUsed/>
    <w:rsid w:val="005446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46D5"/>
  </w:style>
  <w:style w:type="paragraph" w:styleId="Footer">
    <w:name w:val="footer"/>
    <w:basedOn w:val="Normal"/>
    <w:link w:val="FooterChar"/>
    <w:uiPriority w:val="99"/>
    <w:unhideWhenUsed/>
    <w:rsid w:val="005446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46D5"/>
  </w:style>
  <w:style w:type="character" w:styleId="Strong">
    <w:name w:val="Strong"/>
    <w:basedOn w:val="DefaultParagraphFont"/>
    <w:uiPriority w:val="22"/>
    <w:qFormat/>
    <w:rsid w:val="002862DD"/>
    <w:rPr>
      <w:b/>
      <w:bCs/>
    </w:rPr>
  </w:style>
  <w:style w:type="paragraph" w:styleId="Revision">
    <w:name w:val="Revision"/>
    <w:hidden/>
    <w:uiPriority w:val="99"/>
    <w:semiHidden/>
    <w:rsid w:val="00395305"/>
    <w:pPr>
      <w:spacing w:after="0" w:line="240" w:lineRule="auto"/>
    </w:pPr>
  </w:style>
  <w:style w:type="paragraph" w:customStyle="1" w:styleId="Default">
    <w:name w:val="Default"/>
    <w:rsid w:val="00082663"/>
    <w:pPr>
      <w:autoSpaceDE w:val="0"/>
      <w:autoSpaceDN w:val="0"/>
      <w:adjustRightInd w:val="0"/>
      <w:spacing w:after="0" w:line="240" w:lineRule="auto"/>
    </w:pPr>
    <w:rPr>
      <w:rFonts w:ascii="Times New Roman" w:hAnsi="Times New Roman" w:cs="Times New Roman"/>
      <w:color w:val="000000"/>
      <w:sz w:val="24"/>
      <w:szCs w:val="24"/>
    </w:rPr>
  </w:style>
  <w:style w:type="paragraph" w:styleId="Caption">
    <w:name w:val="caption"/>
    <w:basedOn w:val="Normal"/>
    <w:next w:val="Normal"/>
    <w:uiPriority w:val="35"/>
    <w:unhideWhenUsed/>
    <w:qFormat/>
    <w:rsid w:val="00082663"/>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9522B1"/>
    <w:pPr>
      <w:spacing w:after="0"/>
    </w:pPr>
  </w:style>
  <w:style w:type="character" w:styleId="Hyperlink">
    <w:name w:val="Hyperlink"/>
    <w:basedOn w:val="DefaultParagraphFont"/>
    <w:uiPriority w:val="99"/>
    <w:unhideWhenUsed/>
    <w:rsid w:val="009522B1"/>
    <w:rPr>
      <w:color w:val="0563C1" w:themeColor="hyperlink"/>
      <w:u w:val="single"/>
    </w:rPr>
  </w:style>
  <w:style w:type="character" w:customStyle="1" w:styleId="Heading3Char">
    <w:name w:val="Heading 3 Char"/>
    <w:basedOn w:val="DefaultParagraphFont"/>
    <w:link w:val="Heading3"/>
    <w:uiPriority w:val="9"/>
    <w:rsid w:val="00A739F3"/>
    <w:rPr>
      <w:rFonts w:asciiTheme="majorHAnsi" w:eastAsiaTheme="majorEastAsia" w:hAnsiTheme="majorHAnsi" w:cstheme="majorBidi"/>
      <w:color w:val="1F4D78" w:themeColor="accent1" w:themeShade="7F"/>
      <w:sz w:val="24"/>
      <w:szCs w:val="24"/>
    </w:rPr>
  </w:style>
  <w:style w:type="character" w:styleId="FollowedHyperlink">
    <w:name w:val="FollowedHyperlink"/>
    <w:basedOn w:val="DefaultParagraphFont"/>
    <w:uiPriority w:val="99"/>
    <w:semiHidden/>
    <w:unhideWhenUsed/>
    <w:rsid w:val="005107BF"/>
    <w:rPr>
      <w:color w:val="954F72" w:themeColor="followedHyperlink"/>
      <w:u w:val="single"/>
    </w:rPr>
  </w:style>
  <w:style w:type="table" w:styleId="PlainTable1">
    <w:name w:val="Plain Table 1"/>
    <w:basedOn w:val="TableNormal"/>
    <w:uiPriority w:val="41"/>
    <w:rsid w:val="00C6347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CD78CA"/>
    <w:rPr>
      <w:color w:val="605E5C"/>
      <w:shd w:val="clear" w:color="auto" w:fill="E1DFDD"/>
    </w:rPr>
  </w:style>
  <w:style w:type="table" w:styleId="GridTable1Light-Accent5">
    <w:name w:val="Grid Table 1 Light Accent 5"/>
    <w:basedOn w:val="TableNormal"/>
    <w:uiPriority w:val="46"/>
    <w:rsid w:val="00275221"/>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275221"/>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5Dark-Accent5">
    <w:name w:val="Grid Table 5 Dark Accent 5"/>
    <w:basedOn w:val="TableNormal"/>
    <w:uiPriority w:val="50"/>
    <w:rsid w:val="0027522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707910">
      <w:bodyDiv w:val="1"/>
      <w:marLeft w:val="0"/>
      <w:marRight w:val="0"/>
      <w:marTop w:val="0"/>
      <w:marBottom w:val="0"/>
      <w:divBdr>
        <w:top w:val="none" w:sz="0" w:space="0" w:color="auto"/>
        <w:left w:val="none" w:sz="0" w:space="0" w:color="auto"/>
        <w:bottom w:val="none" w:sz="0" w:space="0" w:color="auto"/>
        <w:right w:val="none" w:sz="0" w:space="0" w:color="auto"/>
      </w:divBdr>
    </w:div>
    <w:div w:id="84345788">
      <w:bodyDiv w:val="1"/>
      <w:marLeft w:val="0"/>
      <w:marRight w:val="0"/>
      <w:marTop w:val="0"/>
      <w:marBottom w:val="0"/>
      <w:divBdr>
        <w:top w:val="none" w:sz="0" w:space="0" w:color="auto"/>
        <w:left w:val="none" w:sz="0" w:space="0" w:color="auto"/>
        <w:bottom w:val="none" w:sz="0" w:space="0" w:color="auto"/>
        <w:right w:val="none" w:sz="0" w:space="0" w:color="auto"/>
      </w:divBdr>
    </w:div>
    <w:div w:id="172183801">
      <w:bodyDiv w:val="1"/>
      <w:marLeft w:val="0"/>
      <w:marRight w:val="0"/>
      <w:marTop w:val="0"/>
      <w:marBottom w:val="0"/>
      <w:divBdr>
        <w:top w:val="none" w:sz="0" w:space="0" w:color="auto"/>
        <w:left w:val="none" w:sz="0" w:space="0" w:color="auto"/>
        <w:bottom w:val="none" w:sz="0" w:space="0" w:color="auto"/>
        <w:right w:val="none" w:sz="0" w:space="0" w:color="auto"/>
      </w:divBdr>
    </w:div>
    <w:div w:id="178857586">
      <w:bodyDiv w:val="1"/>
      <w:marLeft w:val="0"/>
      <w:marRight w:val="0"/>
      <w:marTop w:val="0"/>
      <w:marBottom w:val="0"/>
      <w:divBdr>
        <w:top w:val="none" w:sz="0" w:space="0" w:color="auto"/>
        <w:left w:val="none" w:sz="0" w:space="0" w:color="auto"/>
        <w:bottom w:val="none" w:sz="0" w:space="0" w:color="auto"/>
        <w:right w:val="none" w:sz="0" w:space="0" w:color="auto"/>
      </w:divBdr>
    </w:div>
    <w:div w:id="184487050">
      <w:bodyDiv w:val="1"/>
      <w:marLeft w:val="0"/>
      <w:marRight w:val="0"/>
      <w:marTop w:val="0"/>
      <w:marBottom w:val="0"/>
      <w:divBdr>
        <w:top w:val="none" w:sz="0" w:space="0" w:color="auto"/>
        <w:left w:val="none" w:sz="0" w:space="0" w:color="auto"/>
        <w:bottom w:val="none" w:sz="0" w:space="0" w:color="auto"/>
        <w:right w:val="none" w:sz="0" w:space="0" w:color="auto"/>
      </w:divBdr>
    </w:div>
    <w:div w:id="190068537">
      <w:bodyDiv w:val="1"/>
      <w:marLeft w:val="0"/>
      <w:marRight w:val="0"/>
      <w:marTop w:val="0"/>
      <w:marBottom w:val="0"/>
      <w:divBdr>
        <w:top w:val="none" w:sz="0" w:space="0" w:color="auto"/>
        <w:left w:val="none" w:sz="0" w:space="0" w:color="auto"/>
        <w:bottom w:val="none" w:sz="0" w:space="0" w:color="auto"/>
        <w:right w:val="none" w:sz="0" w:space="0" w:color="auto"/>
      </w:divBdr>
    </w:div>
    <w:div w:id="194119408">
      <w:bodyDiv w:val="1"/>
      <w:marLeft w:val="0"/>
      <w:marRight w:val="0"/>
      <w:marTop w:val="0"/>
      <w:marBottom w:val="0"/>
      <w:divBdr>
        <w:top w:val="none" w:sz="0" w:space="0" w:color="auto"/>
        <w:left w:val="none" w:sz="0" w:space="0" w:color="auto"/>
        <w:bottom w:val="none" w:sz="0" w:space="0" w:color="auto"/>
        <w:right w:val="none" w:sz="0" w:space="0" w:color="auto"/>
      </w:divBdr>
    </w:div>
    <w:div w:id="215287617">
      <w:bodyDiv w:val="1"/>
      <w:marLeft w:val="0"/>
      <w:marRight w:val="0"/>
      <w:marTop w:val="0"/>
      <w:marBottom w:val="0"/>
      <w:divBdr>
        <w:top w:val="none" w:sz="0" w:space="0" w:color="auto"/>
        <w:left w:val="none" w:sz="0" w:space="0" w:color="auto"/>
        <w:bottom w:val="none" w:sz="0" w:space="0" w:color="auto"/>
        <w:right w:val="none" w:sz="0" w:space="0" w:color="auto"/>
      </w:divBdr>
    </w:div>
    <w:div w:id="258681453">
      <w:bodyDiv w:val="1"/>
      <w:marLeft w:val="0"/>
      <w:marRight w:val="0"/>
      <w:marTop w:val="0"/>
      <w:marBottom w:val="0"/>
      <w:divBdr>
        <w:top w:val="none" w:sz="0" w:space="0" w:color="auto"/>
        <w:left w:val="none" w:sz="0" w:space="0" w:color="auto"/>
        <w:bottom w:val="none" w:sz="0" w:space="0" w:color="auto"/>
        <w:right w:val="none" w:sz="0" w:space="0" w:color="auto"/>
      </w:divBdr>
    </w:div>
    <w:div w:id="260652477">
      <w:bodyDiv w:val="1"/>
      <w:marLeft w:val="0"/>
      <w:marRight w:val="0"/>
      <w:marTop w:val="0"/>
      <w:marBottom w:val="0"/>
      <w:divBdr>
        <w:top w:val="none" w:sz="0" w:space="0" w:color="auto"/>
        <w:left w:val="none" w:sz="0" w:space="0" w:color="auto"/>
        <w:bottom w:val="none" w:sz="0" w:space="0" w:color="auto"/>
        <w:right w:val="none" w:sz="0" w:space="0" w:color="auto"/>
      </w:divBdr>
    </w:div>
    <w:div w:id="283118339">
      <w:bodyDiv w:val="1"/>
      <w:marLeft w:val="0"/>
      <w:marRight w:val="0"/>
      <w:marTop w:val="0"/>
      <w:marBottom w:val="0"/>
      <w:divBdr>
        <w:top w:val="none" w:sz="0" w:space="0" w:color="auto"/>
        <w:left w:val="none" w:sz="0" w:space="0" w:color="auto"/>
        <w:bottom w:val="none" w:sz="0" w:space="0" w:color="auto"/>
        <w:right w:val="none" w:sz="0" w:space="0" w:color="auto"/>
      </w:divBdr>
    </w:div>
    <w:div w:id="286855349">
      <w:bodyDiv w:val="1"/>
      <w:marLeft w:val="0"/>
      <w:marRight w:val="0"/>
      <w:marTop w:val="0"/>
      <w:marBottom w:val="0"/>
      <w:divBdr>
        <w:top w:val="none" w:sz="0" w:space="0" w:color="auto"/>
        <w:left w:val="none" w:sz="0" w:space="0" w:color="auto"/>
        <w:bottom w:val="none" w:sz="0" w:space="0" w:color="auto"/>
        <w:right w:val="none" w:sz="0" w:space="0" w:color="auto"/>
      </w:divBdr>
    </w:div>
    <w:div w:id="291904799">
      <w:bodyDiv w:val="1"/>
      <w:marLeft w:val="0"/>
      <w:marRight w:val="0"/>
      <w:marTop w:val="0"/>
      <w:marBottom w:val="0"/>
      <w:divBdr>
        <w:top w:val="none" w:sz="0" w:space="0" w:color="auto"/>
        <w:left w:val="none" w:sz="0" w:space="0" w:color="auto"/>
        <w:bottom w:val="none" w:sz="0" w:space="0" w:color="auto"/>
        <w:right w:val="none" w:sz="0" w:space="0" w:color="auto"/>
      </w:divBdr>
    </w:div>
    <w:div w:id="348214656">
      <w:bodyDiv w:val="1"/>
      <w:marLeft w:val="0"/>
      <w:marRight w:val="0"/>
      <w:marTop w:val="0"/>
      <w:marBottom w:val="0"/>
      <w:divBdr>
        <w:top w:val="none" w:sz="0" w:space="0" w:color="auto"/>
        <w:left w:val="none" w:sz="0" w:space="0" w:color="auto"/>
        <w:bottom w:val="none" w:sz="0" w:space="0" w:color="auto"/>
        <w:right w:val="none" w:sz="0" w:space="0" w:color="auto"/>
      </w:divBdr>
    </w:div>
    <w:div w:id="363946536">
      <w:bodyDiv w:val="1"/>
      <w:marLeft w:val="0"/>
      <w:marRight w:val="0"/>
      <w:marTop w:val="0"/>
      <w:marBottom w:val="0"/>
      <w:divBdr>
        <w:top w:val="none" w:sz="0" w:space="0" w:color="auto"/>
        <w:left w:val="none" w:sz="0" w:space="0" w:color="auto"/>
        <w:bottom w:val="none" w:sz="0" w:space="0" w:color="auto"/>
        <w:right w:val="none" w:sz="0" w:space="0" w:color="auto"/>
      </w:divBdr>
    </w:div>
    <w:div w:id="373626658">
      <w:bodyDiv w:val="1"/>
      <w:marLeft w:val="0"/>
      <w:marRight w:val="0"/>
      <w:marTop w:val="0"/>
      <w:marBottom w:val="0"/>
      <w:divBdr>
        <w:top w:val="none" w:sz="0" w:space="0" w:color="auto"/>
        <w:left w:val="none" w:sz="0" w:space="0" w:color="auto"/>
        <w:bottom w:val="none" w:sz="0" w:space="0" w:color="auto"/>
        <w:right w:val="none" w:sz="0" w:space="0" w:color="auto"/>
      </w:divBdr>
    </w:div>
    <w:div w:id="390538423">
      <w:bodyDiv w:val="1"/>
      <w:marLeft w:val="0"/>
      <w:marRight w:val="0"/>
      <w:marTop w:val="0"/>
      <w:marBottom w:val="0"/>
      <w:divBdr>
        <w:top w:val="none" w:sz="0" w:space="0" w:color="auto"/>
        <w:left w:val="none" w:sz="0" w:space="0" w:color="auto"/>
        <w:bottom w:val="none" w:sz="0" w:space="0" w:color="auto"/>
        <w:right w:val="none" w:sz="0" w:space="0" w:color="auto"/>
      </w:divBdr>
    </w:div>
    <w:div w:id="391929594">
      <w:bodyDiv w:val="1"/>
      <w:marLeft w:val="0"/>
      <w:marRight w:val="0"/>
      <w:marTop w:val="0"/>
      <w:marBottom w:val="0"/>
      <w:divBdr>
        <w:top w:val="none" w:sz="0" w:space="0" w:color="auto"/>
        <w:left w:val="none" w:sz="0" w:space="0" w:color="auto"/>
        <w:bottom w:val="none" w:sz="0" w:space="0" w:color="auto"/>
        <w:right w:val="none" w:sz="0" w:space="0" w:color="auto"/>
      </w:divBdr>
    </w:div>
    <w:div w:id="398133539">
      <w:bodyDiv w:val="1"/>
      <w:marLeft w:val="0"/>
      <w:marRight w:val="0"/>
      <w:marTop w:val="0"/>
      <w:marBottom w:val="0"/>
      <w:divBdr>
        <w:top w:val="none" w:sz="0" w:space="0" w:color="auto"/>
        <w:left w:val="none" w:sz="0" w:space="0" w:color="auto"/>
        <w:bottom w:val="none" w:sz="0" w:space="0" w:color="auto"/>
        <w:right w:val="none" w:sz="0" w:space="0" w:color="auto"/>
      </w:divBdr>
    </w:div>
    <w:div w:id="406802880">
      <w:bodyDiv w:val="1"/>
      <w:marLeft w:val="0"/>
      <w:marRight w:val="0"/>
      <w:marTop w:val="0"/>
      <w:marBottom w:val="0"/>
      <w:divBdr>
        <w:top w:val="none" w:sz="0" w:space="0" w:color="auto"/>
        <w:left w:val="none" w:sz="0" w:space="0" w:color="auto"/>
        <w:bottom w:val="none" w:sz="0" w:space="0" w:color="auto"/>
        <w:right w:val="none" w:sz="0" w:space="0" w:color="auto"/>
      </w:divBdr>
    </w:div>
    <w:div w:id="415253607">
      <w:bodyDiv w:val="1"/>
      <w:marLeft w:val="0"/>
      <w:marRight w:val="0"/>
      <w:marTop w:val="0"/>
      <w:marBottom w:val="0"/>
      <w:divBdr>
        <w:top w:val="none" w:sz="0" w:space="0" w:color="auto"/>
        <w:left w:val="none" w:sz="0" w:space="0" w:color="auto"/>
        <w:bottom w:val="none" w:sz="0" w:space="0" w:color="auto"/>
        <w:right w:val="none" w:sz="0" w:space="0" w:color="auto"/>
      </w:divBdr>
    </w:div>
    <w:div w:id="429397912">
      <w:bodyDiv w:val="1"/>
      <w:marLeft w:val="0"/>
      <w:marRight w:val="0"/>
      <w:marTop w:val="0"/>
      <w:marBottom w:val="0"/>
      <w:divBdr>
        <w:top w:val="none" w:sz="0" w:space="0" w:color="auto"/>
        <w:left w:val="none" w:sz="0" w:space="0" w:color="auto"/>
        <w:bottom w:val="none" w:sz="0" w:space="0" w:color="auto"/>
        <w:right w:val="none" w:sz="0" w:space="0" w:color="auto"/>
      </w:divBdr>
    </w:div>
    <w:div w:id="454063333">
      <w:bodyDiv w:val="1"/>
      <w:marLeft w:val="0"/>
      <w:marRight w:val="0"/>
      <w:marTop w:val="0"/>
      <w:marBottom w:val="0"/>
      <w:divBdr>
        <w:top w:val="none" w:sz="0" w:space="0" w:color="auto"/>
        <w:left w:val="none" w:sz="0" w:space="0" w:color="auto"/>
        <w:bottom w:val="none" w:sz="0" w:space="0" w:color="auto"/>
        <w:right w:val="none" w:sz="0" w:space="0" w:color="auto"/>
      </w:divBdr>
    </w:div>
    <w:div w:id="458962649">
      <w:bodyDiv w:val="1"/>
      <w:marLeft w:val="0"/>
      <w:marRight w:val="0"/>
      <w:marTop w:val="0"/>
      <w:marBottom w:val="0"/>
      <w:divBdr>
        <w:top w:val="none" w:sz="0" w:space="0" w:color="auto"/>
        <w:left w:val="none" w:sz="0" w:space="0" w:color="auto"/>
        <w:bottom w:val="none" w:sz="0" w:space="0" w:color="auto"/>
        <w:right w:val="none" w:sz="0" w:space="0" w:color="auto"/>
      </w:divBdr>
    </w:div>
    <w:div w:id="461535585">
      <w:bodyDiv w:val="1"/>
      <w:marLeft w:val="0"/>
      <w:marRight w:val="0"/>
      <w:marTop w:val="0"/>
      <w:marBottom w:val="0"/>
      <w:divBdr>
        <w:top w:val="none" w:sz="0" w:space="0" w:color="auto"/>
        <w:left w:val="none" w:sz="0" w:space="0" w:color="auto"/>
        <w:bottom w:val="none" w:sz="0" w:space="0" w:color="auto"/>
        <w:right w:val="none" w:sz="0" w:space="0" w:color="auto"/>
      </w:divBdr>
    </w:div>
    <w:div w:id="477916936">
      <w:bodyDiv w:val="1"/>
      <w:marLeft w:val="0"/>
      <w:marRight w:val="0"/>
      <w:marTop w:val="0"/>
      <w:marBottom w:val="0"/>
      <w:divBdr>
        <w:top w:val="none" w:sz="0" w:space="0" w:color="auto"/>
        <w:left w:val="none" w:sz="0" w:space="0" w:color="auto"/>
        <w:bottom w:val="none" w:sz="0" w:space="0" w:color="auto"/>
        <w:right w:val="none" w:sz="0" w:space="0" w:color="auto"/>
      </w:divBdr>
    </w:div>
    <w:div w:id="480924556">
      <w:bodyDiv w:val="1"/>
      <w:marLeft w:val="0"/>
      <w:marRight w:val="0"/>
      <w:marTop w:val="0"/>
      <w:marBottom w:val="0"/>
      <w:divBdr>
        <w:top w:val="none" w:sz="0" w:space="0" w:color="auto"/>
        <w:left w:val="none" w:sz="0" w:space="0" w:color="auto"/>
        <w:bottom w:val="none" w:sz="0" w:space="0" w:color="auto"/>
        <w:right w:val="none" w:sz="0" w:space="0" w:color="auto"/>
      </w:divBdr>
    </w:div>
    <w:div w:id="483619126">
      <w:bodyDiv w:val="1"/>
      <w:marLeft w:val="0"/>
      <w:marRight w:val="0"/>
      <w:marTop w:val="0"/>
      <w:marBottom w:val="0"/>
      <w:divBdr>
        <w:top w:val="none" w:sz="0" w:space="0" w:color="auto"/>
        <w:left w:val="none" w:sz="0" w:space="0" w:color="auto"/>
        <w:bottom w:val="none" w:sz="0" w:space="0" w:color="auto"/>
        <w:right w:val="none" w:sz="0" w:space="0" w:color="auto"/>
      </w:divBdr>
    </w:div>
    <w:div w:id="484393697">
      <w:bodyDiv w:val="1"/>
      <w:marLeft w:val="0"/>
      <w:marRight w:val="0"/>
      <w:marTop w:val="0"/>
      <w:marBottom w:val="0"/>
      <w:divBdr>
        <w:top w:val="none" w:sz="0" w:space="0" w:color="auto"/>
        <w:left w:val="none" w:sz="0" w:space="0" w:color="auto"/>
        <w:bottom w:val="none" w:sz="0" w:space="0" w:color="auto"/>
        <w:right w:val="none" w:sz="0" w:space="0" w:color="auto"/>
      </w:divBdr>
    </w:div>
    <w:div w:id="486751500">
      <w:bodyDiv w:val="1"/>
      <w:marLeft w:val="0"/>
      <w:marRight w:val="0"/>
      <w:marTop w:val="0"/>
      <w:marBottom w:val="0"/>
      <w:divBdr>
        <w:top w:val="none" w:sz="0" w:space="0" w:color="auto"/>
        <w:left w:val="none" w:sz="0" w:space="0" w:color="auto"/>
        <w:bottom w:val="none" w:sz="0" w:space="0" w:color="auto"/>
        <w:right w:val="none" w:sz="0" w:space="0" w:color="auto"/>
      </w:divBdr>
    </w:div>
    <w:div w:id="526598345">
      <w:bodyDiv w:val="1"/>
      <w:marLeft w:val="0"/>
      <w:marRight w:val="0"/>
      <w:marTop w:val="0"/>
      <w:marBottom w:val="0"/>
      <w:divBdr>
        <w:top w:val="none" w:sz="0" w:space="0" w:color="auto"/>
        <w:left w:val="none" w:sz="0" w:space="0" w:color="auto"/>
        <w:bottom w:val="none" w:sz="0" w:space="0" w:color="auto"/>
        <w:right w:val="none" w:sz="0" w:space="0" w:color="auto"/>
      </w:divBdr>
    </w:div>
    <w:div w:id="557132743">
      <w:bodyDiv w:val="1"/>
      <w:marLeft w:val="0"/>
      <w:marRight w:val="0"/>
      <w:marTop w:val="0"/>
      <w:marBottom w:val="0"/>
      <w:divBdr>
        <w:top w:val="none" w:sz="0" w:space="0" w:color="auto"/>
        <w:left w:val="none" w:sz="0" w:space="0" w:color="auto"/>
        <w:bottom w:val="none" w:sz="0" w:space="0" w:color="auto"/>
        <w:right w:val="none" w:sz="0" w:space="0" w:color="auto"/>
      </w:divBdr>
    </w:div>
    <w:div w:id="564803058">
      <w:bodyDiv w:val="1"/>
      <w:marLeft w:val="0"/>
      <w:marRight w:val="0"/>
      <w:marTop w:val="0"/>
      <w:marBottom w:val="0"/>
      <w:divBdr>
        <w:top w:val="none" w:sz="0" w:space="0" w:color="auto"/>
        <w:left w:val="none" w:sz="0" w:space="0" w:color="auto"/>
        <w:bottom w:val="none" w:sz="0" w:space="0" w:color="auto"/>
        <w:right w:val="none" w:sz="0" w:space="0" w:color="auto"/>
      </w:divBdr>
    </w:div>
    <w:div w:id="574821018">
      <w:bodyDiv w:val="1"/>
      <w:marLeft w:val="0"/>
      <w:marRight w:val="0"/>
      <w:marTop w:val="0"/>
      <w:marBottom w:val="0"/>
      <w:divBdr>
        <w:top w:val="none" w:sz="0" w:space="0" w:color="auto"/>
        <w:left w:val="none" w:sz="0" w:space="0" w:color="auto"/>
        <w:bottom w:val="none" w:sz="0" w:space="0" w:color="auto"/>
        <w:right w:val="none" w:sz="0" w:space="0" w:color="auto"/>
      </w:divBdr>
    </w:div>
    <w:div w:id="722943644">
      <w:bodyDiv w:val="1"/>
      <w:marLeft w:val="0"/>
      <w:marRight w:val="0"/>
      <w:marTop w:val="0"/>
      <w:marBottom w:val="0"/>
      <w:divBdr>
        <w:top w:val="none" w:sz="0" w:space="0" w:color="auto"/>
        <w:left w:val="none" w:sz="0" w:space="0" w:color="auto"/>
        <w:bottom w:val="none" w:sz="0" w:space="0" w:color="auto"/>
        <w:right w:val="none" w:sz="0" w:space="0" w:color="auto"/>
      </w:divBdr>
    </w:div>
    <w:div w:id="776095274">
      <w:bodyDiv w:val="1"/>
      <w:marLeft w:val="0"/>
      <w:marRight w:val="0"/>
      <w:marTop w:val="0"/>
      <w:marBottom w:val="0"/>
      <w:divBdr>
        <w:top w:val="none" w:sz="0" w:space="0" w:color="auto"/>
        <w:left w:val="none" w:sz="0" w:space="0" w:color="auto"/>
        <w:bottom w:val="none" w:sz="0" w:space="0" w:color="auto"/>
        <w:right w:val="none" w:sz="0" w:space="0" w:color="auto"/>
      </w:divBdr>
    </w:div>
    <w:div w:id="812521188">
      <w:bodyDiv w:val="1"/>
      <w:marLeft w:val="0"/>
      <w:marRight w:val="0"/>
      <w:marTop w:val="0"/>
      <w:marBottom w:val="0"/>
      <w:divBdr>
        <w:top w:val="none" w:sz="0" w:space="0" w:color="auto"/>
        <w:left w:val="none" w:sz="0" w:space="0" w:color="auto"/>
        <w:bottom w:val="none" w:sz="0" w:space="0" w:color="auto"/>
        <w:right w:val="none" w:sz="0" w:space="0" w:color="auto"/>
      </w:divBdr>
    </w:div>
    <w:div w:id="828789298">
      <w:bodyDiv w:val="1"/>
      <w:marLeft w:val="0"/>
      <w:marRight w:val="0"/>
      <w:marTop w:val="0"/>
      <w:marBottom w:val="0"/>
      <w:divBdr>
        <w:top w:val="none" w:sz="0" w:space="0" w:color="auto"/>
        <w:left w:val="none" w:sz="0" w:space="0" w:color="auto"/>
        <w:bottom w:val="none" w:sz="0" w:space="0" w:color="auto"/>
        <w:right w:val="none" w:sz="0" w:space="0" w:color="auto"/>
      </w:divBdr>
    </w:div>
    <w:div w:id="859314624">
      <w:bodyDiv w:val="1"/>
      <w:marLeft w:val="0"/>
      <w:marRight w:val="0"/>
      <w:marTop w:val="0"/>
      <w:marBottom w:val="0"/>
      <w:divBdr>
        <w:top w:val="none" w:sz="0" w:space="0" w:color="auto"/>
        <w:left w:val="none" w:sz="0" w:space="0" w:color="auto"/>
        <w:bottom w:val="none" w:sz="0" w:space="0" w:color="auto"/>
        <w:right w:val="none" w:sz="0" w:space="0" w:color="auto"/>
      </w:divBdr>
    </w:div>
    <w:div w:id="937370452">
      <w:bodyDiv w:val="1"/>
      <w:marLeft w:val="0"/>
      <w:marRight w:val="0"/>
      <w:marTop w:val="0"/>
      <w:marBottom w:val="0"/>
      <w:divBdr>
        <w:top w:val="none" w:sz="0" w:space="0" w:color="auto"/>
        <w:left w:val="none" w:sz="0" w:space="0" w:color="auto"/>
        <w:bottom w:val="none" w:sz="0" w:space="0" w:color="auto"/>
        <w:right w:val="none" w:sz="0" w:space="0" w:color="auto"/>
      </w:divBdr>
    </w:div>
    <w:div w:id="943457373">
      <w:bodyDiv w:val="1"/>
      <w:marLeft w:val="0"/>
      <w:marRight w:val="0"/>
      <w:marTop w:val="0"/>
      <w:marBottom w:val="0"/>
      <w:divBdr>
        <w:top w:val="none" w:sz="0" w:space="0" w:color="auto"/>
        <w:left w:val="none" w:sz="0" w:space="0" w:color="auto"/>
        <w:bottom w:val="none" w:sz="0" w:space="0" w:color="auto"/>
        <w:right w:val="none" w:sz="0" w:space="0" w:color="auto"/>
      </w:divBdr>
    </w:div>
    <w:div w:id="987054404">
      <w:bodyDiv w:val="1"/>
      <w:marLeft w:val="0"/>
      <w:marRight w:val="0"/>
      <w:marTop w:val="0"/>
      <w:marBottom w:val="0"/>
      <w:divBdr>
        <w:top w:val="none" w:sz="0" w:space="0" w:color="auto"/>
        <w:left w:val="none" w:sz="0" w:space="0" w:color="auto"/>
        <w:bottom w:val="none" w:sz="0" w:space="0" w:color="auto"/>
        <w:right w:val="none" w:sz="0" w:space="0" w:color="auto"/>
      </w:divBdr>
    </w:div>
    <w:div w:id="990133437">
      <w:bodyDiv w:val="1"/>
      <w:marLeft w:val="0"/>
      <w:marRight w:val="0"/>
      <w:marTop w:val="0"/>
      <w:marBottom w:val="0"/>
      <w:divBdr>
        <w:top w:val="none" w:sz="0" w:space="0" w:color="auto"/>
        <w:left w:val="none" w:sz="0" w:space="0" w:color="auto"/>
        <w:bottom w:val="none" w:sz="0" w:space="0" w:color="auto"/>
        <w:right w:val="none" w:sz="0" w:space="0" w:color="auto"/>
      </w:divBdr>
    </w:div>
    <w:div w:id="1018770961">
      <w:bodyDiv w:val="1"/>
      <w:marLeft w:val="0"/>
      <w:marRight w:val="0"/>
      <w:marTop w:val="0"/>
      <w:marBottom w:val="0"/>
      <w:divBdr>
        <w:top w:val="none" w:sz="0" w:space="0" w:color="auto"/>
        <w:left w:val="none" w:sz="0" w:space="0" w:color="auto"/>
        <w:bottom w:val="none" w:sz="0" w:space="0" w:color="auto"/>
        <w:right w:val="none" w:sz="0" w:space="0" w:color="auto"/>
      </w:divBdr>
    </w:div>
    <w:div w:id="1045834629">
      <w:bodyDiv w:val="1"/>
      <w:marLeft w:val="0"/>
      <w:marRight w:val="0"/>
      <w:marTop w:val="0"/>
      <w:marBottom w:val="0"/>
      <w:divBdr>
        <w:top w:val="none" w:sz="0" w:space="0" w:color="auto"/>
        <w:left w:val="none" w:sz="0" w:space="0" w:color="auto"/>
        <w:bottom w:val="none" w:sz="0" w:space="0" w:color="auto"/>
        <w:right w:val="none" w:sz="0" w:space="0" w:color="auto"/>
      </w:divBdr>
    </w:div>
    <w:div w:id="1052928666">
      <w:bodyDiv w:val="1"/>
      <w:marLeft w:val="0"/>
      <w:marRight w:val="0"/>
      <w:marTop w:val="0"/>
      <w:marBottom w:val="0"/>
      <w:divBdr>
        <w:top w:val="none" w:sz="0" w:space="0" w:color="auto"/>
        <w:left w:val="none" w:sz="0" w:space="0" w:color="auto"/>
        <w:bottom w:val="none" w:sz="0" w:space="0" w:color="auto"/>
        <w:right w:val="none" w:sz="0" w:space="0" w:color="auto"/>
      </w:divBdr>
    </w:div>
    <w:div w:id="1057513510">
      <w:bodyDiv w:val="1"/>
      <w:marLeft w:val="0"/>
      <w:marRight w:val="0"/>
      <w:marTop w:val="0"/>
      <w:marBottom w:val="0"/>
      <w:divBdr>
        <w:top w:val="none" w:sz="0" w:space="0" w:color="auto"/>
        <w:left w:val="none" w:sz="0" w:space="0" w:color="auto"/>
        <w:bottom w:val="none" w:sz="0" w:space="0" w:color="auto"/>
        <w:right w:val="none" w:sz="0" w:space="0" w:color="auto"/>
      </w:divBdr>
    </w:div>
    <w:div w:id="1101610860">
      <w:bodyDiv w:val="1"/>
      <w:marLeft w:val="0"/>
      <w:marRight w:val="0"/>
      <w:marTop w:val="0"/>
      <w:marBottom w:val="0"/>
      <w:divBdr>
        <w:top w:val="none" w:sz="0" w:space="0" w:color="auto"/>
        <w:left w:val="none" w:sz="0" w:space="0" w:color="auto"/>
        <w:bottom w:val="none" w:sz="0" w:space="0" w:color="auto"/>
        <w:right w:val="none" w:sz="0" w:space="0" w:color="auto"/>
      </w:divBdr>
    </w:div>
    <w:div w:id="1119224403">
      <w:bodyDiv w:val="1"/>
      <w:marLeft w:val="0"/>
      <w:marRight w:val="0"/>
      <w:marTop w:val="0"/>
      <w:marBottom w:val="0"/>
      <w:divBdr>
        <w:top w:val="none" w:sz="0" w:space="0" w:color="auto"/>
        <w:left w:val="none" w:sz="0" w:space="0" w:color="auto"/>
        <w:bottom w:val="none" w:sz="0" w:space="0" w:color="auto"/>
        <w:right w:val="none" w:sz="0" w:space="0" w:color="auto"/>
      </w:divBdr>
    </w:div>
    <w:div w:id="1147211713">
      <w:bodyDiv w:val="1"/>
      <w:marLeft w:val="0"/>
      <w:marRight w:val="0"/>
      <w:marTop w:val="0"/>
      <w:marBottom w:val="0"/>
      <w:divBdr>
        <w:top w:val="none" w:sz="0" w:space="0" w:color="auto"/>
        <w:left w:val="none" w:sz="0" w:space="0" w:color="auto"/>
        <w:bottom w:val="none" w:sz="0" w:space="0" w:color="auto"/>
        <w:right w:val="none" w:sz="0" w:space="0" w:color="auto"/>
      </w:divBdr>
    </w:div>
    <w:div w:id="1148791534">
      <w:bodyDiv w:val="1"/>
      <w:marLeft w:val="0"/>
      <w:marRight w:val="0"/>
      <w:marTop w:val="0"/>
      <w:marBottom w:val="0"/>
      <w:divBdr>
        <w:top w:val="none" w:sz="0" w:space="0" w:color="auto"/>
        <w:left w:val="none" w:sz="0" w:space="0" w:color="auto"/>
        <w:bottom w:val="none" w:sz="0" w:space="0" w:color="auto"/>
        <w:right w:val="none" w:sz="0" w:space="0" w:color="auto"/>
      </w:divBdr>
    </w:div>
    <w:div w:id="1193499884">
      <w:bodyDiv w:val="1"/>
      <w:marLeft w:val="0"/>
      <w:marRight w:val="0"/>
      <w:marTop w:val="0"/>
      <w:marBottom w:val="0"/>
      <w:divBdr>
        <w:top w:val="none" w:sz="0" w:space="0" w:color="auto"/>
        <w:left w:val="none" w:sz="0" w:space="0" w:color="auto"/>
        <w:bottom w:val="none" w:sz="0" w:space="0" w:color="auto"/>
        <w:right w:val="none" w:sz="0" w:space="0" w:color="auto"/>
      </w:divBdr>
    </w:div>
    <w:div w:id="1195853009">
      <w:bodyDiv w:val="1"/>
      <w:marLeft w:val="0"/>
      <w:marRight w:val="0"/>
      <w:marTop w:val="0"/>
      <w:marBottom w:val="0"/>
      <w:divBdr>
        <w:top w:val="none" w:sz="0" w:space="0" w:color="auto"/>
        <w:left w:val="none" w:sz="0" w:space="0" w:color="auto"/>
        <w:bottom w:val="none" w:sz="0" w:space="0" w:color="auto"/>
        <w:right w:val="none" w:sz="0" w:space="0" w:color="auto"/>
      </w:divBdr>
    </w:div>
    <w:div w:id="1196846116">
      <w:bodyDiv w:val="1"/>
      <w:marLeft w:val="0"/>
      <w:marRight w:val="0"/>
      <w:marTop w:val="0"/>
      <w:marBottom w:val="0"/>
      <w:divBdr>
        <w:top w:val="none" w:sz="0" w:space="0" w:color="auto"/>
        <w:left w:val="none" w:sz="0" w:space="0" w:color="auto"/>
        <w:bottom w:val="none" w:sz="0" w:space="0" w:color="auto"/>
        <w:right w:val="none" w:sz="0" w:space="0" w:color="auto"/>
      </w:divBdr>
    </w:div>
    <w:div w:id="1207336657">
      <w:bodyDiv w:val="1"/>
      <w:marLeft w:val="0"/>
      <w:marRight w:val="0"/>
      <w:marTop w:val="0"/>
      <w:marBottom w:val="0"/>
      <w:divBdr>
        <w:top w:val="none" w:sz="0" w:space="0" w:color="auto"/>
        <w:left w:val="none" w:sz="0" w:space="0" w:color="auto"/>
        <w:bottom w:val="none" w:sz="0" w:space="0" w:color="auto"/>
        <w:right w:val="none" w:sz="0" w:space="0" w:color="auto"/>
      </w:divBdr>
    </w:div>
    <w:div w:id="1236402832">
      <w:bodyDiv w:val="1"/>
      <w:marLeft w:val="0"/>
      <w:marRight w:val="0"/>
      <w:marTop w:val="0"/>
      <w:marBottom w:val="0"/>
      <w:divBdr>
        <w:top w:val="none" w:sz="0" w:space="0" w:color="auto"/>
        <w:left w:val="none" w:sz="0" w:space="0" w:color="auto"/>
        <w:bottom w:val="none" w:sz="0" w:space="0" w:color="auto"/>
        <w:right w:val="none" w:sz="0" w:space="0" w:color="auto"/>
      </w:divBdr>
    </w:div>
    <w:div w:id="1314094318">
      <w:bodyDiv w:val="1"/>
      <w:marLeft w:val="0"/>
      <w:marRight w:val="0"/>
      <w:marTop w:val="0"/>
      <w:marBottom w:val="0"/>
      <w:divBdr>
        <w:top w:val="none" w:sz="0" w:space="0" w:color="auto"/>
        <w:left w:val="none" w:sz="0" w:space="0" w:color="auto"/>
        <w:bottom w:val="none" w:sz="0" w:space="0" w:color="auto"/>
        <w:right w:val="none" w:sz="0" w:space="0" w:color="auto"/>
      </w:divBdr>
    </w:div>
    <w:div w:id="1360743219">
      <w:bodyDiv w:val="1"/>
      <w:marLeft w:val="0"/>
      <w:marRight w:val="0"/>
      <w:marTop w:val="0"/>
      <w:marBottom w:val="0"/>
      <w:divBdr>
        <w:top w:val="none" w:sz="0" w:space="0" w:color="auto"/>
        <w:left w:val="none" w:sz="0" w:space="0" w:color="auto"/>
        <w:bottom w:val="none" w:sz="0" w:space="0" w:color="auto"/>
        <w:right w:val="none" w:sz="0" w:space="0" w:color="auto"/>
      </w:divBdr>
    </w:div>
    <w:div w:id="1387754384">
      <w:bodyDiv w:val="1"/>
      <w:marLeft w:val="0"/>
      <w:marRight w:val="0"/>
      <w:marTop w:val="0"/>
      <w:marBottom w:val="0"/>
      <w:divBdr>
        <w:top w:val="none" w:sz="0" w:space="0" w:color="auto"/>
        <w:left w:val="none" w:sz="0" w:space="0" w:color="auto"/>
        <w:bottom w:val="none" w:sz="0" w:space="0" w:color="auto"/>
        <w:right w:val="none" w:sz="0" w:space="0" w:color="auto"/>
      </w:divBdr>
    </w:div>
    <w:div w:id="1404914963">
      <w:bodyDiv w:val="1"/>
      <w:marLeft w:val="0"/>
      <w:marRight w:val="0"/>
      <w:marTop w:val="0"/>
      <w:marBottom w:val="0"/>
      <w:divBdr>
        <w:top w:val="none" w:sz="0" w:space="0" w:color="auto"/>
        <w:left w:val="none" w:sz="0" w:space="0" w:color="auto"/>
        <w:bottom w:val="none" w:sz="0" w:space="0" w:color="auto"/>
        <w:right w:val="none" w:sz="0" w:space="0" w:color="auto"/>
      </w:divBdr>
    </w:div>
    <w:div w:id="1458373609">
      <w:bodyDiv w:val="1"/>
      <w:marLeft w:val="0"/>
      <w:marRight w:val="0"/>
      <w:marTop w:val="0"/>
      <w:marBottom w:val="0"/>
      <w:divBdr>
        <w:top w:val="none" w:sz="0" w:space="0" w:color="auto"/>
        <w:left w:val="none" w:sz="0" w:space="0" w:color="auto"/>
        <w:bottom w:val="none" w:sz="0" w:space="0" w:color="auto"/>
        <w:right w:val="none" w:sz="0" w:space="0" w:color="auto"/>
      </w:divBdr>
    </w:div>
    <w:div w:id="1572083079">
      <w:bodyDiv w:val="1"/>
      <w:marLeft w:val="0"/>
      <w:marRight w:val="0"/>
      <w:marTop w:val="0"/>
      <w:marBottom w:val="0"/>
      <w:divBdr>
        <w:top w:val="none" w:sz="0" w:space="0" w:color="auto"/>
        <w:left w:val="none" w:sz="0" w:space="0" w:color="auto"/>
        <w:bottom w:val="none" w:sz="0" w:space="0" w:color="auto"/>
        <w:right w:val="none" w:sz="0" w:space="0" w:color="auto"/>
      </w:divBdr>
    </w:div>
    <w:div w:id="1583563247">
      <w:bodyDiv w:val="1"/>
      <w:marLeft w:val="0"/>
      <w:marRight w:val="0"/>
      <w:marTop w:val="0"/>
      <w:marBottom w:val="0"/>
      <w:divBdr>
        <w:top w:val="none" w:sz="0" w:space="0" w:color="auto"/>
        <w:left w:val="none" w:sz="0" w:space="0" w:color="auto"/>
        <w:bottom w:val="none" w:sz="0" w:space="0" w:color="auto"/>
        <w:right w:val="none" w:sz="0" w:space="0" w:color="auto"/>
      </w:divBdr>
    </w:div>
    <w:div w:id="1599556083">
      <w:bodyDiv w:val="1"/>
      <w:marLeft w:val="0"/>
      <w:marRight w:val="0"/>
      <w:marTop w:val="0"/>
      <w:marBottom w:val="0"/>
      <w:divBdr>
        <w:top w:val="none" w:sz="0" w:space="0" w:color="auto"/>
        <w:left w:val="none" w:sz="0" w:space="0" w:color="auto"/>
        <w:bottom w:val="none" w:sz="0" w:space="0" w:color="auto"/>
        <w:right w:val="none" w:sz="0" w:space="0" w:color="auto"/>
      </w:divBdr>
    </w:div>
    <w:div w:id="1603606472">
      <w:bodyDiv w:val="1"/>
      <w:marLeft w:val="0"/>
      <w:marRight w:val="0"/>
      <w:marTop w:val="0"/>
      <w:marBottom w:val="0"/>
      <w:divBdr>
        <w:top w:val="none" w:sz="0" w:space="0" w:color="auto"/>
        <w:left w:val="none" w:sz="0" w:space="0" w:color="auto"/>
        <w:bottom w:val="none" w:sz="0" w:space="0" w:color="auto"/>
        <w:right w:val="none" w:sz="0" w:space="0" w:color="auto"/>
      </w:divBdr>
    </w:div>
    <w:div w:id="1628973760">
      <w:bodyDiv w:val="1"/>
      <w:marLeft w:val="0"/>
      <w:marRight w:val="0"/>
      <w:marTop w:val="0"/>
      <w:marBottom w:val="0"/>
      <w:divBdr>
        <w:top w:val="none" w:sz="0" w:space="0" w:color="auto"/>
        <w:left w:val="none" w:sz="0" w:space="0" w:color="auto"/>
        <w:bottom w:val="none" w:sz="0" w:space="0" w:color="auto"/>
        <w:right w:val="none" w:sz="0" w:space="0" w:color="auto"/>
      </w:divBdr>
    </w:div>
    <w:div w:id="1633973577">
      <w:bodyDiv w:val="1"/>
      <w:marLeft w:val="0"/>
      <w:marRight w:val="0"/>
      <w:marTop w:val="0"/>
      <w:marBottom w:val="0"/>
      <w:divBdr>
        <w:top w:val="none" w:sz="0" w:space="0" w:color="auto"/>
        <w:left w:val="none" w:sz="0" w:space="0" w:color="auto"/>
        <w:bottom w:val="none" w:sz="0" w:space="0" w:color="auto"/>
        <w:right w:val="none" w:sz="0" w:space="0" w:color="auto"/>
      </w:divBdr>
    </w:div>
    <w:div w:id="1684896879">
      <w:bodyDiv w:val="1"/>
      <w:marLeft w:val="0"/>
      <w:marRight w:val="0"/>
      <w:marTop w:val="0"/>
      <w:marBottom w:val="0"/>
      <w:divBdr>
        <w:top w:val="none" w:sz="0" w:space="0" w:color="auto"/>
        <w:left w:val="none" w:sz="0" w:space="0" w:color="auto"/>
        <w:bottom w:val="none" w:sz="0" w:space="0" w:color="auto"/>
        <w:right w:val="none" w:sz="0" w:space="0" w:color="auto"/>
      </w:divBdr>
    </w:div>
    <w:div w:id="1685938631">
      <w:bodyDiv w:val="1"/>
      <w:marLeft w:val="0"/>
      <w:marRight w:val="0"/>
      <w:marTop w:val="0"/>
      <w:marBottom w:val="0"/>
      <w:divBdr>
        <w:top w:val="none" w:sz="0" w:space="0" w:color="auto"/>
        <w:left w:val="none" w:sz="0" w:space="0" w:color="auto"/>
        <w:bottom w:val="none" w:sz="0" w:space="0" w:color="auto"/>
        <w:right w:val="none" w:sz="0" w:space="0" w:color="auto"/>
      </w:divBdr>
    </w:div>
    <w:div w:id="1727873519">
      <w:bodyDiv w:val="1"/>
      <w:marLeft w:val="0"/>
      <w:marRight w:val="0"/>
      <w:marTop w:val="0"/>
      <w:marBottom w:val="0"/>
      <w:divBdr>
        <w:top w:val="none" w:sz="0" w:space="0" w:color="auto"/>
        <w:left w:val="none" w:sz="0" w:space="0" w:color="auto"/>
        <w:bottom w:val="none" w:sz="0" w:space="0" w:color="auto"/>
        <w:right w:val="none" w:sz="0" w:space="0" w:color="auto"/>
      </w:divBdr>
    </w:div>
    <w:div w:id="1731998507">
      <w:bodyDiv w:val="1"/>
      <w:marLeft w:val="0"/>
      <w:marRight w:val="0"/>
      <w:marTop w:val="0"/>
      <w:marBottom w:val="0"/>
      <w:divBdr>
        <w:top w:val="none" w:sz="0" w:space="0" w:color="auto"/>
        <w:left w:val="none" w:sz="0" w:space="0" w:color="auto"/>
        <w:bottom w:val="none" w:sz="0" w:space="0" w:color="auto"/>
        <w:right w:val="none" w:sz="0" w:space="0" w:color="auto"/>
      </w:divBdr>
    </w:div>
    <w:div w:id="1752114930">
      <w:bodyDiv w:val="1"/>
      <w:marLeft w:val="0"/>
      <w:marRight w:val="0"/>
      <w:marTop w:val="0"/>
      <w:marBottom w:val="0"/>
      <w:divBdr>
        <w:top w:val="none" w:sz="0" w:space="0" w:color="auto"/>
        <w:left w:val="none" w:sz="0" w:space="0" w:color="auto"/>
        <w:bottom w:val="none" w:sz="0" w:space="0" w:color="auto"/>
        <w:right w:val="none" w:sz="0" w:space="0" w:color="auto"/>
      </w:divBdr>
    </w:div>
    <w:div w:id="1776633885">
      <w:bodyDiv w:val="1"/>
      <w:marLeft w:val="0"/>
      <w:marRight w:val="0"/>
      <w:marTop w:val="0"/>
      <w:marBottom w:val="0"/>
      <w:divBdr>
        <w:top w:val="none" w:sz="0" w:space="0" w:color="auto"/>
        <w:left w:val="none" w:sz="0" w:space="0" w:color="auto"/>
        <w:bottom w:val="none" w:sz="0" w:space="0" w:color="auto"/>
        <w:right w:val="none" w:sz="0" w:space="0" w:color="auto"/>
      </w:divBdr>
    </w:div>
    <w:div w:id="1790855503">
      <w:bodyDiv w:val="1"/>
      <w:marLeft w:val="0"/>
      <w:marRight w:val="0"/>
      <w:marTop w:val="0"/>
      <w:marBottom w:val="0"/>
      <w:divBdr>
        <w:top w:val="none" w:sz="0" w:space="0" w:color="auto"/>
        <w:left w:val="none" w:sz="0" w:space="0" w:color="auto"/>
        <w:bottom w:val="none" w:sz="0" w:space="0" w:color="auto"/>
        <w:right w:val="none" w:sz="0" w:space="0" w:color="auto"/>
      </w:divBdr>
    </w:div>
    <w:div w:id="1791583841">
      <w:bodyDiv w:val="1"/>
      <w:marLeft w:val="0"/>
      <w:marRight w:val="0"/>
      <w:marTop w:val="0"/>
      <w:marBottom w:val="0"/>
      <w:divBdr>
        <w:top w:val="none" w:sz="0" w:space="0" w:color="auto"/>
        <w:left w:val="none" w:sz="0" w:space="0" w:color="auto"/>
        <w:bottom w:val="none" w:sz="0" w:space="0" w:color="auto"/>
        <w:right w:val="none" w:sz="0" w:space="0" w:color="auto"/>
      </w:divBdr>
    </w:div>
    <w:div w:id="1833839078">
      <w:bodyDiv w:val="1"/>
      <w:marLeft w:val="0"/>
      <w:marRight w:val="0"/>
      <w:marTop w:val="0"/>
      <w:marBottom w:val="0"/>
      <w:divBdr>
        <w:top w:val="none" w:sz="0" w:space="0" w:color="auto"/>
        <w:left w:val="none" w:sz="0" w:space="0" w:color="auto"/>
        <w:bottom w:val="none" w:sz="0" w:space="0" w:color="auto"/>
        <w:right w:val="none" w:sz="0" w:space="0" w:color="auto"/>
      </w:divBdr>
    </w:div>
    <w:div w:id="1839466554">
      <w:bodyDiv w:val="1"/>
      <w:marLeft w:val="0"/>
      <w:marRight w:val="0"/>
      <w:marTop w:val="0"/>
      <w:marBottom w:val="0"/>
      <w:divBdr>
        <w:top w:val="none" w:sz="0" w:space="0" w:color="auto"/>
        <w:left w:val="none" w:sz="0" w:space="0" w:color="auto"/>
        <w:bottom w:val="none" w:sz="0" w:space="0" w:color="auto"/>
        <w:right w:val="none" w:sz="0" w:space="0" w:color="auto"/>
      </w:divBdr>
    </w:div>
    <w:div w:id="1860964455">
      <w:bodyDiv w:val="1"/>
      <w:marLeft w:val="0"/>
      <w:marRight w:val="0"/>
      <w:marTop w:val="0"/>
      <w:marBottom w:val="0"/>
      <w:divBdr>
        <w:top w:val="none" w:sz="0" w:space="0" w:color="auto"/>
        <w:left w:val="none" w:sz="0" w:space="0" w:color="auto"/>
        <w:bottom w:val="none" w:sz="0" w:space="0" w:color="auto"/>
        <w:right w:val="none" w:sz="0" w:space="0" w:color="auto"/>
      </w:divBdr>
    </w:div>
    <w:div w:id="1901478678">
      <w:bodyDiv w:val="1"/>
      <w:marLeft w:val="0"/>
      <w:marRight w:val="0"/>
      <w:marTop w:val="0"/>
      <w:marBottom w:val="0"/>
      <w:divBdr>
        <w:top w:val="none" w:sz="0" w:space="0" w:color="auto"/>
        <w:left w:val="none" w:sz="0" w:space="0" w:color="auto"/>
        <w:bottom w:val="none" w:sz="0" w:space="0" w:color="auto"/>
        <w:right w:val="none" w:sz="0" w:space="0" w:color="auto"/>
      </w:divBdr>
    </w:div>
    <w:div w:id="1910387383">
      <w:bodyDiv w:val="1"/>
      <w:marLeft w:val="0"/>
      <w:marRight w:val="0"/>
      <w:marTop w:val="0"/>
      <w:marBottom w:val="0"/>
      <w:divBdr>
        <w:top w:val="none" w:sz="0" w:space="0" w:color="auto"/>
        <w:left w:val="none" w:sz="0" w:space="0" w:color="auto"/>
        <w:bottom w:val="none" w:sz="0" w:space="0" w:color="auto"/>
        <w:right w:val="none" w:sz="0" w:space="0" w:color="auto"/>
      </w:divBdr>
    </w:div>
    <w:div w:id="1925146161">
      <w:bodyDiv w:val="1"/>
      <w:marLeft w:val="0"/>
      <w:marRight w:val="0"/>
      <w:marTop w:val="0"/>
      <w:marBottom w:val="0"/>
      <w:divBdr>
        <w:top w:val="none" w:sz="0" w:space="0" w:color="auto"/>
        <w:left w:val="none" w:sz="0" w:space="0" w:color="auto"/>
        <w:bottom w:val="none" w:sz="0" w:space="0" w:color="auto"/>
        <w:right w:val="none" w:sz="0" w:space="0" w:color="auto"/>
      </w:divBdr>
    </w:div>
    <w:div w:id="1937859304">
      <w:bodyDiv w:val="1"/>
      <w:marLeft w:val="0"/>
      <w:marRight w:val="0"/>
      <w:marTop w:val="0"/>
      <w:marBottom w:val="0"/>
      <w:divBdr>
        <w:top w:val="none" w:sz="0" w:space="0" w:color="auto"/>
        <w:left w:val="none" w:sz="0" w:space="0" w:color="auto"/>
        <w:bottom w:val="none" w:sz="0" w:space="0" w:color="auto"/>
        <w:right w:val="none" w:sz="0" w:space="0" w:color="auto"/>
      </w:divBdr>
    </w:div>
    <w:div w:id="1941253442">
      <w:bodyDiv w:val="1"/>
      <w:marLeft w:val="0"/>
      <w:marRight w:val="0"/>
      <w:marTop w:val="0"/>
      <w:marBottom w:val="0"/>
      <w:divBdr>
        <w:top w:val="none" w:sz="0" w:space="0" w:color="auto"/>
        <w:left w:val="none" w:sz="0" w:space="0" w:color="auto"/>
        <w:bottom w:val="none" w:sz="0" w:space="0" w:color="auto"/>
        <w:right w:val="none" w:sz="0" w:space="0" w:color="auto"/>
      </w:divBdr>
    </w:div>
    <w:div w:id="2003849374">
      <w:bodyDiv w:val="1"/>
      <w:marLeft w:val="0"/>
      <w:marRight w:val="0"/>
      <w:marTop w:val="0"/>
      <w:marBottom w:val="0"/>
      <w:divBdr>
        <w:top w:val="none" w:sz="0" w:space="0" w:color="auto"/>
        <w:left w:val="none" w:sz="0" w:space="0" w:color="auto"/>
        <w:bottom w:val="none" w:sz="0" w:space="0" w:color="auto"/>
        <w:right w:val="none" w:sz="0" w:space="0" w:color="auto"/>
      </w:divBdr>
    </w:div>
    <w:div w:id="2010132871">
      <w:bodyDiv w:val="1"/>
      <w:marLeft w:val="0"/>
      <w:marRight w:val="0"/>
      <w:marTop w:val="0"/>
      <w:marBottom w:val="0"/>
      <w:divBdr>
        <w:top w:val="none" w:sz="0" w:space="0" w:color="auto"/>
        <w:left w:val="none" w:sz="0" w:space="0" w:color="auto"/>
        <w:bottom w:val="none" w:sz="0" w:space="0" w:color="auto"/>
        <w:right w:val="none" w:sz="0" w:space="0" w:color="auto"/>
      </w:divBdr>
    </w:div>
    <w:div w:id="2023893681">
      <w:bodyDiv w:val="1"/>
      <w:marLeft w:val="0"/>
      <w:marRight w:val="0"/>
      <w:marTop w:val="0"/>
      <w:marBottom w:val="0"/>
      <w:divBdr>
        <w:top w:val="none" w:sz="0" w:space="0" w:color="auto"/>
        <w:left w:val="none" w:sz="0" w:space="0" w:color="auto"/>
        <w:bottom w:val="none" w:sz="0" w:space="0" w:color="auto"/>
        <w:right w:val="none" w:sz="0" w:space="0" w:color="auto"/>
      </w:divBdr>
    </w:div>
    <w:div w:id="2036346168">
      <w:bodyDiv w:val="1"/>
      <w:marLeft w:val="0"/>
      <w:marRight w:val="0"/>
      <w:marTop w:val="0"/>
      <w:marBottom w:val="0"/>
      <w:divBdr>
        <w:top w:val="none" w:sz="0" w:space="0" w:color="auto"/>
        <w:left w:val="none" w:sz="0" w:space="0" w:color="auto"/>
        <w:bottom w:val="none" w:sz="0" w:space="0" w:color="auto"/>
        <w:right w:val="none" w:sz="0" w:space="0" w:color="auto"/>
      </w:divBdr>
    </w:div>
    <w:div w:id="2037267477">
      <w:bodyDiv w:val="1"/>
      <w:marLeft w:val="0"/>
      <w:marRight w:val="0"/>
      <w:marTop w:val="0"/>
      <w:marBottom w:val="0"/>
      <w:divBdr>
        <w:top w:val="none" w:sz="0" w:space="0" w:color="auto"/>
        <w:left w:val="none" w:sz="0" w:space="0" w:color="auto"/>
        <w:bottom w:val="none" w:sz="0" w:space="0" w:color="auto"/>
        <w:right w:val="none" w:sz="0" w:space="0" w:color="auto"/>
      </w:divBdr>
    </w:div>
    <w:div w:id="2039350373">
      <w:bodyDiv w:val="1"/>
      <w:marLeft w:val="0"/>
      <w:marRight w:val="0"/>
      <w:marTop w:val="0"/>
      <w:marBottom w:val="0"/>
      <w:divBdr>
        <w:top w:val="none" w:sz="0" w:space="0" w:color="auto"/>
        <w:left w:val="none" w:sz="0" w:space="0" w:color="auto"/>
        <w:bottom w:val="none" w:sz="0" w:space="0" w:color="auto"/>
        <w:right w:val="none" w:sz="0" w:space="0" w:color="auto"/>
      </w:divBdr>
    </w:div>
    <w:div w:id="2076051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8.xml"/><Relationship Id="rId117" Type="http://schemas.openxmlformats.org/officeDocument/2006/relationships/chart" Target="charts/chart105.xml"/><Relationship Id="rId21" Type="http://schemas.openxmlformats.org/officeDocument/2006/relationships/chart" Target="charts/chart13.xml"/><Relationship Id="rId42" Type="http://schemas.openxmlformats.org/officeDocument/2006/relationships/hyperlink" Target="http://atipfund.gov.ge/eng" TargetMode="External"/><Relationship Id="rId47" Type="http://schemas.openxmlformats.org/officeDocument/2006/relationships/chart" Target="charts/chart36.xml"/><Relationship Id="rId63" Type="http://schemas.openxmlformats.org/officeDocument/2006/relationships/chart" Target="charts/chart51.xml"/><Relationship Id="rId68" Type="http://schemas.openxmlformats.org/officeDocument/2006/relationships/chart" Target="charts/chart56.xml"/><Relationship Id="rId84" Type="http://schemas.openxmlformats.org/officeDocument/2006/relationships/chart" Target="charts/chart72.xml"/><Relationship Id="rId89" Type="http://schemas.openxmlformats.org/officeDocument/2006/relationships/chart" Target="charts/chart77.xml"/><Relationship Id="rId112" Type="http://schemas.openxmlformats.org/officeDocument/2006/relationships/chart" Target="charts/chart100.xml"/><Relationship Id="rId16" Type="http://schemas.openxmlformats.org/officeDocument/2006/relationships/chart" Target="charts/chart8.xml"/><Relationship Id="rId107" Type="http://schemas.openxmlformats.org/officeDocument/2006/relationships/chart" Target="charts/chart95.xml"/><Relationship Id="rId11" Type="http://schemas.openxmlformats.org/officeDocument/2006/relationships/chart" Target="charts/chart3.xml"/><Relationship Id="rId32" Type="http://schemas.openxmlformats.org/officeDocument/2006/relationships/chart" Target="charts/chart24.xml"/><Relationship Id="rId37" Type="http://schemas.openxmlformats.org/officeDocument/2006/relationships/chart" Target="charts/chart29.xml"/><Relationship Id="rId53" Type="http://schemas.openxmlformats.org/officeDocument/2006/relationships/chart" Target="charts/chart41.xml"/><Relationship Id="rId58" Type="http://schemas.openxmlformats.org/officeDocument/2006/relationships/chart" Target="charts/chart46.xml"/><Relationship Id="rId74" Type="http://schemas.openxmlformats.org/officeDocument/2006/relationships/chart" Target="charts/chart62.xml"/><Relationship Id="rId79" Type="http://schemas.openxmlformats.org/officeDocument/2006/relationships/chart" Target="charts/chart67.xml"/><Relationship Id="rId102" Type="http://schemas.openxmlformats.org/officeDocument/2006/relationships/chart" Target="charts/chart90.xml"/><Relationship Id="rId123" Type="http://schemas.openxmlformats.org/officeDocument/2006/relationships/chart" Target="charts/chart111.xml"/><Relationship Id="rId128" Type="http://schemas.openxmlformats.org/officeDocument/2006/relationships/chart" Target="charts/chart116.xml"/><Relationship Id="rId5" Type="http://schemas.openxmlformats.org/officeDocument/2006/relationships/webSettings" Target="webSettings.xml"/><Relationship Id="rId90" Type="http://schemas.openxmlformats.org/officeDocument/2006/relationships/chart" Target="charts/chart78.xml"/><Relationship Id="rId95" Type="http://schemas.openxmlformats.org/officeDocument/2006/relationships/chart" Target="charts/chart83.xml"/><Relationship Id="rId19" Type="http://schemas.openxmlformats.org/officeDocument/2006/relationships/chart" Target="charts/chart1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7.xml"/><Relationship Id="rId43" Type="http://schemas.openxmlformats.org/officeDocument/2006/relationships/chart" Target="charts/chart33.xml"/><Relationship Id="rId48" Type="http://schemas.openxmlformats.org/officeDocument/2006/relationships/hyperlink" Target="http://atipfund.gov.ge/eng" TargetMode="External"/><Relationship Id="rId56" Type="http://schemas.openxmlformats.org/officeDocument/2006/relationships/chart" Target="charts/chart44.xml"/><Relationship Id="rId64" Type="http://schemas.openxmlformats.org/officeDocument/2006/relationships/chart" Target="charts/chart52.xml"/><Relationship Id="rId69" Type="http://schemas.openxmlformats.org/officeDocument/2006/relationships/chart" Target="charts/chart57.xml"/><Relationship Id="rId77" Type="http://schemas.openxmlformats.org/officeDocument/2006/relationships/chart" Target="charts/chart65.xml"/><Relationship Id="rId100" Type="http://schemas.openxmlformats.org/officeDocument/2006/relationships/chart" Target="charts/chart88.xml"/><Relationship Id="rId105" Type="http://schemas.openxmlformats.org/officeDocument/2006/relationships/chart" Target="charts/chart93.xml"/><Relationship Id="rId113" Type="http://schemas.openxmlformats.org/officeDocument/2006/relationships/chart" Target="charts/chart101.xml"/><Relationship Id="rId118" Type="http://schemas.openxmlformats.org/officeDocument/2006/relationships/chart" Target="charts/chart106.xml"/><Relationship Id="rId126" Type="http://schemas.openxmlformats.org/officeDocument/2006/relationships/chart" Target="charts/chart114.xml"/><Relationship Id="rId8" Type="http://schemas.openxmlformats.org/officeDocument/2006/relationships/hyperlink" Target="http://atipfund.gov.ge/eng" TargetMode="External"/><Relationship Id="rId51" Type="http://schemas.openxmlformats.org/officeDocument/2006/relationships/chart" Target="charts/chart39.xml"/><Relationship Id="rId72" Type="http://schemas.openxmlformats.org/officeDocument/2006/relationships/chart" Target="charts/chart60.xml"/><Relationship Id="rId80" Type="http://schemas.openxmlformats.org/officeDocument/2006/relationships/chart" Target="charts/chart68.xml"/><Relationship Id="rId85" Type="http://schemas.openxmlformats.org/officeDocument/2006/relationships/chart" Target="charts/chart73.xml"/><Relationship Id="rId93" Type="http://schemas.openxmlformats.org/officeDocument/2006/relationships/chart" Target="charts/chart81.xml"/><Relationship Id="rId98" Type="http://schemas.openxmlformats.org/officeDocument/2006/relationships/chart" Target="charts/chart86.xml"/><Relationship Id="rId121" Type="http://schemas.openxmlformats.org/officeDocument/2006/relationships/chart" Target="charts/chart109.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chart" Target="charts/chart30.xml"/><Relationship Id="rId46" Type="http://schemas.openxmlformats.org/officeDocument/2006/relationships/chart" Target="charts/chart35.xml"/><Relationship Id="rId59" Type="http://schemas.openxmlformats.org/officeDocument/2006/relationships/chart" Target="charts/chart47.xml"/><Relationship Id="rId67" Type="http://schemas.openxmlformats.org/officeDocument/2006/relationships/chart" Target="charts/chart55.xml"/><Relationship Id="rId103" Type="http://schemas.openxmlformats.org/officeDocument/2006/relationships/chart" Target="charts/chart91.xml"/><Relationship Id="rId108" Type="http://schemas.openxmlformats.org/officeDocument/2006/relationships/chart" Target="charts/chart96.xml"/><Relationship Id="rId116" Type="http://schemas.openxmlformats.org/officeDocument/2006/relationships/chart" Target="charts/chart104.xml"/><Relationship Id="rId124" Type="http://schemas.openxmlformats.org/officeDocument/2006/relationships/chart" Target="charts/chart112.xml"/><Relationship Id="rId129" Type="http://schemas.openxmlformats.org/officeDocument/2006/relationships/chart" Target="charts/chart117.xml"/><Relationship Id="rId20" Type="http://schemas.openxmlformats.org/officeDocument/2006/relationships/chart" Target="charts/chart12.xml"/><Relationship Id="rId41" Type="http://schemas.openxmlformats.org/officeDocument/2006/relationships/chart" Target="charts/chart32.xml"/><Relationship Id="rId54" Type="http://schemas.openxmlformats.org/officeDocument/2006/relationships/chart" Target="charts/chart42.xml"/><Relationship Id="rId62" Type="http://schemas.openxmlformats.org/officeDocument/2006/relationships/chart" Target="charts/chart50.xml"/><Relationship Id="rId70" Type="http://schemas.openxmlformats.org/officeDocument/2006/relationships/chart" Target="charts/chart58.xml"/><Relationship Id="rId75" Type="http://schemas.openxmlformats.org/officeDocument/2006/relationships/chart" Target="charts/chart63.xml"/><Relationship Id="rId83" Type="http://schemas.openxmlformats.org/officeDocument/2006/relationships/chart" Target="charts/chart71.xml"/><Relationship Id="rId88" Type="http://schemas.openxmlformats.org/officeDocument/2006/relationships/chart" Target="charts/chart76.xml"/><Relationship Id="rId91" Type="http://schemas.openxmlformats.org/officeDocument/2006/relationships/chart" Target="charts/chart79.xml"/><Relationship Id="rId96" Type="http://schemas.openxmlformats.org/officeDocument/2006/relationships/chart" Target="charts/chart84.xml"/><Relationship Id="rId111" Type="http://schemas.openxmlformats.org/officeDocument/2006/relationships/chart" Target="charts/chart99.xm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chart" Target="charts/chart37.xml"/><Relationship Id="rId57" Type="http://schemas.openxmlformats.org/officeDocument/2006/relationships/chart" Target="charts/chart45.xml"/><Relationship Id="rId106" Type="http://schemas.openxmlformats.org/officeDocument/2006/relationships/chart" Target="charts/chart94.xml"/><Relationship Id="rId114" Type="http://schemas.openxmlformats.org/officeDocument/2006/relationships/chart" Target="charts/chart102.xml"/><Relationship Id="rId119" Type="http://schemas.openxmlformats.org/officeDocument/2006/relationships/chart" Target="charts/chart107.xml"/><Relationship Id="rId127" Type="http://schemas.openxmlformats.org/officeDocument/2006/relationships/chart" Target="charts/chart115.xml"/><Relationship Id="rId10" Type="http://schemas.openxmlformats.org/officeDocument/2006/relationships/chart" Target="charts/chart2.xml"/><Relationship Id="rId31" Type="http://schemas.openxmlformats.org/officeDocument/2006/relationships/chart" Target="charts/chart23.xml"/><Relationship Id="rId44" Type="http://schemas.openxmlformats.org/officeDocument/2006/relationships/chart" Target="charts/chart34.xml"/><Relationship Id="rId52" Type="http://schemas.openxmlformats.org/officeDocument/2006/relationships/chart" Target="charts/chart40.xml"/><Relationship Id="rId60" Type="http://schemas.openxmlformats.org/officeDocument/2006/relationships/chart" Target="charts/chart48.xml"/><Relationship Id="rId65" Type="http://schemas.openxmlformats.org/officeDocument/2006/relationships/chart" Target="charts/chart53.xml"/><Relationship Id="rId73" Type="http://schemas.openxmlformats.org/officeDocument/2006/relationships/chart" Target="charts/chart61.xml"/><Relationship Id="rId78" Type="http://schemas.openxmlformats.org/officeDocument/2006/relationships/chart" Target="charts/chart66.xml"/><Relationship Id="rId81" Type="http://schemas.openxmlformats.org/officeDocument/2006/relationships/chart" Target="charts/chart69.xml"/><Relationship Id="rId86" Type="http://schemas.openxmlformats.org/officeDocument/2006/relationships/chart" Target="charts/chart74.xml"/><Relationship Id="rId94" Type="http://schemas.openxmlformats.org/officeDocument/2006/relationships/chart" Target="charts/chart82.xml"/><Relationship Id="rId99" Type="http://schemas.openxmlformats.org/officeDocument/2006/relationships/chart" Target="charts/chart87.xml"/><Relationship Id="rId101" Type="http://schemas.openxmlformats.org/officeDocument/2006/relationships/chart" Target="charts/chart89.xml"/><Relationship Id="rId122" Type="http://schemas.openxmlformats.org/officeDocument/2006/relationships/chart" Target="charts/chart110.xml"/><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hyperlink" Target="http://atipfund.gov.ge/eng" TargetMode="External"/><Relationship Id="rId109" Type="http://schemas.openxmlformats.org/officeDocument/2006/relationships/chart" Target="charts/chart97.xml"/><Relationship Id="rId34" Type="http://schemas.openxmlformats.org/officeDocument/2006/relationships/chart" Target="charts/chart26.xml"/><Relationship Id="rId50" Type="http://schemas.openxmlformats.org/officeDocument/2006/relationships/chart" Target="charts/chart38.xml"/><Relationship Id="rId55" Type="http://schemas.openxmlformats.org/officeDocument/2006/relationships/chart" Target="charts/chart43.xml"/><Relationship Id="rId76" Type="http://schemas.openxmlformats.org/officeDocument/2006/relationships/chart" Target="charts/chart64.xml"/><Relationship Id="rId97" Type="http://schemas.openxmlformats.org/officeDocument/2006/relationships/chart" Target="charts/chart85.xml"/><Relationship Id="rId104" Type="http://schemas.openxmlformats.org/officeDocument/2006/relationships/chart" Target="charts/chart92.xml"/><Relationship Id="rId120" Type="http://schemas.openxmlformats.org/officeDocument/2006/relationships/chart" Target="charts/chart108.xml"/><Relationship Id="rId125" Type="http://schemas.openxmlformats.org/officeDocument/2006/relationships/chart" Target="charts/chart113.xml"/><Relationship Id="rId7" Type="http://schemas.openxmlformats.org/officeDocument/2006/relationships/endnotes" Target="endnotes.xml"/><Relationship Id="rId71" Type="http://schemas.openxmlformats.org/officeDocument/2006/relationships/chart" Target="charts/chart59.xml"/><Relationship Id="rId92" Type="http://schemas.openxmlformats.org/officeDocument/2006/relationships/chart" Target="charts/chart80.xml"/><Relationship Id="rId2" Type="http://schemas.openxmlformats.org/officeDocument/2006/relationships/numbering" Target="numbering.xml"/><Relationship Id="rId29" Type="http://schemas.openxmlformats.org/officeDocument/2006/relationships/chart" Target="charts/chart21.xml"/><Relationship Id="rId24" Type="http://schemas.openxmlformats.org/officeDocument/2006/relationships/chart" Target="charts/chart16.xml"/><Relationship Id="rId40" Type="http://schemas.openxmlformats.org/officeDocument/2006/relationships/chart" Target="charts/chart31.xml"/><Relationship Id="rId45" Type="http://schemas.openxmlformats.org/officeDocument/2006/relationships/hyperlink" Target="http://atipfund.gov.ge/eng" TargetMode="External"/><Relationship Id="rId66" Type="http://schemas.openxmlformats.org/officeDocument/2006/relationships/chart" Target="charts/chart54.xml"/><Relationship Id="rId87" Type="http://schemas.openxmlformats.org/officeDocument/2006/relationships/chart" Target="charts/chart75.xml"/><Relationship Id="rId110" Type="http://schemas.openxmlformats.org/officeDocument/2006/relationships/chart" Target="charts/chart98.xml"/><Relationship Id="rId115" Type="http://schemas.openxmlformats.org/officeDocument/2006/relationships/chart" Target="charts/chart103.xml"/><Relationship Id="rId131" Type="http://schemas.openxmlformats.org/officeDocument/2006/relationships/fontTable" Target="fontTable.xml"/><Relationship Id="rId61" Type="http://schemas.openxmlformats.org/officeDocument/2006/relationships/chart" Target="charts/chart49.xml"/><Relationship Id="rId82" Type="http://schemas.openxmlformats.org/officeDocument/2006/relationships/chart" Target="charts/chart70.xml"/></Relationships>
</file>

<file path=word/_rels/footnotes.xml.rels><?xml version="1.0" encoding="UTF-8" standalone="yes"?>
<Relationships xmlns="http://schemas.openxmlformats.org/package/2006/relationships"><Relationship Id="rId2" Type="http://schemas.openxmlformats.org/officeDocument/2006/relationships/hyperlink" Target="https://en.wikipedia.org/wiki/Housing_First" TargetMode="External"/><Relationship Id="rId1" Type="http://schemas.openxmlformats.org/officeDocument/2006/relationships/hyperlink" Target="https://ec.europa.eu/eurostat/statistics-explained/index.php?title=Housing_statistic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m.tsulukidze\Desktop\Housing%20RIA\Data%20For%20Causes\Income%20Distribution\saSualo-Tviuri-Semosavlebis-ganawileba-erT-Sinameurneobaze-q-da-s-WrilSi.xls"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tsulukidze\Desktop\Housing%20RIA\Data%20For%20Causes\Construction%20Material%20Related%20Data\mshenebloba-2010-wlis-sashualo=100-qart.xlsx" TargetMode="External"/><Relationship Id="rId2" Type="http://schemas.microsoft.com/office/2011/relationships/chartColorStyle" Target="colors8.xml"/><Relationship Id="rId1" Type="http://schemas.microsoft.com/office/2011/relationships/chartStyle" Target="style8.xml"/></Relationships>
</file>

<file path=word/charts/_rels/chart100.xml.rels><?xml version="1.0" encoding="UTF-8" standalone="yes"?>
<Relationships xmlns="http://schemas.openxmlformats.org/package/2006/relationships"><Relationship Id="rId3" Type="http://schemas.openxmlformats.org/officeDocument/2006/relationships/oleObject" Target="file:///C:\Users\npign\Downloads\Merged%20Average%20Values%20for%20Ethnicity%20(1).xlsx" TargetMode="External"/><Relationship Id="rId2" Type="http://schemas.microsoft.com/office/2011/relationships/chartColorStyle" Target="colors98.xml"/><Relationship Id="rId1" Type="http://schemas.microsoft.com/office/2011/relationships/chartStyle" Target="style98.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npign\Downloads\Merged%20Average%20Values%20for%20Ethnicity%20(1).xlsx" TargetMode="External"/><Relationship Id="rId2" Type="http://schemas.microsoft.com/office/2011/relationships/chartColorStyle" Target="colors99.xml"/><Relationship Id="rId1" Type="http://schemas.microsoft.com/office/2011/relationships/chartStyle" Target="style99.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npign\Downloads\Merged%20Average%20Values%20for%20Ethnicity%20(1).xlsx" TargetMode="External"/><Relationship Id="rId2" Type="http://schemas.microsoft.com/office/2011/relationships/chartColorStyle" Target="colors100.xml"/><Relationship Id="rId1" Type="http://schemas.microsoft.com/office/2011/relationships/chartStyle" Target="style100.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101.xml"/><Relationship Id="rId1" Type="http://schemas.microsoft.com/office/2011/relationships/chartStyle" Target="style101.xml"/></Relationships>
</file>

<file path=word/charts/_rels/chart104.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102.xml"/><Relationship Id="rId1" Type="http://schemas.microsoft.com/office/2011/relationships/chartStyle" Target="style102.xml"/></Relationships>
</file>

<file path=word/charts/_rels/chart105.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103.xml"/><Relationship Id="rId1" Type="http://schemas.microsoft.com/office/2011/relationships/chartStyle" Target="style103.xml"/></Relationships>
</file>

<file path=word/charts/_rels/chart106.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104.xml"/><Relationship Id="rId1" Type="http://schemas.microsoft.com/office/2011/relationships/chartStyle" Target="style104.xml"/></Relationships>
</file>

<file path=word/charts/_rels/chart107.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105.xml"/><Relationship Id="rId1" Type="http://schemas.microsoft.com/office/2011/relationships/chartStyle" Target="style105.xml"/></Relationships>
</file>

<file path=word/charts/_rels/chart108.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106.xml"/><Relationship Id="rId1" Type="http://schemas.microsoft.com/office/2011/relationships/chartStyle" Target="style106.xml"/></Relationships>
</file>

<file path=word/charts/_rels/chart109.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107.xml"/><Relationship Id="rId1" Type="http://schemas.microsoft.com/office/2011/relationships/chartStyle" Target="style107.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tsulukidze\Desktop\Housing%20RIA\Data%20For%20Causes\Construction%20Material%20Related%20Data\importi-NACE-2015_2019.xlsx" TargetMode="External"/><Relationship Id="rId2" Type="http://schemas.microsoft.com/office/2011/relationships/chartColorStyle" Target="colors9.xml"/><Relationship Id="rId1" Type="http://schemas.microsoft.com/office/2011/relationships/chartStyle" Target="style9.xml"/></Relationships>
</file>

<file path=word/charts/_rels/chart110.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108.xml"/><Relationship Id="rId1" Type="http://schemas.microsoft.com/office/2011/relationships/chartStyle" Target="style108.xml"/></Relationships>
</file>

<file path=word/charts/_rels/chart111.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109.xml"/><Relationship Id="rId1" Type="http://schemas.microsoft.com/office/2011/relationships/chartStyle" Target="style109.xml"/></Relationships>
</file>

<file path=word/charts/_rels/chart112.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110.xml"/><Relationship Id="rId1" Type="http://schemas.microsoft.com/office/2011/relationships/chartStyle" Target="style110.xml"/></Relationships>
</file>

<file path=word/charts/_rels/chart113.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111.xml"/><Relationship Id="rId1" Type="http://schemas.microsoft.com/office/2011/relationships/chartStyle" Target="style111.xml"/></Relationships>
</file>

<file path=word/charts/_rels/chart114.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112.xml"/><Relationship Id="rId1" Type="http://schemas.microsoft.com/office/2011/relationships/chartStyle" Target="style112.xml"/></Relationships>
</file>

<file path=word/charts/_rels/chart115.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113.xml"/><Relationship Id="rId1" Type="http://schemas.microsoft.com/office/2011/relationships/chartStyle" Target="style113.xml"/></Relationships>
</file>

<file path=word/charts/_rels/chart116.xml.rels><?xml version="1.0" encoding="UTF-8" standalone="yes"?>
<Relationships xmlns="http://schemas.openxmlformats.org/package/2006/relationships"><Relationship Id="rId3" Type="http://schemas.openxmlformats.org/officeDocument/2006/relationships/oleObject" Target="file:///C:\Users\npign\Downloads\Merged%20Average%20Values%20for%20Ethnicity%20(1).xlsx" TargetMode="External"/><Relationship Id="rId2" Type="http://schemas.microsoft.com/office/2011/relationships/chartColorStyle" Target="colors114.xml"/><Relationship Id="rId1" Type="http://schemas.microsoft.com/office/2011/relationships/chartStyle" Target="style114.xml"/></Relationships>
</file>

<file path=word/charts/_rels/chart117.xml.rels><?xml version="1.0" encoding="UTF-8" standalone="yes"?>
<Relationships xmlns="http://schemas.openxmlformats.org/package/2006/relationships"><Relationship Id="rId3" Type="http://schemas.openxmlformats.org/officeDocument/2006/relationships/oleObject" Target="file:///C:\Users\npign\Downloads\Merged%20Average%20Values%20for%20Ethnicity%20(1).xlsx" TargetMode="External"/><Relationship Id="rId2" Type="http://schemas.microsoft.com/office/2011/relationships/chartColorStyle" Target="colors115.xml"/><Relationship Id="rId1" Type="http://schemas.microsoft.com/office/2011/relationships/chartStyle" Target="style115.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tsulukidze\Desktop\Housing%20RIA\Data%20For%20Causes\Construction%20Material%20Related%20Data\monthly_exchange_ratesgeo.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ariam.tsulukidze\Downloads\Average-monthly-earnings-of-employed-persons.xlsx"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tsulukidze\Desktop\Housing%20RIA\Data%20For%20Causes\Housing%20and%20Rent%20Prices\Housing%20Stock,%20Prices.xlsx"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tsulukidze\Desktop\Housing%20RIA\Data%20For%20Causes\Housing%20and%20Rent%20Prices\Housing%20Stock,%20Prices.xlsx"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tsulukidze\Desktop\Housing%20RIA\Data%20For%20Causes\Housing%20and%20Rent%20Prices\Housing%20Stock,%20Prices.xlsx"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m.tsulukidze\Desktop\Housing%20RIA\Data%20For%20Causes\Housing%20and%20Rent%20Prices\Housing%20Stock,%20Prices.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m.tsulukidze\Desktop\Housing%20RIA\Data%20For%20Causes\Housing%20and%20Rent%20Prices\Housing%20Stock,%20Prices.xlsx"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tsulukidze\Desktop\Housing%20RIA\Data%20For%20Causes\Housing%20and%20Rent%20Prices\Housing%20Stock,%20Prices.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m.tsulukidze\Desktop\Housing%20RIA\Data%20For%20Causes\Employement%20and%20Wages\01-daqiravebiT-dasaqmebulTa-saSualo-Tviuri-nominaluri-xelfasi.xls"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tsulukidze\Desktop\Housing%20RIA\Data%20For%20Causes\Housing%20and%20Rent%20Prices\Housing%20Stock,%20Prices.xlsx" TargetMode="External"/><Relationship Id="rId2" Type="http://schemas.microsoft.com/office/2011/relationships/chartColorStyle" Target="colors18.xml"/><Relationship Id="rId1" Type="http://schemas.microsoft.com/office/2011/relationships/chartStyle" Target="style18.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Other\Downloads\All%20graphs.xlsx" TargetMode="External"/></Relationships>
</file>

<file path=word/charts/_rels/chart22.xml.rels><?xml version="1.0" encoding="UTF-8" standalone="yes"?>
<Relationships xmlns="http://schemas.openxmlformats.org/package/2006/relationships"><Relationship Id="rId3" Type="http://schemas.openxmlformats.org/officeDocument/2006/relationships/oleObject" Target="file:///C:\Users\Other\Downloads\All%20graphs.xlsx"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Other\Downloads\All%20graph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Other\Downloads\All%20graphs.xlsx" TargetMode="Externa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3.xml"/><Relationship Id="rId1" Type="http://schemas.microsoft.com/office/2011/relationships/chartStyle" Target="style23.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Other\Downloads\All%20graphs.xlsx" TargetMode="External"/><Relationship Id="rId2" Type="http://schemas.microsoft.com/office/2011/relationships/chartColorStyle" Target="colors24.xml"/><Relationship Id="rId1" Type="http://schemas.microsoft.com/office/2011/relationships/chartStyle" Target="style24.xml"/></Relationships>
</file>

<file path=word/charts/_rels/chart27.xml.rels><?xml version="1.0" encoding="UTF-8" standalone="yes"?>
<Relationships xmlns="http://schemas.openxmlformats.org/package/2006/relationships"><Relationship Id="rId3" Type="http://schemas.openxmlformats.org/officeDocument/2006/relationships/oleObject" Target="file:///D:\Housing%20RIA\graphs.xlsx" TargetMode="External"/><Relationship Id="rId2" Type="http://schemas.microsoft.com/office/2011/relationships/chartColorStyle" Target="colors25.xml"/><Relationship Id="rId1" Type="http://schemas.microsoft.com/office/2011/relationships/chartStyle" Target="style25.xml"/></Relationships>
</file>

<file path=word/charts/_rels/chart28.xml.rels><?xml version="1.0" encoding="UTF-8" standalone="yes"?>
<Relationships xmlns="http://schemas.openxmlformats.org/package/2006/relationships"><Relationship Id="rId3" Type="http://schemas.openxmlformats.org/officeDocument/2006/relationships/oleObject" Target="file:///D:\Housing%20RIA\graphs.xlsx" TargetMode="External"/><Relationship Id="rId2" Type="http://schemas.microsoft.com/office/2011/relationships/chartColorStyle" Target="colors26.xml"/><Relationship Id="rId1" Type="http://schemas.microsoft.com/office/2011/relationships/chartStyle" Target="style26.xml"/></Relationships>
</file>

<file path=word/charts/_rels/chart29.xml.rels><?xml version="1.0" encoding="UTF-8" standalone="yes"?>
<Relationships xmlns="http://schemas.openxmlformats.org/package/2006/relationships"><Relationship Id="rId3" Type="http://schemas.openxmlformats.org/officeDocument/2006/relationships/oleObject" Target="file:///D:\Housing%20RIA\graphs.xlsx"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30.xml.rels><?xml version="1.0" encoding="UTF-8" standalone="yes"?>
<Relationships xmlns="http://schemas.openxmlformats.org/package/2006/relationships"><Relationship Id="rId3" Type="http://schemas.openxmlformats.org/officeDocument/2006/relationships/oleObject" Target="file:///D:\Housing%20RIA\graphs.xlsx" TargetMode="External"/><Relationship Id="rId2" Type="http://schemas.microsoft.com/office/2011/relationships/chartColorStyle" Target="colors28.xml"/><Relationship Id="rId1" Type="http://schemas.microsoft.com/office/2011/relationships/chartStyle" Target="style28.xml"/></Relationships>
</file>

<file path=word/charts/_rels/chart31.xml.rels><?xml version="1.0" encoding="UTF-8" standalone="yes"?>
<Relationships xmlns="http://schemas.openxmlformats.org/package/2006/relationships"><Relationship Id="rId3" Type="http://schemas.openxmlformats.org/officeDocument/2006/relationships/oleObject" Target="file:///D:\Housing%20RIA\utilites%20and%20adoption%20issues.xlsx" TargetMode="External"/><Relationship Id="rId2" Type="http://schemas.microsoft.com/office/2011/relationships/chartColorStyle" Target="colors29.xml"/><Relationship Id="rId1" Type="http://schemas.microsoft.com/office/2011/relationships/chartStyle" Target="style29.xml"/></Relationships>
</file>

<file path=word/charts/_rels/chart32.xml.rels><?xml version="1.0" encoding="UTF-8" standalone="yes"?>
<Relationships xmlns="http://schemas.openxmlformats.org/package/2006/relationships"><Relationship Id="rId3" Type="http://schemas.openxmlformats.org/officeDocument/2006/relationships/oleObject" Target="file:///D:\Housing%20RIA\Data%20for%20homelessness%20and%20rooflessness\Children,woman,%20shshm.xlsx" TargetMode="External"/><Relationship Id="rId2" Type="http://schemas.microsoft.com/office/2011/relationships/chartColorStyle" Target="colors30.xml"/><Relationship Id="rId1" Type="http://schemas.microsoft.com/office/2011/relationships/chartStyle" Target="style30.xml"/></Relationships>
</file>

<file path=word/charts/_rels/chart33.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31.xml"/><Relationship Id="rId1" Type="http://schemas.microsoft.com/office/2011/relationships/chartStyle" Target="style31.xml"/></Relationships>
</file>

<file path=word/charts/_rels/chart34.xml.rels><?xml version="1.0" encoding="UTF-8" standalone="yes"?>
<Relationships xmlns="http://schemas.openxmlformats.org/package/2006/relationships"><Relationship Id="rId3" Type="http://schemas.openxmlformats.org/officeDocument/2006/relationships/oleObject" Target="file:///D:\Housing%20RIA\Data%20for%20homelessness%20and%20rooflessness\Children,woman,%20shshm.xlsx" TargetMode="External"/><Relationship Id="rId2" Type="http://schemas.microsoft.com/office/2011/relationships/chartColorStyle" Target="colors32.xml"/><Relationship Id="rId1" Type="http://schemas.microsoft.com/office/2011/relationships/chartStyle" Target="style32.xml"/></Relationships>
</file>

<file path=word/charts/_rels/chart35.xml.rels><?xml version="1.0" encoding="UTF-8" standalone="yes"?>
<Relationships xmlns="http://schemas.openxmlformats.org/package/2006/relationships"><Relationship Id="rId3" Type="http://schemas.openxmlformats.org/officeDocument/2006/relationships/oleObject" Target="file:///D:\Housing%20RIA\Data%20for%20homelessness%20and%20rooflessness\Children,woman,%20shshm.xlsx" TargetMode="External"/><Relationship Id="rId2" Type="http://schemas.microsoft.com/office/2011/relationships/chartColorStyle" Target="colors33.xml"/><Relationship Id="rId1" Type="http://schemas.microsoft.com/office/2011/relationships/chartStyle" Target="style33.xml"/></Relationships>
</file>

<file path=word/charts/_rels/chart36.xml.rels><?xml version="1.0" encoding="UTF-8" standalone="yes"?>
<Relationships xmlns="http://schemas.openxmlformats.org/package/2006/relationships"><Relationship Id="rId3" Type="http://schemas.openxmlformats.org/officeDocument/2006/relationships/oleObject" Target="file:///D:\Housing%20RIA\graphs.xlsx" TargetMode="External"/><Relationship Id="rId2" Type="http://schemas.microsoft.com/office/2011/relationships/chartColorStyle" Target="colors34.xml"/><Relationship Id="rId1" Type="http://schemas.microsoft.com/office/2011/relationships/chartStyle" Target="style34.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C:\Users\m.tsulukidze\Desktop\Final%20IHS%20data%20for%20housing\Ownership,%20unaffordable%20and%20doubleup%20.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Users\m.tsulukidze\Desktop\Final%20IHS%20data%20for%20housing\Ownership,%20unaffordable%20and%20doubleup%20.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C:\Users\m.tsulukidze\Desktop\Final%20IHS%20data%20for%20housing\Ownership,%20unaffordable%20and%20doubleup%20.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m.tsulukidze\Desktop\Housing%20RIA\Data%20For%20Causes\Poverty%20and%20Inequality\Data.xlsx" TargetMode="External"/><Relationship Id="rId2" Type="http://schemas.microsoft.com/office/2011/relationships/chartColorStyle" Target="colors2.xml"/><Relationship Id="rId1" Type="http://schemas.microsoft.com/office/2011/relationships/chartStyle" Target="style2.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C:\Users\m.tsulukidze\Desktop\Final%20IHS%20data%20for%20housing\Ownership,%20unaffordable%20and%20doubleup%20.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C:\Users\m.tsulukidze\Desktop\Final%20IHS%20data%20for%20housing\Ownership,%20unaffordable%20and%20doubleup%20.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C:\Users\m.tsulukidze\Desktop\Final%20IHS%20data%20for%20housing\Ownership,%20unaffordable%20and%20doubleup%20.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C:\Users\m.tsulukidze\Desktop\Final%20IHS%20data%20for%20housing\Ownership,%20unaffordable%20and%20doubleup%20.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C:\Users\m.tsulukidze\Desktop\Final%20IHS%20data%20for%20housing\Ownership,%20unaffordable%20and%20doubleup%20.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C:\Users\m.tsulukidze\Desktop\Final%20IHS%20data%20for%20housing\Ownership,%20unaffordable%20and%20doubleup%20.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C:\Users\m.tsulukidze\Desktop\Final%20IHS%20data%20for%20housing\Ownership,%20unaffordable%20and%20doubleup%20.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file:///C:\Users\m.tsulukidze\Desktop\Final%20IHS%20data%20for%20housing\Ownership,%20unaffordable%20and%20doubleup%20.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C:\Users\m.tsulukidze\Desktop\Final%20IHS%20data%20for%20housing\Ownership,%20unaffordable%20and%20doubleup%20.xlsx" TargetMode="External"/></Relationships>
</file>

<file path=word/charts/_rels/chart49.xml.rels><?xml version="1.0" encoding="UTF-8" standalone="yes"?>
<Relationships xmlns="http://schemas.openxmlformats.org/package/2006/relationships"><Relationship Id="rId3" Type="http://schemas.openxmlformats.org/officeDocument/2006/relationships/oleObject" Target="file:///C:\Users\m.tsulukidze\Desktop\Final%20IHS%20data%20for%20housing\Ownership,%20unaffordable%20and%20doubleup%20.xlsx"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tsulukidze\Desktop\Housing%20RIA\Data%20For%20Causes\Cost%20of%20Mortgage\lmreng.xlsx" TargetMode="External"/><Relationship Id="rId2" Type="http://schemas.microsoft.com/office/2011/relationships/chartColorStyle" Target="colors3.xml"/><Relationship Id="rId1" Type="http://schemas.microsoft.com/office/2011/relationships/chartStyle" Target="style3.xm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C:\Users\m.tsulukidze\Desktop\Final%20IHS%20data%20for%20housing\Unstable%20housing%20indicators%20and%20values%20final%20MM%20only%20interested%20variable%20percentages.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C:\Users\m.tsulukidze\Desktop\Final%20IHS%20data%20for%20housing\Unstable%20housing%20indicators%20and%20values%20final%20MM%20only%20interested%20variable%20percentages.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C:\Users\m.tsulukidze\Desktop\Final%20IHS%20data%20for%20housing\Unstable%20housing%20indicators%20and%20values%20final%20MM%20only%20interested%20variable%20percentages.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file:///C:\Users\m.tsulukidze\Desktop\Final%20IHS%20data%20for%20housing\Unstable%20housing%20indicators%20and%20values%20final%20MM%20only%20interested%20variable%20percentages.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C:\Users\m.tsulukidze\Desktop\Final%20IHS%20data%20for%20housing\Unstable%20housing%20indicators%20and%20values%20final%20MM%20only%20interested%20variable%20percentages.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C:\Users\m.tsulukidze\Desktop\Final%20IHS%20data%20for%20housing\Unstable%20housing%20indicators%20and%20values%20final%20MM%20only%20interested%20variable%20percentages.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D:\Housing%20RIA\All%20graphs.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1.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file:///D:\Housing%20RIA\All%20graphs.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oleObject" Target="file:///D:\Housing%20RIA\graphs.xlsx" TargetMode="External"/><Relationship Id="rId2" Type="http://schemas.microsoft.com/office/2011/relationships/chartColorStyle" Target="colors4.xml"/><Relationship Id="rId1" Type="http://schemas.microsoft.com/office/2011/relationships/chartStyle" Target="style4.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59.xml"/><Relationship Id="rId1" Type="http://schemas.microsoft.com/office/2011/relationships/chartStyle" Target="style59.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64.xml"/><Relationship Id="rId1" Type="http://schemas.microsoft.com/office/2011/relationships/chartStyle" Target="style64.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65.xml"/><Relationship Id="rId1" Type="http://schemas.microsoft.com/office/2011/relationships/chartStyle" Target="style65.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66.xml"/><Relationship Id="rId1" Type="http://schemas.microsoft.com/office/2011/relationships/chartStyle" Target="style66.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67.xml"/><Relationship Id="rId1" Type="http://schemas.microsoft.com/office/2011/relationships/chartStyle" Target="style67.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tsulukidze\Desktop\Housing%20RIA\Data%20For%20Causes\Cost%20of%20Mortgage\lmreng.xlsx" TargetMode="External"/><Relationship Id="rId2" Type="http://schemas.microsoft.com/office/2011/relationships/chartColorStyle" Target="colors5.xml"/><Relationship Id="rId1" Type="http://schemas.microsoft.com/office/2011/relationships/chartStyle" Target="style5.xml"/></Relationships>
</file>

<file path=word/charts/_rels/chart70.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68.xml"/><Relationship Id="rId1" Type="http://schemas.microsoft.com/office/2011/relationships/chartStyle" Target="style68.xml"/></Relationships>
</file>

<file path=word/charts/_rels/chart71.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69.xml"/><Relationship Id="rId1" Type="http://schemas.microsoft.com/office/2011/relationships/chartStyle" Target="style69.xml"/></Relationships>
</file>

<file path=word/charts/_rels/chart72.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70.xml"/><Relationship Id="rId1" Type="http://schemas.microsoft.com/office/2011/relationships/chartStyle" Target="style70.xml"/></Relationships>
</file>

<file path=word/charts/_rels/chart73.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71.xml"/><Relationship Id="rId1" Type="http://schemas.microsoft.com/office/2011/relationships/chartStyle" Target="style71.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72.xml"/><Relationship Id="rId1" Type="http://schemas.microsoft.com/office/2011/relationships/chartStyle" Target="style72.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73.xml"/><Relationship Id="rId1" Type="http://schemas.microsoft.com/office/2011/relationships/chartStyle" Target="style73.xml"/></Relationships>
</file>

<file path=word/charts/_rels/chart76.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74.xml"/><Relationship Id="rId1" Type="http://schemas.microsoft.com/office/2011/relationships/chartStyle" Target="style74.xml"/></Relationships>
</file>

<file path=word/charts/_rels/chart77.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75.xml"/><Relationship Id="rId1" Type="http://schemas.microsoft.com/office/2011/relationships/chartStyle" Target="style75.xml"/></Relationships>
</file>

<file path=word/charts/_rels/chart78.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76.xml"/><Relationship Id="rId1" Type="http://schemas.microsoft.com/office/2011/relationships/chartStyle" Target="style76.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77.xml"/><Relationship Id="rId1" Type="http://schemas.microsoft.com/office/2011/relationships/chartStyle" Target="style77.xml"/></Relationships>
</file>

<file path=word/charts/_rels/chart8.xml.rels><?xml version="1.0" encoding="UTF-8" standalone="yes"?>
<Relationships xmlns="http://schemas.openxmlformats.org/package/2006/relationships"><Relationship Id="rId3" Type="http://schemas.openxmlformats.org/officeDocument/2006/relationships/oleObject" Target="file:///D:\Housing%20RIA\graphs.xlsx" TargetMode="External"/><Relationship Id="rId2" Type="http://schemas.microsoft.com/office/2011/relationships/chartColorStyle" Target="colors6.xml"/><Relationship Id="rId1" Type="http://schemas.microsoft.com/office/2011/relationships/chartStyle" Target="style6.xml"/></Relationships>
</file>

<file path=word/charts/_rels/chart80.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78.xml"/><Relationship Id="rId1" Type="http://schemas.microsoft.com/office/2011/relationships/chartStyle" Target="style78.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79.xml"/><Relationship Id="rId1" Type="http://schemas.microsoft.com/office/2011/relationships/chartStyle" Target="style79.xml"/></Relationships>
</file>

<file path=word/charts/_rels/chart82.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80.xml"/><Relationship Id="rId1" Type="http://schemas.microsoft.com/office/2011/relationships/chartStyle" Target="style80.xml"/></Relationships>
</file>

<file path=word/charts/_rels/chart83.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81.xml"/><Relationship Id="rId1" Type="http://schemas.microsoft.com/office/2011/relationships/chartStyle" Target="style81.xml"/></Relationships>
</file>

<file path=word/charts/_rels/chart84.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82.xml"/><Relationship Id="rId1" Type="http://schemas.microsoft.com/office/2011/relationships/chartStyle" Target="style82.xml"/></Relationships>
</file>

<file path=word/charts/_rels/chart85.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83.xml"/><Relationship Id="rId1" Type="http://schemas.microsoft.com/office/2011/relationships/chartStyle" Target="style83.xml"/></Relationships>
</file>

<file path=word/charts/_rels/chart86.xml.rels><?xml version="1.0" encoding="UTF-8" standalone="yes"?>
<Relationships xmlns="http://schemas.openxmlformats.org/package/2006/relationships"><Relationship Id="rId3" Type="http://schemas.openxmlformats.org/officeDocument/2006/relationships/oleObject" Target="file:///D:\Housing%20RIA\Merged%20Average%20Values%20for%20Ethnicity.xlsx" TargetMode="External"/><Relationship Id="rId2" Type="http://schemas.microsoft.com/office/2011/relationships/chartColorStyle" Target="colors84.xml"/><Relationship Id="rId1" Type="http://schemas.microsoft.com/office/2011/relationships/chartStyle" Target="style84.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85.xml"/><Relationship Id="rId1" Type="http://schemas.microsoft.com/office/2011/relationships/chartStyle" Target="style85.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86.xml"/><Relationship Id="rId1" Type="http://schemas.microsoft.com/office/2011/relationships/chartStyle" Target="style86.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87.xml"/><Relationship Id="rId1" Type="http://schemas.microsoft.com/office/2011/relationships/chartStyle" Target="style87.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7.xml"/><Relationship Id="rId1" Type="http://schemas.microsoft.com/office/2011/relationships/chartStyle" Target="style7.xml"/></Relationships>
</file>

<file path=word/charts/_rels/chart90.xml.rels><?xml version="1.0" encoding="UTF-8" standalone="yes"?>
<Relationships xmlns="http://schemas.openxmlformats.org/package/2006/relationships"><Relationship Id="rId3" Type="http://schemas.openxmlformats.org/officeDocument/2006/relationships/oleObject" Target="file:///C:\Users\npign\Downloads\Merged%20Average%20Values%20for%20Quartiles.xlsx" TargetMode="External"/><Relationship Id="rId2" Type="http://schemas.microsoft.com/office/2011/relationships/chartColorStyle" Target="colors88.xml"/><Relationship Id="rId1" Type="http://schemas.microsoft.com/office/2011/relationships/chartStyle" Target="style88.xml"/></Relationships>
</file>

<file path=word/charts/_rels/chart91.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89.xml"/><Relationship Id="rId1" Type="http://schemas.microsoft.com/office/2011/relationships/chartStyle" Target="style89.xml"/></Relationships>
</file>

<file path=word/charts/_rels/chart92.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90.xml"/><Relationship Id="rId1" Type="http://schemas.microsoft.com/office/2011/relationships/chartStyle" Target="style90.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91.xml"/><Relationship Id="rId1" Type="http://schemas.microsoft.com/office/2011/relationships/chartStyle" Target="style91.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92.xml"/><Relationship Id="rId1" Type="http://schemas.microsoft.com/office/2011/relationships/chartStyle" Target="style92.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93.xml"/><Relationship Id="rId1" Type="http://schemas.microsoft.com/office/2011/relationships/chartStyle" Target="style93.xml"/></Relationships>
</file>

<file path=word/charts/_rels/chart96.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94.xml"/><Relationship Id="rId1" Type="http://schemas.microsoft.com/office/2011/relationships/chartStyle" Target="style94.xml"/></Relationships>
</file>

<file path=word/charts/_rels/chart97.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95.xml"/><Relationship Id="rId1" Type="http://schemas.microsoft.com/office/2011/relationships/chartStyle" Target="style95.xml"/></Relationships>
</file>

<file path=word/charts/_rels/chart98.xml.rels><?xml version="1.0" encoding="UTF-8" standalone="yes"?>
<Relationships xmlns="http://schemas.openxmlformats.org/package/2006/relationships"><Relationship Id="rId3" Type="http://schemas.openxmlformats.org/officeDocument/2006/relationships/oleObject" Target="file:///C:\Users\npign\Downloads\Merged%20Average%20Values%20of%20Housing%20Exclusion%20Indicators.xlsx" TargetMode="External"/><Relationship Id="rId2" Type="http://schemas.microsoft.com/office/2011/relationships/chartColorStyle" Target="colors96.xml"/><Relationship Id="rId1" Type="http://schemas.microsoft.com/office/2011/relationships/chartStyle" Target="style96.xml"/></Relationships>
</file>

<file path=word/charts/_rels/chart99.xml.rels><?xml version="1.0" encoding="UTF-8" standalone="yes"?>
<Relationships xmlns="http://schemas.openxmlformats.org/package/2006/relationships"><Relationship Id="rId3" Type="http://schemas.openxmlformats.org/officeDocument/2006/relationships/oleObject" Target="file:///C:\Users\npign\Downloads\Merged%20Average%20Values%20for%20Ethnicity%20(1).xlsx" TargetMode="External"/><Relationship Id="rId2" Type="http://schemas.microsoft.com/office/2011/relationships/chartColorStyle" Target="colors97.xml"/><Relationship Id="rId1" Type="http://schemas.microsoft.com/office/2011/relationships/chartStyle" Target="style9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Sheet1!$F$32</c:f>
              <c:strCache>
                <c:ptCount val="1"/>
                <c:pt idx="0">
                  <c:v>Urban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Sheet1!$E$33:$E$44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Sheet1!$F$33:$F$44</c:f>
              <c:numCache>
                <c:formatCode>General</c:formatCode>
                <c:ptCount val="12"/>
                <c:pt idx="0">
                  <c:v>393.40916353055991</c:v>
                </c:pt>
                <c:pt idx="1">
                  <c:v>509.2868183770774</c:v>
                </c:pt>
                <c:pt idx="2">
                  <c:v>573.2615937976243</c:v>
                </c:pt>
                <c:pt idx="3">
                  <c:v>626.91884835517624</c:v>
                </c:pt>
                <c:pt idx="4">
                  <c:v>634.20264993749822</c:v>
                </c:pt>
                <c:pt idx="5">
                  <c:v>723.55178962904745</c:v>
                </c:pt>
                <c:pt idx="6">
                  <c:v>851.98209989146198</c:v>
                </c:pt>
                <c:pt idx="7">
                  <c:v>949.11395259745075</c:v>
                </c:pt>
                <c:pt idx="8">
                  <c:v>1007.467193244561</c:v>
                </c:pt>
                <c:pt idx="9">
                  <c:v>1041.2459555396258</c:v>
                </c:pt>
                <c:pt idx="10">
                  <c:v>1056.5575319006732</c:v>
                </c:pt>
                <c:pt idx="11">
                  <c:v>1087.3448576206431</c:v>
                </c:pt>
              </c:numCache>
            </c:numRef>
          </c:val>
          <c:smooth val="0"/>
          <c:extLst>
            <c:ext xmlns:c16="http://schemas.microsoft.com/office/drawing/2014/chart" uri="{C3380CC4-5D6E-409C-BE32-E72D297353CC}">
              <c16:uniqueId val="{00000000-077E-44C4-BFC7-405CAF375EFA}"/>
            </c:ext>
          </c:extLst>
        </c:ser>
        <c:ser>
          <c:idx val="1"/>
          <c:order val="1"/>
          <c:tx>
            <c:strRef>
              <c:f>Sheet1!$G$32</c:f>
              <c:strCache>
                <c:ptCount val="1"/>
                <c:pt idx="0">
                  <c:v>Rural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Sheet1!$E$33:$E$44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Sheet1!$G$33:$G$44</c:f>
              <c:numCache>
                <c:formatCode>0.0</c:formatCode>
                <c:ptCount val="12"/>
                <c:pt idx="0">
                  <c:v>343.10852800484264</c:v>
                </c:pt>
                <c:pt idx="1">
                  <c:v>417.55991764929166</c:v>
                </c:pt>
                <c:pt idx="2">
                  <c:v>446.53794228289985</c:v>
                </c:pt>
                <c:pt idx="3">
                  <c:v>492.0591131168153</c:v>
                </c:pt>
                <c:pt idx="4">
                  <c:v>566.2380022817631</c:v>
                </c:pt>
                <c:pt idx="5">
                  <c:v>615.58075139286314</c:v>
                </c:pt>
                <c:pt idx="6">
                  <c:v>683.81626435320322</c:v>
                </c:pt>
                <c:pt idx="7">
                  <c:v>758.81589088247449</c:v>
                </c:pt>
                <c:pt idx="8">
                  <c:v>780.56732484873407</c:v>
                </c:pt>
                <c:pt idx="9">
                  <c:v>805.24451446132605</c:v>
                </c:pt>
                <c:pt idx="10">
                  <c:v>809.3862040634649</c:v>
                </c:pt>
                <c:pt idx="11">
                  <c:v>880.30331190767731</c:v>
                </c:pt>
              </c:numCache>
            </c:numRef>
          </c:val>
          <c:smooth val="0"/>
          <c:extLst>
            <c:ext xmlns:c16="http://schemas.microsoft.com/office/drawing/2014/chart" uri="{C3380CC4-5D6E-409C-BE32-E72D297353CC}">
              <c16:uniqueId val="{00000001-077E-44C4-BFC7-405CAF375EFA}"/>
            </c:ext>
          </c:extLst>
        </c:ser>
        <c:dLbls>
          <c:showLegendKey val="0"/>
          <c:showVal val="0"/>
          <c:showCatName val="0"/>
          <c:showSerName val="0"/>
          <c:showPercent val="0"/>
          <c:showBubbleSize val="0"/>
        </c:dLbls>
        <c:marker val="1"/>
        <c:smooth val="0"/>
        <c:axId val="1804773664"/>
        <c:axId val="1804780192"/>
      </c:lineChart>
      <c:catAx>
        <c:axId val="180477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80192"/>
        <c:crosses val="autoZero"/>
        <c:auto val="1"/>
        <c:lblAlgn val="ctr"/>
        <c:lblOffset val="100"/>
        <c:noMultiLvlLbl val="0"/>
      </c:catAx>
      <c:valAx>
        <c:axId val="180478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73664"/>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multiLvlStrRef>
              <c:f>Sheet1!$B$3:$EC$4</c:f>
              <c:multiLvlStrCache>
                <c:ptCount val="132"/>
                <c:lvl>
                  <c:pt idx="0">
                    <c:v>I</c:v>
                  </c:pt>
                  <c:pt idx="1">
                    <c:v>II</c:v>
                  </c:pt>
                  <c:pt idx="2">
                    <c:v>III</c:v>
                  </c:pt>
                  <c:pt idx="3">
                    <c:v>IV</c:v>
                  </c:pt>
                  <c:pt idx="4">
                    <c:v>V</c:v>
                  </c:pt>
                  <c:pt idx="5">
                    <c:v>VI</c:v>
                  </c:pt>
                  <c:pt idx="6">
                    <c:v>VII</c:v>
                  </c:pt>
                  <c:pt idx="7">
                    <c:v>VIII</c:v>
                  </c:pt>
                  <c:pt idx="8">
                    <c:v>IX</c:v>
                  </c:pt>
                  <c:pt idx="9">
                    <c:v>X</c:v>
                  </c:pt>
                  <c:pt idx="10">
                    <c:v>XI</c:v>
                  </c:pt>
                  <c:pt idx="11">
                    <c:v>XII</c:v>
                  </c:pt>
                  <c:pt idx="12">
                    <c:v>I</c:v>
                  </c:pt>
                  <c:pt idx="13">
                    <c:v>II</c:v>
                  </c:pt>
                  <c:pt idx="14">
                    <c:v>III</c:v>
                  </c:pt>
                  <c:pt idx="15">
                    <c:v>IV</c:v>
                  </c:pt>
                  <c:pt idx="16">
                    <c:v>V</c:v>
                  </c:pt>
                  <c:pt idx="17">
                    <c:v>VI</c:v>
                  </c:pt>
                  <c:pt idx="18">
                    <c:v>VII</c:v>
                  </c:pt>
                  <c:pt idx="19">
                    <c:v>VIII</c:v>
                  </c:pt>
                  <c:pt idx="20">
                    <c:v>IX</c:v>
                  </c:pt>
                  <c:pt idx="21">
                    <c:v>X</c:v>
                  </c:pt>
                  <c:pt idx="22">
                    <c:v>XI</c:v>
                  </c:pt>
                  <c:pt idx="23">
                    <c:v>XII</c:v>
                  </c:pt>
                  <c:pt idx="24">
                    <c:v>I</c:v>
                  </c:pt>
                  <c:pt idx="25">
                    <c:v>II</c:v>
                  </c:pt>
                  <c:pt idx="26">
                    <c:v>III</c:v>
                  </c:pt>
                  <c:pt idx="27">
                    <c:v>IV</c:v>
                  </c:pt>
                  <c:pt idx="28">
                    <c:v>V</c:v>
                  </c:pt>
                  <c:pt idx="29">
                    <c:v>VI</c:v>
                  </c:pt>
                  <c:pt idx="30">
                    <c:v>VII</c:v>
                  </c:pt>
                  <c:pt idx="31">
                    <c:v>VIII</c:v>
                  </c:pt>
                  <c:pt idx="32">
                    <c:v>IX</c:v>
                  </c:pt>
                  <c:pt idx="33">
                    <c:v>X</c:v>
                  </c:pt>
                  <c:pt idx="34">
                    <c:v>XI</c:v>
                  </c:pt>
                  <c:pt idx="35">
                    <c:v>XII</c:v>
                  </c:pt>
                  <c:pt idx="36">
                    <c:v>I</c:v>
                  </c:pt>
                  <c:pt idx="37">
                    <c:v>II</c:v>
                  </c:pt>
                  <c:pt idx="38">
                    <c:v>III</c:v>
                  </c:pt>
                  <c:pt idx="39">
                    <c:v>IV</c:v>
                  </c:pt>
                  <c:pt idx="40">
                    <c:v>V</c:v>
                  </c:pt>
                  <c:pt idx="41">
                    <c:v>VI</c:v>
                  </c:pt>
                  <c:pt idx="42">
                    <c:v>VII</c:v>
                  </c:pt>
                  <c:pt idx="43">
                    <c:v>VIII</c:v>
                  </c:pt>
                  <c:pt idx="44">
                    <c:v>IX</c:v>
                  </c:pt>
                  <c:pt idx="45">
                    <c:v>X</c:v>
                  </c:pt>
                  <c:pt idx="46">
                    <c:v>XI</c:v>
                  </c:pt>
                  <c:pt idx="47">
                    <c:v>XII</c:v>
                  </c:pt>
                  <c:pt idx="48">
                    <c:v>I</c:v>
                  </c:pt>
                  <c:pt idx="49">
                    <c:v>II</c:v>
                  </c:pt>
                  <c:pt idx="50">
                    <c:v>III</c:v>
                  </c:pt>
                  <c:pt idx="51">
                    <c:v>IV</c:v>
                  </c:pt>
                  <c:pt idx="52">
                    <c:v>V</c:v>
                  </c:pt>
                  <c:pt idx="53">
                    <c:v>VI</c:v>
                  </c:pt>
                  <c:pt idx="54">
                    <c:v>VII</c:v>
                  </c:pt>
                  <c:pt idx="55">
                    <c:v>VIII</c:v>
                  </c:pt>
                  <c:pt idx="56">
                    <c:v>IX</c:v>
                  </c:pt>
                  <c:pt idx="57">
                    <c:v>X</c:v>
                  </c:pt>
                  <c:pt idx="58">
                    <c:v>XI</c:v>
                  </c:pt>
                  <c:pt idx="59">
                    <c:v>XII</c:v>
                  </c:pt>
                  <c:pt idx="60">
                    <c:v>I</c:v>
                  </c:pt>
                  <c:pt idx="61">
                    <c:v>II</c:v>
                  </c:pt>
                  <c:pt idx="62">
                    <c:v>III</c:v>
                  </c:pt>
                  <c:pt idx="63">
                    <c:v>IV</c:v>
                  </c:pt>
                  <c:pt idx="64">
                    <c:v>V</c:v>
                  </c:pt>
                  <c:pt idx="65">
                    <c:v>VI</c:v>
                  </c:pt>
                  <c:pt idx="66">
                    <c:v>VII</c:v>
                  </c:pt>
                  <c:pt idx="67">
                    <c:v>VIII</c:v>
                  </c:pt>
                  <c:pt idx="68">
                    <c:v>IX</c:v>
                  </c:pt>
                  <c:pt idx="69">
                    <c:v>X</c:v>
                  </c:pt>
                  <c:pt idx="70">
                    <c:v>XI</c:v>
                  </c:pt>
                  <c:pt idx="71">
                    <c:v>XII</c:v>
                  </c:pt>
                  <c:pt idx="72">
                    <c:v>I</c:v>
                  </c:pt>
                  <c:pt idx="73">
                    <c:v>II</c:v>
                  </c:pt>
                  <c:pt idx="74">
                    <c:v>III</c:v>
                  </c:pt>
                  <c:pt idx="75">
                    <c:v>IV</c:v>
                  </c:pt>
                  <c:pt idx="76">
                    <c:v>V</c:v>
                  </c:pt>
                  <c:pt idx="77">
                    <c:v>VI</c:v>
                  </c:pt>
                  <c:pt idx="78">
                    <c:v>VII</c:v>
                  </c:pt>
                  <c:pt idx="79">
                    <c:v>VIII</c:v>
                  </c:pt>
                  <c:pt idx="80">
                    <c:v>IX</c:v>
                  </c:pt>
                  <c:pt idx="81">
                    <c:v>X</c:v>
                  </c:pt>
                  <c:pt idx="82">
                    <c:v>XI</c:v>
                  </c:pt>
                  <c:pt idx="83">
                    <c:v>XII</c:v>
                  </c:pt>
                  <c:pt idx="84">
                    <c:v>I</c:v>
                  </c:pt>
                  <c:pt idx="85">
                    <c:v>II</c:v>
                  </c:pt>
                  <c:pt idx="86">
                    <c:v>III</c:v>
                  </c:pt>
                  <c:pt idx="87">
                    <c:v>IV</c:v>
                  </c:pt>
                  <c:pt idx="88">
                    <c:v>V</c:v>
                  </c:pt>
                  <c:pt idx="89">
                    <c:v>VI</c:v>
                  </c:pt>
                  <c:pt idx="90">
                    <c:v>VII</c:v>
                  </c:pt>
                  <c:pt idx="91">
                    <c:v>VIII</c:v>
                  </c:pt>
                  <c:pt idx="92">
                    <c:v>IX</c:v>
                  </c:pt>
                  <c:pt idx="93">
                    <c:v>X</c:v>
                  </c:pt>
                  <c:pt idx="94">
                    <c:v>XI</c:v>
                  </c:pt>
                  <c:pt idx="95">
                    <c:v>XII</c:v>
                  </c:pt>
                  <c:pt idx="96">
                    <c:v>I</c:v>
                  </c:pt>
                  <c:pt idx="97">
                    <c:v>II</c:v>
                  </c:pt>
                  <c:pt idx="98">
                    <c:v>III</c:v>
                  </c:pt>
                  <c:pt idx="99">
                    <c:v>IV</c:v>
                  </c:pt>
                  <c:pt idx="100">
                    <c:v>V</c:v>
                  </c:pt>
                  <c:pt idx="101">
                    <c:v>VI</c:v>
                  </c:pt>
                  <c:pt idx="102">
                    <c:v>VII</c:v>
                  </c:pt>
                  <c:pt idx="103">
                    <c:v>VIII</c:v>
                  </c:pt>
                  <c:pt idx="104">
                    <c:v>IX</c:v>
                  </c:pt>
                  <c:pt idx="105">
                    <c:v>X</c:v>
                  </c:pt>
                  <c:pt idx="106">
                    <c:v>XI</c:v>
                  </c:pt>
                  <c:pt idx="107">
                    <c:v>XII</c:v>
                  </c:pt>
                  <c:pt idx="108">
                    <c:v>I</c:v>
                  </c:pt>
                  <c:pt idx="109">
                    <c:v>II</c:v>
                  </c:pt>
                  <c:pt idx="110">
                    <c:v>III</c:v>
                  </c:pt>
                  <c:pt idx="111">
                    <c:v>IV</c:v>
                  </c:pt>
                  <c:pt idx="112">
                    <c:v>V</c:v>
                  </c:pt>
                  <c:pt idx="113">
                    <c:v>VI</c:v>
                  </c:pt>
                  <c:pt idx="114">
                    <c:v>VII</c:v>
                  </c:pt>
                  <c:pt idx="115">
                    <c:v>VIII</c:v>
                  </c:pt>
                  <c:pt idx="116">
                    <c:v>IX</c:v>
                  </c:pt>
                  <c:pt idx="117">
                    <c:v>X</c:v>
                  </c:pt>
                  <c:pt idx="118">
                    <c:v>XI</c:v>
                  </c:pt>
                  <c:pt idx="119">
                    <c:v>XII</c:v>
                  </c:pt>
                  <c:pt idx="120">
                    <c:v>I</c:v>
                  </c:pt>
                  <c:pt idx="121">
                    <c:v>II</c:v>
                  </c:pt>
                  <c:pt idx="122">
                    <c:v>III</c:v>
                  </c:pt>
                  <c:pt idx="123">
                    <c:v>IV</c:v>
                  </c:pt>
                  <c:pt idx="124">
                    <c:v>V</c:v>
                  </c:pt>
                  <c:pt idx="125">
                    <c:v>VI</c:v>
                  </c:pt>
                  <c:pt idx="126">
                    <c:v>VII</c:v>
                  </c:pt>
                  <c:pt idx="127">
                    <c:v>VIII</c:v>
                  </c:pt>
                  <c:pt idx="128">
                    <c:v>IX</c:v>
                  </c:pt>
                  <c:pt idx="129">
                    <c:v>X</c:v>
                  </c:pt>
                  <c:pt idx="130">
                    <c:v>XI</c:v>
                  </c:pt>
                  <c:pt idx="131">
                    <c:v>XII</c:v>
                  </c:pt>
                </c:lvl>
                <c:lvl>
                  <c:pt idx="0">
                    <c:v>2008</c:v>
                  </c:pt>
                  <c:pt idx="12">
                    <c:v>2009</c:v>
                  </c:pt>
                  <c:pt idx="24">
                    <c:v>2010</c:v>
                  </c:pt>
                  <c:pt idx="36">
                    <c:v>2011</c:v>
                  </c:pt>
                  <c:pt idx="48">
                    <c:v>2012</c:v>
                  </c:pt>
                  <c:pt idx="60">
                    <c:v>2013</c:v>
                  </c:pt>
                  <c:pt idx="72">
                    <c:v>2014</c:v>
                  </c:pt>
                  <c:pt idx="84">
                    <c:v>2015</c:v>
                  </c:pt>
                  <c:pt idx="96">
                    <c:v>2016</c:v>
                  </c:pt>
                  <c:pt idx="108">
                    <c:v>2017</c:v>
                  </c:pt>
                  <c:pt idx="120">
                    <c:v>2018</c:v>
                  </c:pt>
                </c:lvl>
              </c:multiLvlStrCache>
            </c:multiLvlStrRef>
          </c:cat>
          <c:val>
            <c:numRef>
              <c:f>Sheet1!$B$5:$EC$5</c:f>
              <c:numCache>
                <c:formatCode>#,##0.0</c:formatCode>
                <c:ptCount val="132"/>
                <c:pt idx="0">
                  <c:v>91.892200000000003</c:v>
                </c:pt>
                <c:pt idx="1">
                  <c:v>93.534700000000001</c:v>
                </c:pt>
                <c:pt idx="2">
                  <c:v>95.899299999999997</c:v>
                </c:pt>
                <c:pt idx="3">
                  <c:v>100.92619999999999</c:v>
                </c:pt>
                <c:pt idx="4">
                  <c:v>106.2419</c:v>
                </c:pt>
                <c:pt idx="5">
                  <c:v>109.5992</c:v>
                </c:pt>
                <c:pt idx="6">
                  <c:v>112.081</c:v>
                </c:pt>
                <c:pt idx="7">
                  <c:v>114.229</c:v>
                </c:pt>
                <c:pt idx="8">
                  <c:v>114.9058</c:v>
                </c:pt>
                <c:pt idx="9">
                  <c:v>112.09910000000001</c:v>
                </c:pt>
                <c:pt idx="10">
                  <c:v>111.8283</c:v>
                </c:pt>
                <c:pt idx="11">
                  <c:v>109.78870000000001</c:v>
                </c:pt>
                <c:pt idx="12">
                  <c:v>106.71120000000001</c:v>
                </c:pt>
                <c:pt idx="13">
                  <c:v>105.2311</c:v>
                </c:pt>
                <c:pt idx="14">
                  <c:v>104.3557</c:v>
                </c:pt>
                <c:pt idx="15">
                  <c:v>100.7818</c:v>
                </c:pt>
                <c:pt idx="16">
                  <c:v>99.798100000000005</c:v>
                </c:pt>
                <c:pt idx="17">
                  <c:v>99.094099999999997</c:v>
                </c:pt>
                <c:pt idx="18">
                  <c:v>95.890199999999993</c:v>
                </c:pt>
                <c:pt idx="19">
                  <c:v>96.476900000000001</c:v>
                </c:pt>
                <c:pt idx="20">
                  <c:v>96.350499999999997</c:v>
                </c:pt>
                <c:pt idx="21">
                  <c:v>96.513000000000005</c:v>
                </c:pt>
                <c:pt idx="22">
                  <c:v>97.307199999999995</c:v>
                </c:pt>
                <c:pt idx="23">
                  <c:v>96.964200000000005</c:v>
                </c:pt>
                <c:pt idx="24">
                  <c:v>97.6721</c:v>
                </c:pt>
                <c:pt idx="25">
                  <c:v>97.769000000000005</c:v>
                </c:pt>
                <c:pt idx="26">
                  <c:v>98.292599999999993</c:v>
                </c:pt>
                <c:pt idx="27">
                  <c:v>98.632000000000005</c:v>
                </c:pt>
                <c:pt idx="28">
                  <c:v>100.73609999999999</c:v>
                </c:pt>
                <c:pt idx="29">
                  <c:v>100.7458</c:v>
                </c:pt>
                <c:pt idx="30">
                  <c:v>100.5519</c:v>
                </c:pt>
                <c:pt idx="31">
                  <c:v>99.310699999999997</c:v>
                </c:pt>
                <c:pt idx="32">
                  <c:v>102.2197</c:v>
                </c:pt>
                <c:pt idx="33">
                  <c:v>101.5894</c:v>
                </c:pt>
                <c:pt idx="34">
                  <c:v>101.07550000000001</c:v>
                </c:pt>
                <c:pt idx="35">
                  <c:v>101.40519999999999</c:v>
                </c:pt>
                <c:pt idx="36">
                  <c:v>101.88030000000001</c:v>
                </c:pt>
                <c:pt idx="37">
                  <c:v>101.4924</c:v>
                </c:pt>
                <c:pt idx="38">
                  <c:v>102.3942</c:v>
                </c:pt>
                <c:pt idx="39">
                  <c:v>102.5009</c:v>
                </c:pt>
                <c:pt idx="40">
                  <c:v>102.6754</c:v>
                </c:pt>
                <c:pt idx="41">
                  <c:v>102.6948</c:v>
                </c:pt>
                <c:pt idx="42">
                  <c:v>103.0827</c:v>
                </c:pt>
                <c:pt idx="43">
                  <c:v>103.20869999999999</c:v>
                </c:pt>
                <c:pt idx="44">
                  <c:v>103.20869999999999</c:v>
                </c:pt>
                <c:pt idx="45">
                  <c:v>103.9456</c:v>
                </c:pt>
                <c:pt idx="46">
                  <c:v>104.81829999999999</c:v>
                </c:pt>
                <c:pt idx="47">
                  <c:v>104.6341</c:v>
                </c:pt>
                <c:pt idx="48">
                  <c:v>104.5763</c:v>
                </c:pt>
                <c:pt idx="49">
                  <c:v>105.5355</c:v>
                </c:pt>
                <c:pt idx="50">
                  <c:v>105.0921</c:v>
                </c:pt>
                <c:pt idx="51">
                  <c:v>104.98350000000001</c:v>
                </c:pt>
                <c:pt idx="52">
                  <c:v>106.0467</c:v>
                </c:pt>
                <c:pt idx="53">
                  <c:v>105.9365</c:v>
                </c:pt>
                <c:pt idx="54">
                  <c:v>105.39960000000001</c:v>
                </c:pt>
                <c:pt idx="55">
                  <c:v>105.24809999999999</c:v>
                </c:pt>
                <c:pt idx="56">
                  <c:v>105.0459</c:v>
                </c:pt>
                <c:pt idx="57">
                  <c:v>103.6893</c:v>
                </c:pt>
                <c:pt idx="58">
                  <c:v>103.4731</c:v>
                </c:pt>
                <c:pt idx="59">
                  <c:v>103.6225</c:v>
                </c:pt>
                <c:pt idx="60">
                  <c:v>103.4944</c:v>
                </c:pt>
                <c:pt idx="61">
                  <c:v>102.71250000000001</c:v>
                </c:pt>
                <c:pt idx="62">
                  <c:v>101.7478</c:v>
                </c:pt>
                <c:pt idx="63">
                  <c:v>101.77809999999999</c:v>
                </c:pt>
                <c:pt idx="64">
                  <c:v>101.2255</c:v>
                </c:pt>
                <c:pt idx="65">
                  <c:v>100.8599</c:v>
                </c:pt>
                <c:pt idx="66">
                  <c:v>101.039</c:v>
                </c:pt>
                <c:pt idx="67">
                  <c:v>100.6207</c:v>
                </c:pt>
                <c:pt idx="68">
                  <c:v>101.0609</c:v>
                </c:pt>
                <c:pt idx="69">
                  <c:v>100.6921</c:v>
                </c:pt>
                <c:pt idx="70">
                  <c:v>100.93</c:v>
                </c:pt>
                <c:pt idx="71">
                  <c:v>100.98480000000001</c:v>
                </c:pt>
                <c:pt idx="72">
                  <c:v>101.4735</c:v>
                </c:pt>
                <c:pt idx="73">
                  <c:v>100.6315</c:v>
                </c:pt>
                <c:pt idx="74">
                  <c:v>101.9101</c:v>
                </c:pt>
                <c:pt idx="75">
                  <c:v>103.4194</c:v>
                </c:pt>
                <c:pt idx="76">
                  <c:v>102.3186</c:v>
                </c:pt>
                <c:pt idx="77">
                  <c:v>102.1405</c:v>
                </c:pt>
                <c:pt idx="78">
                  <c:v>102.7051</c:v>
                </c:pt>
                <c:pt idx="79">
                  <c:v>101.7795</c:v>
                </c:pt>
                <c:pt idx="80">
                  <c:v>101.8927</c:v>
                </c:pt>
                <c:pt idx="81">
                  <c:v>101.6202</c:v>
                </c:pt>
                <c:pt idx="82">
                  <c:v>101.5166</c:v>
                </c:pt>
                <c:pt idx="83">
                  <c:v>101.75839999999999</c:v>
                </c:pt>
                <c:pt idx="84">
                  <c:v>101.6026</c:v>
                </c:pt>
                <c:pt idx="85">
                  <c:v>100.91679999999999</c:v>
                </c:pt>
                <c:pt idx="86">
                  <c:v>100.679</c:v>
                </c:pt>
                <c:pt idx="87">
                  <c:v>101.1332</c:v>
                </c:pt>
                <c:pt idx="88">
                  <c:v>101.06189999999999</c:v>
                </c:pt>
                <c:pt idx="89">
                  <c:v>102.4426</c:v>
                </c:pt>
                <c:pt idx="90">
                  <c:v>102.49939999999999</c:v>
                </c:pt>
                <c:pt idx="91">
                  <c:v>102.95780000000001</c:v>
                </c:pt>
                <c:pt idx="92">
                  <c:v>104.6532</c:v>
                </c:pt>
                <c:pt idx="93">
                  <c:v>104.5402</c:v>
                </c:pt>
                <c:pt idx="94">
                  <c:v>104.6208</c:v>
                </c:pt>
                <c:pt idx="95">
                  <c:v>103.88679999999999</c:v>
                </c:pt>
                <c:pt idx="96">
                  <c:v>102.17400000000001</c:v>
                </c:pt>
                <c:pt idx="97">
                  <c:v>101.2377</c:v>
                </c:pt>
                <c:pt idx="98">
                  <c:v>101.00539999999999</c:v>
                </c:pt>
                <c:pt idx="99">
                  <c:v>100.7321</c:v>
                </c:pt>
                <c:pt idx="100">
                  <c:v>102.241</c:v>
                </c:pt>
                <c:pt idx="101">
                  <c:v>102.50790000000001</c:v>
                </c:pt>
                <c:pt idx="102">
                  <c:v>102.6292</c:v>
                </c:pt>
                <c:pt idx="103">
                  <c:v>103.28789999999999</c:v>
                </c:pt>
                <c:pt idx="104">
                  <c:v>103.0197</c:v>
                </c:pt>
                <c:pt idx="105">
                  <c:v>103.0324</c:v>
                </c:pt>
                <c:pt idx="106">
                  <c:v>105.67610000000001</c:v>
                </c:pt>
                <c:pt idx="107">
                  <c:v>106.8185</c:v>
                </c:pt>
                <c:pt idx="108">
                  <c:v>109.0201</c:v>
                </c:pt>
                <c:pt idx="109">
                  <c:v>110.1217</c:v>
                </c:pt>
                <c:pt idx="110">
                  <c:v>108.7063</c:v>
                </c:pt>
                <c:pt idx="111">
                  <c:v>108.4914</c:v>
                </c:pt>
                <c:pt idx="112">
                  <c:v>108.5538</c:v>
                </c:pt>
                <c:pt idx="113">
                  <c:v>108.48009999999999</c:v>
                </c:pt>
                <c:pt idx="114">
                  <c:v>109.3389</c:v>
                </c:pt>
                <c:pt idx="115">
                  <c:v>110.8663</c:v>
                </c:pt>
                <c:pt idx="116">
                  <c:v>112.2864</c:v>
                </c:pt>
                <c:pt idx="117">
                  <c:v>113.7389</c:v>
                </c:pt>
                <c:pt idx="118">
                  <c:v>114.4042</c:v>
                </c:pt>
                <c:pt idx="119">
                  <c:v>116.04</c:v>
                </c:pt>
                <c:pt idx="120">
                  <c:v>116.36499999999999</c:v>
                </c:pt>
                <c:pt idx="121">
                  <c:v>116.0461</c:v>
                </c:pt>
                <c:pt idx="122">
                  <c:v>115.0407</c:v>
                </c:pt>
                <c:pt idx="123">
                  <c:v>115.7111</c:v>
                </c:pt>
                <c:pt idx="124">
                  <c:v>115.5616</c:v>
                </c:pt>
                <c:pt idx="125">
                  <c:v>115.66370000000001</c:v>
                </c:pt>
                <c:pt idx="126">
                  <c:v>115.511</c:v>
                </c:pt>
                <c:pt idx="127">
                  <c:v>117.73650000000001</c:v>
                </c:pt>
                <c:pt idx="128">
                  <c:v>118.51519999999999</c:v>
                </c:pt>
                <c:pt idx="129">
                  <c:v>123.63809999999999</c:v>
                </c:pt>
                <c:pt idx="130">
                  <c:v>125.6981</c:v>
                </c:pt>
                <c:pt idx="131">
                  <c:v>125.6379</c:v>
                </c:pt>
              </c:numCache>
            </c:numRef>
          </c:val>
          <c:smooth val="0"/>
          <c:extLst>
            <c:ext xmlns:c16="http://schemas.microsoft.com/office/drawing/2014/chart" uri="{C3380CC4-5D6E-409C-BE32-E72D297353CC}">
              <c16:uniqueId val="{00000000-5722-4155-A4ED-A6A75540C1A8}"/>
            </c:ext>
          </c:extLst>
        </c:ser>
        <c:dLbls>
          <c:showLegendKey val="0"/>
          <c:showVal val="0"/>
          <c:showCatName val="0"/>
          <c:showSerName val="0"/>
          <c:showPercent val="0"/>
          <c:showBubbleSize val="0"/>
        </c:dLbls>
        <c:smooth val="0"/>
        <c:axId val="1804792704"/>
        <c:axId val="1804793248"/>
      </c:lineChart>
      <c:catAx>
        <c:axId val="1804792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3248"/>
        <c:crosses val="autoZero"/>
        <c:auto val="1"/>
        <c:lblAlgn val="ctr"/>
        <c:lblOffset val="100"/>
        <c:noMultiLvlLbl val="0"/>
      </c:catAx>
      <c:valAx>
        <c:axId val="18047932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2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Unaffordablerent1!$P$3</c:f>
              <c:strCache>
                <c:ptCount val="1"/>
                <c:pt idx="0">
                  <c:v>Georgian families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Unaffordablerent1!$Q$3:$AB$3</c:f>
              <c:numCache>
                <c:formatCode>0.00%</c:formatCode>
                <c:ptCount val="12"/>
                <c:pt idx="0">
                  <c:v>5.6459453832596984E-2</c:v>
                </c:pt>
                <c:pt idx="1">
                  <c:v>5.0538961849102892E-2</c:v>
                </c:pt>
                <c:pt idx="2">
                  <c:v>5.6191080008389252E-2</c:v>
                </c:pt>
                <c:pt idx="3">
                  <c:v>4.4748737612696148E-2</c:v>
                </c:pt>
                <c:pt idx="4">
                  <c:v>2.9451605061554614E-2</c:v>
                </c:pt>
                <c:pt idx="5">
                  <c:v>2.2668536394209345E-2</c:v>
                </c:pt>
                <c:pt idx="6">
                  <c:v>1.9621292485503757E-2</c:v>
                </c:pt>
                <c:pt idx="7">
                  <c:v>1.4629613814285153E-2</c:v>
                </c:pt>
                <c:pt idx="8">
                  <c:v>1.5972214091208539E-2</c:v>
                </c:pt>
                <c:pt idx="9">
                  <c:v>1.6108531697669404E-2</c:v>
                </c:pt>
                <c:pt idx="10">
                  <c:v>7.8486749890065738E-2</c:v>
                </c:pt>
                <c:pt idx="11">
                  <c:v>6.4899171998143393E-2</c:v>
                </c:pt>
              </c:numCache>
            </c:numRef>
          </c:val>
          <c:smooth val="0"/>
          <c:extLst>
            <c:ext xmlns:c16="http://schemas.microsoft.com/office/drawing/2014/chart" uri="{C3380CC4-5D6E-409C-BE32-E72D297353CC}">
              <c16:uniqueId val="{00000000-4E11-4DF9-A2EC-FA38623B37E7}"/>
            </c:ext>
          </c:extLst>
        </c:ser>
        <c:ser>
          <c:idx val="1"/>
          <c:order val="1"/>
          <c:tx>
            <c:strRef>
              <c:f>Unaffordablerent1!$P$4</c:f>
              <c:strCache>
                <c:ptCount val="1"/>
                <c:pt idx="0">
                  <c:v>Non-Georgian families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Unaffordablerent1!$Q$4:$AB$4</c:f>
              <c:numCache>
                <c:formatCode>0.0%</c:formatCode>
                <c:ptCount val="12"/>
                <c:pt idx="0">
                  <c:v>1.2871313420433324E-2</c:v>
                </c:pt>
                <c:pt idx="1">
                  <c:v>1.4004063365925707E-2</c:v>
                </c:pt>
                <c:pt idx="2">
                  <c:v>2.4327638478793712E-2</c:v>
                </c:pt>
                <c:pt idx="3">
                  <c:v>2.8771204429618787E-2</c:v>
                </c:pt>
                <c:pt idx="4">
                  <c:v>1.0479876071650452E-2</c:v>
                </c:pt>
                <c:pt idx="5">
                  <c:v>1.6604526425954998E-2</c:v>
                </c:pt>
                <c:pt idx="6">
                  <c:v>9.8039215686274508E-4</c:v>
                </c:pt>
                <c:pt idx="7">
                  <c:v>9.025270758122744E-4</c:v>
                </c:pt>
                <c:pt idx="8">
                  <c:v>9.0132559169752643E-3</c:v>
                </c:pt>
                <c:pt idx="9">
                  <c:v>5.8828377086733745E-3</c:v>
                </c:pt>
                <c:pt idx="10">
                  <c:v>3.0077186459685802E-2</c:v>
                </c:pt>
                <c:pt idx="11">
                  <c:v>1.0982622396776715E-2</c:v>
                </c:pt>
              </c:numCache>
            </c:numRef>
          </c:val>
          <c:smooth val="0"/>
          <c:extLst>
            <c:ext xmlns:c16="http://schemas.microsoft.com/office/drawing/2014/chart" uri="{C3380CC4-5D6E-409C-BE32-E72D297353CC}">
              <c16:uniqueId val="{00000001-4E11-4DF9-A2EC-FA38623B37E7}"/>
            </c:ext>
          </c:extLst>
        </c:ser>
        <c:ser>
          <c:idx val="2"/>
          <c:order val="2"/>
          <c:tx>
            <c:strRef>
              <c:f>Unaffordablerent1!$P$5</c:f>
              <c:strCache>
                <c:ptCount val="1"/>
                <c:pt idx="0">
                  <c:v>Mixed families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Unaffordablerent1!$Q$5:$AB$5</c:f>
              <c:numCache>
                <c:formatCode>0.0%</c:formatCode>
                <c:ptCount val="12"/>
                <c:pt idx="0">
                  <c:v>2.7777777777777776E-2</c:v>
                </c:pt>
                <c:pt idx="1">
                  <c:v>5.6913293923891509E-2</c:v>
                </c:pt>
                <c:pt idx="2">
                  <c:v>3.7119955776672195E-2</c:v>
                </c:pt>
                <c:pt idx="3">
                  <c:v>2.1682597961655586E-2</c:v>
                </c:pt>
                <c:pt idx="4">
                  <c:v>2.0955882352941178E-2</c:v>
                </c:pt>
                <c:pt idx="5">
                  <c:v>3.3651960784313734E-2</c:v>
                </c:pt>
                <c:pt idx="6">
                  <c:v>5.0000000000000001E-3</c:v>
                </c:pt>
                <c:pt idx="7">
                  <c:v>0</c:v>
                </c:pt>
                <c:pt idx="8">
                  <c:v>0</c:v>
                </c:pt>
                <c:pt idx="9">
                  <c:v>2.6578947368421053E-2</c:v>
                </c:pt>
                <c:pt idx="10">
                  <c:v>9.2740676170370892E-2</c:v>
                </c:pt>
                <c:pt idx="11">
                  <c:v>0.11645715395715396</c:v>
                </c:pt>
              </c:numCache>
            </c:numRef>
          </c:val>
          <c:smooth val="0"/>
          <c:extLst>
            <c:ext xmlns:c16="http://schemas.microsoft.com/office/drawing/2014/chart" uri="{C3380CC4-5D6E-409C-BE32-E72D297353CC}">
              <c16:uniqueId val="{00000002-4E11-4DF9-A2EC-FA38623B37E7}"/>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Unaffordableexp1!$A$3</c:f>
              <c:strCache>
                <c:ptCount val="1"/>
                <c:pt idx="0">
                  <c:v>Georgian families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Unaffordableexp1!$B$3:$M$3</c:f>
              <c:numCache>
                <c:formatCode>0.0%</c:formatCode>
                <c:ptCount val="12"/>
                <c:pt idx="0">
                  <c:v>0.30071625895488796</c:v>
                </c:pt>
                <c:pt idx="1">
                  <c:v>0.2506706271945951</c:v>
                </c:pt>
                <c:pt idx="2">
                  <c:v>0.21648474920947075</c:v>
                </c:pt>
                <c:pt idx="3">
                  <c:v>0.1960435798155363</c:v>
                </c:pt>
                <c:pt idx="4">
                  <c:v>0.21640668305441851</c:v>
                </c:pt>
                <c:pt idx="5">
                  <c:v>0.20467251211751117</c:v>
                </c:pt>
                <c:pt idx="6">
                  <c:v>0.18410685026178528</c:v>
                </c:pt>
                <c:pt idx="7">
                  <c:v>0.18550182125127371</c:v>
                </c:pt>
                <c:pt idx="8">
                  <c:v>0.18392644588426238</c:v>
                </c:pt>
                <c:pt idx="9">
                  <c:v>0.18428211240107353</c:v>
                </c:pt>
                <c:pt idx="10">
                  <c:v>0.26192636489711352</c:v>
                </c:pt>
                <c:pt idx="11">
                  <c:v>0.22368762209067633</c:v>
                </c:pt>
              </c:numCache>
            </c:numRef>
          </c:val>
          <c:smooth val="0"/>
          <c:extLst>
            <c:ext xmlns:c16="http://schemas.microsoft.com/office/drawing/2014/chart" uri="{C3380CC4-5D6E-409C-BE32-E72D297353CC}">
              <c16:uniqueId val="{00000000-E17A-4FA0-9DFC-E22522E1EB67}"/>
            </c:ext>
          </c:extLst>
        </c:ser>
        <c:ser>
          <c:idx val="1"/>
          <c:order val="1"/>
          <c:tx>
            <c:strRef>
              <c:f>Unaffordableexp1!$A$4</c:f>
              <c:strCache>
                <c:ptCount val="1"/>
                <c:pt idx="0">
                  <c:v>Non-Georgian families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Unaffordableexp1!$B$4:$M$4</c:f>
              <c:numCache>
                <c:formatCode>0.0%</c:formatCode>
                <c:ptCount val="12"/>
                <c:pt idx="0">
                  <c:v>0.35192948307954702</c:v>
                </c:pt>
                <c:pt idx="1">
                  <c:v>0.29714727132371321</c:v>
                </c:pt>
                <c:pt idx="2">
                  <c:v>0.26212237056964038</c:v>
                </c:pt>
                <c:pt idx="3">
                  <c:v>0.23165906438831552</c:v>
                </c:pt>
                <c:pt idx="4">
                  <c:v>0.19363619414030431</c:v>
                </c:pt>
                <c:pt idx="5">
                  <c:v>0.24674879637306324</c:v>
                </c:pt>
                <c:pt idx="6">
                  <c:v>0.21366495534239924</c:v>
                </c:pt>
                <c:pt idx="7">
                  <c:v>0.1882832348928592</c:v>
                </c:pt>
                <c:pt idx="8">
                  <c:v>0.20411398598819058</c:v>
                </c:pt>
                <c:pt idx="9">
                  <c:v>0.18715437438579036</c:v>
                </c:pt>
                <c:pt idx="10">
                  <c:v>0.21292724223052092</c:v>
                </c:pt>
                <c:pt idx="11">
                  <c:v>0.22544651058705023</c:v>
                </c:pt>
              </c:numCache>
            </c:numRef>
          </c:val>
          <c:smooth val="0"/>
          <c:extLst>
            <c:ext xmlns:c16="http://schemas.microsoft.com/office/drawing/2014/chart" uri="{C3380CC4-5D6E-409C-BE32-E72D297353CC}">
              <c16:uniqueId val="{00000001-E17A-4FA0-9DFC-E22522E1EB67}"/>
            </c:ext>
          </c:extLst>
        </c:ser>
        <c:ser>
          <c:idx val="2"/>
          <c:order val="2"/>
          <c:tx>
            <c:strRef>
              <c:f>Unaffordableexp1!$A$5</c:f>
              <c:strCache>
                <c:ptCount val="1"/>
                <c:pt idx="0">
                  <c:v>Mixed families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Unaffordableexp1!$B$5:$M$5</c:f>
              <c:numCache>
                <c:formatCode>0.0%</c:formatCode>
                <c:ptCount val="12"/>
                <c:pt idx="0">
                  <c:v>0.28071321632017138</c:v>
                </c:pt>
                <c:pt idx="1">
                  <c:v>0.24252733451536646</c:v>
                </c:pt>
                <c:pt idx="2">
                  <c:v>0.19256630939756603</c:v>
                </c:pt>
                <c:pt idx="3">
                  <c:v>0.19100931317843242</c:v>
                </c:pt>
                <c:pt idx="4">
                  <c:v>0.18261067098276401</c:v>
                </c:pt>
                <c:pt idx="5">
                  <c:v>0.17084582833533254</c:v>
                </c:pt>
                <c:pt idx="6">
                  <c:v>0.13452300456785671</c:v>
                </c:pt>
                <c:pt idx="7">
                  <c:v>0.15928377739550642</c:v>
                </c:pt>
                <c:pt idx="8">
                  <c:v>0.18140847247990105</c:v>
                </c:pt>
                <c:pt idx="9">
                  <c:v>0.2120737449684818</c:v>
                </c:pt>
                <c:pt idx="10">
                  <c:v>0.2528964239054477</c:v>
                </c:pt>
                <c:pt idx="11">
                  <c:v>0.29126724477235522</c:v>
                </c:pt>
              </c:numCache>
            </c:numRef>
          </c:val>
          <c:smooth val="0"/>
          <c:extLst>
            <c:ext xmlns:c16="http://schemas.microsoft.com/office/drawing/2014/chart" uri="{C3380CC4-5D6E-409C-BE32-E72D297353CC}">
              <c16:uniqueId val="{00000002-E17A-4FA0-9DFC-E22522E1EB67}"/>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Unaffordableexp1!$P$3</c:f>
              <c:strCache>
                <c:ptCount val="1"/>
                <c:pt idx="0">
                  <c:v>Georgian families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Unaffordableexp1!$Q$3:$AB$3</c:f>
              <c:numCache>
                <c:formatCode>0.00%</c:formatCode>
                <c:ptCount val="12"/>
                <c:pt idx="0">
                  <c:v>0.12268034503890816</c:v>
                </c:pt>
                <c:pt idx="1">
                  <c:v>0.11891836507905598</c:v>
                </c:pt>
                <c:pt idx="2">
                  <c:v>0.10233117417668422</c:v>
                </c:pt>
                <c:pt idx="3">
                  <c:v>8.9743020289290196E-2</c:v>
                </c:pt>
                <c:pt idx="4">
                  <c:v>7.3134851278048307E-2</c:v>
                </c:pt>
                <c:pt idx="5">
                  <c:v>6.3590518619082298E-2</c:v>
                </c:pt>
                <c:pt idx="6">
                  <c:v>5.1868918245625492E-2</c:v>
                </c:pt>
                <c:pt idx="7">
                  <c:v>4.593001467343516E-2</c:v>
                </c:pt>
                <c:pt idx="8">
                  <c:v>5.8739962420960995E-2</c:v>
                </c:pt>
                <c:pt idx="9">
                  <c:v>5.4713743406711632E-2</c:v>
                </c:pt>
                <c:pt idx="10">
                  <c:v>0.14957865464742226</c:v>
                </c:pt>
                <c:pt idx="11">
                  <c:v>0.11587354683496166</c:v>
                </c:pt>
              </c:numCache>
            </c:numRef>
          </c:val>
          <c:smooth val="0"/>
          <c:extLst>
            <c:ext xmlns:c16="http://schemas.microsoft.com/office/drawing/2014/chart" uri="{C3380CC4-5D6E-409C-BE32-E72D297353CC}">
              <c16:uniqueId val="{00000000-FDB4-4532-97C8-D41D7803CEF8}"/>
            </c:ext>
          </c:extLst>
        </c:ser>
        <c:ser>
          <c:idx val="1"/>
          <c:order val="1"/>
          <c:tx>
            <c:strRef>
              <c:f>Unaffordableexp1!$P$4</c:f>
              <c:strCache>
                <c:ptCount val="1"/>
                <c:pt idx="0">
                  <c:v>Non-Georgian families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Unaffordableexp1!$Q$4:$AB$4</c:f>
              <c:numCache>
                <c:formatCode>0.0%</c:formatCode>
                <c:ptCount val="12"/>
                <c:pt idx="0">
                  <c:v>0.1726432135639297</c:v>
                </c:pt>
                <c:pt idx="1">
                  <c:v>0.18462376863075403</c:v>
                </c:pt>
                <c:pt idx="2">
                  <c:v>0.15253002678148264</c:v>
                </c:pt>
                <c:pt idx="3">
                  <c:v>0.16806240079741724</c:v>
                </c:pt>
                <c:pt idx="4">
                  <c:v>0.1751339389557395</c:v>
                </c:pt>
                <c:pt idx="5">
                  <c:v>0.19073456305599162</c:v>
                </c:pt>
                <c:pt idx="6">
                  <c:v>0.10811608734402853</c:v>
                </c:pt>
                <c:pt idx="7">
                  <c:v>0.10007294592625317</c:v>
                </c:pt>
                <c:pt idx="8">
                  <c:v>8.7960276505587146E-2</c:v>
                </c:pt>
                <c:pt idx="9">
                  <c:v>5.9588968191288935E-2</c:v>
                </c:pt>
                <c:pt idx="10">
                  <c:v>0.19324238178283318</c:v>
                </c:pt>
                <c:pt idx="11">
                  <c:v>9.0688414034096207E-2</c:v>
                </c:pt>
              </c:numCache>
            </c:numRef>
          </c:val>
          <c:smooth val="0"/>
          <c:extLst>
            <c:ext xmlns:c16="http://schemas.microsoft.com/office/drawing/2014/chart" uri="{C3380CC4-5D6E-409C-BE32-E72D297353CC}">
              <c16:uniqueId val="{00000001-FDB4-4532-97C8-D41D7803CEF8}"/>
            </c:ext>
          </c:extLst>
        </c:ser>
        <c:ser>
          <c:idx val="2"/>
          <c:order val="2"/>
          <c:tx>
            <c:strRef>
              <c:f>Unaffordableexp1!$P$5</c:f>
              <c:strCache>
                <c:ptCount val="1"/>
                <c:pt idx="0">
                  <c:v>Mixed families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Unaffordableexp1!$Q$5:$AB$5</c:f>
              <c:numCache>
                <c:formatCode>0.0%</c:formatCode>
                <c:ptCount val="12"/>
                <c:pt idx="0">
                  <c:v>0.14463241436925647</c:v>
                </c:pt>
                <c:pt idx="1">
                  <c:v>0.18088396757075004</c:v>
                </c:pt>
                <c:pt idx="2">
                  <c:v>8.3813406512411481E-2</c:v>
                </c:pt>
                <c:pt idx="3">
                  <c:v>5.9440824635462221E-2</c:v>
                </c:pt>
                <c:pt idx="4">
                  <c:v>0.1086867251591068</c:v>
                </c:pt>
                <c:pt idx="5">
                  <c:v>0.11450980392156862</c:v>
                </c:pt>
                <c:pt idx="6">
                  <c:v>4.5986842105263159E-2</c:v>
                </c:pt>
                <c:pt idx="7">
                  <c:v>3.6607142857142859E-2</c:v>
                </c:pt>
                <c:pt idx="8">
                  <c:v>5.7581018518518517E-2</c:v>
                </c:pt>
                <c:pt idx="9">
                  <c:v>8.7615629984051036E-2</c:v>
                </c:pt>
                <c:pt idx="10">
                  <c:v>0.18494914095052856</c:v>
                </c:pt>
                <c:pt idx="11">
                  <c:v>0.17024040774040775</c:v>
                </c:pt>
              </c:numCache>
            </c:numRef>
          </c:val>
          <c:smooth val="0"/>
          <c:extLst>
            <c:ext xmlns:c16="http://schemas.microsoft.com/office/drawing/2014/chart" uri="{C3380CC4-5D6E-409C-BE32-E72D297353CC}">
              <c16:uniqueId val="{00000002-FDB4-4532-97C8-D41D7803CEF8}"/>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UnfitSDG!$A$3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UnfitSDG!$B$2:$M$2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UnfitSDG!$B$3:$M$3</c:f>
              <c:numCache>
                <c:formatCode>0.0%</c:formatCode>
                <c:ptCount val="12"/>
                <c:pt idx="0">
                  <c:v>7.2100186228337498E-2</c:v>
                </c:pt>
                <c:pt idx="1">
                  <c:v>5.0915780296380796E-2</c:v>
                </c:pt>
                <c:pt idx="2">
                  <c:v>5.9547222951577758E-2</c:v>
                </c:pt>
                <c:pt idx="3">
                  <c:v>0.32495634237204274</c:v>
                </c:pt>
                <c:pt idx="4">
                  <c:v>8.3939056200160705E-2</c:v>
                </c:pt>
                <c:pt idx="5">
                  <c:v>5.3811291731103751E-2</c:v>
                </c:pt>
                <c:pt idx="6">
                  <c:v>5.6367198632088916E-2</c:v>
                </c:pt>
                <c:pt idx="7">
                  <c:v>3.2311930916681796E-2</c:v>
                </c:pt>
                <c:pt idx="8">
                  <c:v>1.4123959608541107E-2</c:v>
                </c:pt>
                <c:pt idx="9">
                  <c:v>9.3303296836334329E-3</c:v>
                </c:pt>
                <c:pt idx="10">
                  <c:v>1.1154110183236397E-2</c:v>
                </c:pt>
                <c:pt idx="11">
                  <c:v>1.7085847364110479E-2</c:v>
                </c:pt>
              </c:numCache>
            </c:numRef>
          </c:val>
          <c:smooth val="0"/>
          <c:extLst>
            <c:ext xmlns:c16="http://schemas.microsoft.com/office/drawing/2014/chart" uri="{C3380CC4-5D6E-409C-BE32-E72D297353CC}">
              <c16:uniqueId val="{00000000-7283-4AF0-8BE5-91A9662916A2}"/>
            </c:ext>
          </c:extLst>
        </c:ser>
        <c:ser>
          <c:idx val="1"/>
          <c:order val="1"/>
          <c:tx>
            <c:strRef>
              <c:f>UnfitSDG!$A$4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UnfitSDG!$B$2:$M$2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UnfitSDG!$B$4:$M$4</c:f>
              <c:numCache>
                <c:formatCode>0.0%</c:formatCode>
                <c:ptCount val="12"/>
                <c:pt idx="0">
                  <c:v>5.208082233442838E-2</c:v>
                </c:pt>
                <c:pt idx="1">
                  <c:v>7.4198555657090021E-2</c:v>
                </c:pt>
                <c:pt idx="2">
                  <c:v>5.4304509746205029E-2</c:v>
                </c:pt>
                <c:pt idx="3">
                  <c:v>0.34246920515878237</c:v>
                </c:pt>
                <c:pt idx="4">
                  <c:v>6.6170698587796312E-2</c:v>
                </c:pt>
                <c:pt idx="5">
                  <c:v>4.0486091577085E-2</c:v>
                </c:pt>
                <c:pt idx="6">
                  <c:v>5.1673285819042701E-2</c:v>
                </c:pt>
                <c:pt idx="7">
                  <c:v>2.7649763766924133E-2</c:v>
                </c:pt>
                <c:pt idx="8">
                  <c:v>2.6405318398671822E-2</c:v>
                </c:pt>
                <c:pt idx="9">
                  <c:v>2.3567179404377355E-2</c:v>
                </c:pt>
                <c:pt idx="10">
                  <c:v>3.2063176910818364E-2</c:v>
                </c:pt>
                <c:pt idx="11">
                  <c:v>3.0168306614579941E-2</c:v>
                </c:pt>
              </c:numCache>
            </c:numRef>
          </c:val>
          <c:smooth val="0"/>
          <c:extLst>
            <c:ext xmlns:c16="http://schemas.microsoft.com/office/drawing/2014/chart" uri="{C3380CC4-5D6E-409C-BE32-E72D297353CC}">
              <c16:uniqueId val="{00000001-7283-4AF0-8BE5-91A9662916A2}"/>
            </c:ext>
          </c:extLst>
        </c:ser>
        <c:ser>
          <c:idx val="2"/>
          <c:order val="2"/>
          <c:tx>
            <c:strRef>
              <c:f>UnfitSDG!$A$5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UnfitSDG!$B$2:$M$2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UnfitSDG!$B$5:$M$5</c:f>
              <c:numCache>
                <c:formatCode>0.0%</c:formatCode>
                <c:ptCount val="12"/>
                <c:pt idx="0">
                  <c:v>4.8308812600247074E-2</c:v>
                </c:pt>
                <c:pt idx="1">
                  <c:v>4.447577165419489E-2</c:v>
                </c:pt>
                <c:pt idx="2">
                  <c:v>6.2687044270297587E-2</c:v>
                </c:pt>
                <c:pt idx="3">
                  <c:v>0.34755006720538001</c:v>
                </c:pt>
                <c:pt idx="4">
                  <c:v>6.4226203269845017E-2</c:v>
                </c:pt>
                <c:pt idx="5">
                  <c:v>3.0900553150553151E-2</c:v>
                </c:pt>
                <c:pt idx="6">
                  <c:v>2.7812945352203567E-2</c:v>
                </c:pt>
                <c:pt idx="7">
                  <c:v>1.6546350005110184E-2</c:v>
                </c:pt>
                <c:pt idx="8">
                  <c:v>1.3804595682541321E-2</c:v>
                </c:pt>
                <c:pt idx="9">
                  <c:v>7.3900594110327122E-3</c:v>
                </c:pt>
                <c:pt idx="10">
                  <c:v>1.47874550333116E-2</c:v>
                </c:pt>
                <c:pt idx="11">
                  <c:v>2.2273099824024003E-2</c:v>
                </c:pt>
              </c:numCache>
            </c:numRef>
          </c:val>
          <c:smooth val="0"/>
          <c:extLst>
            <c:ext xmlns:c16="http://schemas.microsoft.com/office/drawing/2014/chart" uri="{C3380CC4-5D6E-409C-BE32-E72D297353CC}">
              <c16:uniqueId val="{00000002-7283-4AF0-8BE5-91A9662916A2}"/>
            </c:ext>
          </c:extLst>
        </c:ser>
        <c:ser>
          <c:idx val="3"/>
          <c:order val="3"/>
          <c:tx>
            <c:strRef>
              <c:f>UnfitSDG!$A$6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UnfitSDG!$B$2:$M$2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UnfitSDG!$B$6:$M$6</c:f>
              <c:numCache>
                <c:formatCode>0.0%</c:formatCode>
                <c:ptCount val="12"/>
                <c:pt idx="0">
                  <c:v>2.8361549770000476E-2</c:v>
                </c:pt>
                <c:pt idx="1">
                  <c:v>2.3083632610058944E-2</c:v>
                </c:pt>
                <c:pt idx="2">
                  <c:v>2.8261262094642043E-2</c:v>
                </c:pt>
                <c:pt idx="3">
                  <c:v>0.38755570807456408</c:v>
                </c:pt>
                <c:pt idx="4">
                  <c:v>7.3407416280012586E-2</c:v>
                </c:pt>
                <c:pt idx="5">
                  <c:v>2.4041877011247402E-2</c:v>
                </c:pt>
                <c:pt idx="6">
                  <c:v>1.4679684567880174E-2</c:v>
                </c:pt>
                <c:pt idx="7">
                  <c:v>3.8088069498690542E-3</c:v>
                </c:pt>
                <c:pt idx="8">
                  <c:v>1.3061239662153284E-2</c:v>
                </c:pt>
                <c:pt idx="9">
                  <c:v>1.1507024032677032E-2</c:v>
                </c:pt>
                <c:pt idx="10">
                  <c:v>1.1445231788083231E-2</c:v>
                </c:pt>
                <c:pt idx="11">
                  <c:v>6.9379592793816676E-3</c:v>
                </c:pt>
              </c:numCache>
            </c:numRef>
          </c:val>
          <c:smooth val="0"/>
          <c:extLst>
            <c:ext xmlns:c16="http://schemas.microsoft.com/office/drawing/2014/chart" uri="{C3380CC4-5D6E-409C-BE32-E72D297353CC}">
              <c16:uniqueId val="{00000003-7283-4AF0-8BE5-91A9662916A2}"/>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UnfitSDG!$P$3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UnfitSDG!$Q$2:$AB$2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UnfitSDG!$Q$3:$AB$3</c:f>
              <c:numCache>
                <c:formatCode>0.0%</c:formatCode>
                <c:ptCount val="12"/>
                <c:pt idx="0">
                  <c:v>4.1466720520316858E-2</c:v>
                </c:pt>
                <c:pt idx="1">
                  <c:v>3.7307911064129722E-2</c:v>
                </c:pt>
                <c:pt idx="2">
                  <c:v>3.2711022096481468E-2</c:v>
                </c:pt>
                <c:pt idx="3">
                  <c:v>4.6177055778673787E-2</c:v>
                </c:pt>
                <c:pt idx="4">
                  <c:v>6.0510316354251276E-2</c:v>
                </c:pt>
                <c:pt idx="5">
                  <c:v>3.0435414580850799E-2</c:v>
                </c:pt>
                <c:pt idx="6">
                  <c:v>1.4832823539443322E-2</c:v>
                </c:pt>
                <c:pt idx="7">
                  <c:v>3.8636389167526616E-3</c:v>
                </c:pt>
                <c:pt idx="8">
                  <c:v>9.8150371955596019E-3</c:v>
                </c:pt>
                <c:pt idx="9">
                  <c:v>9.0964981213382586E-3</c:v>
                </c:pt>
                <c:pt idx="10">
                  <c:v>7.7496040288424512E-3</c:v>
                </c:pt>
                <c:pt idx="11">
                  <c:v>5.8147396889790398E-3</c:v>
                </c:pt>
              </c:numCache>
            </c:numRef>
          </c:val>
          <c:smooth val="0"/>
          <c:extLst>
            <c:ext xmlns:c16="http://schemas.microsoft.com/office/drawing/2014/chart" uri="{C3380CC4-5D6E-409C-BE32-E72D297353CC}">
              <c16:uniqueId val="{00000000-5259-494E-9778-A78D64C63285}"/>
            </c:ext>
          </c:extLst>
        </c:ser>
        <c:ser>
          <c:idx val="1"/>
          <c:order val="1"/>
          <c:tx>
            <c:strRef>
              <c:f>UnfitSDG!$P$4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UnfitSDG!$Q$2:$AB$2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UnfitSDG!$Q$4:$AB$4</c:f>
              <c:numCache>
                <c:formatCode>0.0%</c:formatCode>
                <c:ptCount val="12"/>
                <c:pt idx="0">
                  <c:v>2.7179493346192261E-2</c:v>
                </c:pt>
                <c:pt idx="1">
                  <c:v>3.0062283306929484E-2</c:v>
                </c:pt>
                <c:pt idx="2">
                  <c:v>1.7317229317779518E-2</c:v>
                </c:pt>
                <c:pt idx="3">
                  <c:v>3.9302798543220101E-2</c:v>
                </c:pt>
                <c:pt idx="4">
                  <c:v>3.8904168516876066E-2</c:v>
                </c:pt>
                <c:pt idx="5">
                  <c:v>1.7395656440412282E-2</c:v>
                </c:pt>
                <c:pt idx="6">
                  <c:v>1.4701101563247844E-2</c:v>
                </c:pt>
                <c:pt idx="7">
                  <c:v>3.8991420773606374E-3</c:v>
                </c:pt>
                <c:pt idx="8">
                  <c:v>5.4241532894852553E-3</c:v>
                </c:pt>
                <c:pt idx="9">
                  <c:v>8.4340749405160381E-3</c:v>
                </c:pt>
                <c:pt idx="10">
                  <c:v>9.0908993040311886E-3</c:v>
                </c:pt>
                <c:pt idx="11">
                  <c:v>1.4269704751028955E-2</c:v>
                </c:pt>
              </c:numCache>
            </c:numRef>
          </c:val>
          <c:smooth val="0"/>
          <c:extLst>
            <c:ext xmlns:c16="http://schemas.microsoft.com/office/drawing/2014/chart" uri="{C3380CC4-5D6E-409C-BE32-E72D297353CC}">
              <c16:uniqueId val="{00000001-5259-494E-9778-A78D64C63285}"/>
            </c:ext>
          </c:extLst>
        </c:ser>
        <c:ser>
          <c:idx val="2"/>
          <c:order val="2"/>
          <c:tx>
            <c:strRef>
              <c:f>UnfitSDG!$P$5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UnfitSDG!$Q$2:$AB$2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UnfitSDG!$Q$5:$AB$5</c:f>
              <c:numCache>
                <c:formatCode>0.0%</c:formatCode>
                <c:ptCount val="12"/>
                <c:pt idx="0">
                  <c:v>1.2632823711727893E-2</c:v>
                </c:pt>
                <c:pt idx="1">
                  <c:v>2.1824201610895284E-2</c:v>
                </c:pt>
                <c:pt idx="2">
                  <c:v>2.105414182451357E-2</c:v>
                </c:pt>
                <c:pt idx="3">
                  <c:v>2.7524381922313414E-2</c:v>
                </c:pt>
                <c:pt idx="4">
                  <c:v>2.7490527541839414E-2</c:v>
                </c:pt>
                <c:pt idx="5">
                  <c:v>1.9659537313262185E-2</c:v>
                </c:pt>
                <c:pt idx="6">
                  <c:v>1.0584837574520747E-2</c:v>
                </c:pt>
                <c:pt idx="7">
                  <c:v>1.1376696797440436E-3</c:v>
                </c:pt>
                <c:pt idx="8">
                  <c:v>5.9952038369304552E-4</c:v>
                </c:pt>
                <c:pt idx="9">
                  <c:v>4.3492907452423839E-3</c:v>
                </c:pt>
                <c:pt idx="10">
                  <c:v>6.7571944023772004E-3</c:v>
                </c:pt>
                <c:pt idx="11">
                  <c:v>1.0434315602155738E-2</c:v>
                </c:pt>
              </c:numCache>
            </c:numRef>
          </c:val>
          <c:smooth val="0"/>
          <c:extLst>
            <c:ext xmlns:c16="http://schemas.microsoft.com/office/drawing/2014/chart" uri="{C3380CC4-5D6E-409C-BE32-E72D297353CC}">
              <c16:uniqueId val="{00000002-5259-494E-9778-A78D64C63285}"/>
            </c:ext>
          </c:extLst>
        </c:ser>
        <c:ser>
          <c:idx val="3"/>
          <c:order val="3"/>
          <c:tx>
            <c:strRef>
              <c:f>UnfitSDG!$P$6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UnfitSDG!$Q$2:$AB$2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UnfitSDG!$Q$6:$AB$6</c:f>
              <c:numCache>
                <c:formatCode>0.0%</c:formatCode>
                <c:ptCount val="12"/>
                <c:pt idx="0">
                  <c:v>1.3591030007380026E-2</c:v>
                </c:pt>
                <c:pt idx="1">
                  <c:v>1.7191522400248623E-2</c:v>
                </c:pt>
                <c:pt idx="2">
                  <c:v>2.5815830594557752E-2</c:v>
                </c:pt>
                <c:pt idx="3">
                  <c:v>3.5104919772938191E-2</c:v>
                </c:pt>
                <c:pt idx="4">
                  <c:v>3.6030537600580559E-2</c:v>
                </c:pt>
                <c:pt idx="5">
                  <c:v>1.7263144215607922E-2</c:v>
                </c:pt>
                <c:pt idx="6">
                  <c:v>1.0737602241841192E-2</c:v>
                </c:pt>
                <c:pt idx="7">
                  <c:v>0</c:v>
                </c:pt>
                <c:pt idx="8">
                  <c:v>4.3562446116209557E-3</c:v>
                </c:pt>
                <c:pt idx="9">
                  <c:v>2.1340937763225155E-3</c:v>
                </c:pt>
                <c:pt idx="10">
                  <c:v>6.1564958552740075E-3</c:v>
                </c:pt>
                <c:pt idx="11">
                  <c:v>6.8848096005166047E-3</c:v>
                </c:pt>
              </c:numCache>
            </c:numRef>
          </c:val>
          <c:smooth val="0"/>
          <c:extLst>
            <c:ext xmlns:c16="http://schemas.microsoft.com/office/drawing/2014/chart" uri="{C3380CC4-5D6E-409C-BE32-E72D297353CC}">
              <c16:uniqueId val="{00000003-5259-494E-9778-A78D64C63285}"/>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UnfitSDG!$A$3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UnfitSDG!$B$2:$M$2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UnfitSDG!$B$3:$M$3</c:f>
              <c:numCache>
                <c:formatCode>0.0%</c:formatCode>
                <c:ptCount val="12"/>
                <c:pt idx="0">
                  <c:v>4.9470151363811762E-2</c:v>
                </c:pt>
                <c:pt idx="1">
                  <c:v>4.6487849331568971E-2</c:v>
                </c:pt>
                <c:pt idx="2">
                  <c:v>4.9592752358195859E-2</c:v>
                </c:pt>
                <c:pt idx="3">
                  <c:v>0.35360208239491397</c:v>
                </c:pt>
                <c:pt idx="4">
                  <c:v>7.2031964107102164E-2</c:v>
                </c:pt>
                <c:pt idx="5">
                  <c:v>3.7028515212898509E-2</c:v>
                </c:pt>
                <c:pt idx="6">
                  <c:v>3.5797518651263877E-2</c:v>
                </c:pt>
                <c:pt idx="7">
                  <c:v>1.8848381828388518E-2</c:v>
                </c:pt>
                <c:pt idx="8">
                  <c:v>2.1190646066019947E-2</c:v>
                </c:pt>
                <c:pt idx="9">
                  <c:v>1.8470075041971054E-2</c:v>
                </c:pt>
                <c:pt idx="10">
                  <c:v>2.2313366166039204E-2</c:v>
                </c:pt>
                <c:pt idx="11">
                  <c:v>2.188695208584299E-2</c:v>
                </c:pt>
              </c:numCache>
            </c:numRef>
          </c:val>
          <c:smooth val="0"/>
          <c:extLst>
            <c:ext xmlns:c16="http://schemas.microsoft.com/office/drawing/2014/chart" uri="{C3380CC4-5D6E-409C-BE32-E72D297353CC}">
              <c16:uniqueId val="{00000000-FE77-4B2C-9C6B-F7E9FADB5CC7}"/>
            </c:ext>
          </c:extLst>
        </c:ser>
        <c:ser>
          <c:idx val="1"/>
          <c:order val="1"/>
          <c:tx>
            <c:strRef>
              <c:f>UnfitSDG!$A$4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UnfitSDG!$B$2:$M$2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UnfitSDG!$B$4:$M$4</c:f>
              <c:numCache>
                <c:formatCode>0.0%</c:formatCode>
                <c:ptCount val="12"/>
                <c:pt idx="0">
                  <c:v>0.182195562472795</c:v>
                </c:pt>
                <c:pt idx="1">
                  <c:v>0.18454215570538321</c:v>
                </c:pt>
                <c:pt idx="2">
                  <c:v>0.18420520746313102</c:v>
                </c:pt>
                <c:pt idx="3">
                  <c:v>0.47760268067361211</c:v>
                </c:pt>
                <c:pt idx="4">
                  <c:v>0.10537962929318621</c:v>
                </c:pt>
                <c:pt idx="5">
                  <c:v>4.9749809229081225E-2</c:v>
                </c:pt>
                <c:pt idx="6">
                  <c:v>2.8017902813299234E-2</c:v>
                </c:pt>
                <c:pt idx="7">
                  <c:v>3.9605263157894741E-2</c:v>
                </c:pt>
                <c:pt idx="8">
                  <c:v>5.0164562024193171E-2</c:v>
                </c:pt>
                <c:pt idx="9">
                  <c:v>5.0370042545595191E-2</c:v>
                </c:pt>
                <c:pt idx="10">
                  <c:v>2.1509147452867427E-2</c:v>
                </c:pt>
                <c:pt idx="11">
                  <c:v>4.9735433245081589E-2</c:v>
                </c:pt>
              </c:numCache>
            </c:numRef>
          </c:val>
          <c:smooth val="0"/>
          <c:extLst>
            <c:ext xmlns:c16="http://schemas.microsoft.com/office/drawing/2014/chart" uri="{C3380CC4-5D6E-409C-BE32-E72D297353CC}">
              <c16:uniqueId val="{00000001-FE77-4B2C-9C6B-F7E9FADB5CC7}"/>
            </c:ext>
          </c:extLst>
        </c:ser>
        <c:ser>
          <c:idx val="2"/>
          <c:order val="2"/>
          <c:tx>
            <c:strRef>
              <c:f>UnfitSDG!$A$5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UnfitSDG!$B$2:$M$2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UnfitSDG!$B$5:$M$5</c:f>
              <c:numCache>
                <c:formatCode>0.0%</c:formatCode>
                <c:ptCount val="12"/>
                <c:pt idx="0">
                  <c:v>5.8451818338448973E-2</c:v>
                </c:pt>
                <c:pt idx="1">
                  <c:v>4.7425194274532248E-2</c:v>
                </c:pt>
                <c:pt idx="2">
                  <c:v>4.8322228644369122E-2</c:v>
                </c:pt>
                <c:pt idx="3">
                  <c:v>0.36073432332669381</c:v>
                </c:pt>
                <c:pt idx="4">
                  <c:v>6.9225469208605381E-2</c:v>
                </c:pt>
                <c:pt idx="5">
                  <c:v>4.4567546488013983E-2</c:v>
                </c:pt>
                <c:pt idx="6">
                  <c:v>4.9134297222889423E-2</c:v>
                </c:pt>
                <c:pt idx="7">
                  <c:v>2.7961948418049741E-2</c:v>
                </c:pt>
                <c:pt idx="8">
                  <c:v>3.4645059565032763E-2</c:v>
                </c:pt>
                <c:pt idx="9">
                  <c:v>2.4180266109157755E-2</c:v>
                </c:pt>
                <c:pt idx="10">
                  <c:v>2.3411203336472324E-2</c:v>
                </c:pt>
                <c:pt idx="11">
                  <c:v>3.1235397887953958E-2</c:v>
                </c:pt>
              </c:numCache>
            </c:numRef>
          </c:val>
          <c:smooth val="0"/>
          <c:extLst>
            <c:ext xmlns:c16="http://schemas.microsoft.com/office/drawing/2014/chart" uri="{C3380CC4-5D6E-409C-BE32-E72D297353CC}">
              <c16:uniqueId val="{00000002-FE77-4B2C-9C6B-F7E9FADB5CC7}"/>
            </c:ext>
          </c:extLst>
        </c:ser>
        <c:ser>
          <c:idx val="3"/>
          <c:order val="3"/>
          <c:tx>
            <c:strRef>
              <c:f>UnfitSDG!$A$6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UnfitSDG!$B$2:$M$2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UnfitSDG!$B$6:$M$6</c:f>
              <c:numCache>
                <c:formatCode>0.0%</c:formatCode>
                <c:ptCount val="12"/>
                <c:pt idx="0">
                  <c:v>5.6659986712163234E-2</c:v>
                </c:pt>
                <c:pt idx="1">
                  <c:v>5.1060251138102093E-2</c:v>
                </c:pt>
                <c:pt idx="2">
                  <c:v>3.6889218224940581E-2</c:v>
                </c:pt>
                <c:pt idx="3">
                  <c:v>0.3031099095916871</c:v>
                </c:pt>
                <c:pt idx="4">
                  <c:v>5.3581449414782746E-2</c:v>
                </c:pt>
                <c:pt idx="5">
                  <c:v>4.2841300933994436E-2</c:v>
                </c:pt>
                <c:pt idx="6">
                  <c:v>4.4882007588311033E-2</c:v>
                </c:pt>
                <c:pt idx="7">
                  <c:v>3.9326553949195459E-2</c:v>
                </c:pt>
                <c:pt idx="8">
                  <c:v>2.4698104034793927E-2</c:v>
                </c:pt>
                <c:pt idx="9">
                  <c:v>3.9610386990324729E-2</c:v>
                </c:pt>
                <c:pt idx="10">
                  <c:v>2.1733931200732727E-2</c:v>
                </c:pt>
                <c:pt idx="11">
                  <c:v>3.4906835541234041E-2</c:v>
                </c:pt>
              </c:numCache>
            </c:numRef>
          </c:val>
          <c:smooth val="0"/>
          <c:extLst>
            <c:ext xmlns:c16="http://schemas.microsoft.com/office/drawing/2014/chart" uri="{C3380CC4-5D6E-409C-BE32-E72D297353CC}">
              <c16:uniqueId val="{00000003-FE77-4B2C-9C6B-F7E9FADB5CC7}"/>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UnfitSDG!$P$3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UnfitSDG!$Q$2:$AB$2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UnfitSDG!$Q$3:$AB$3</c:f>
              <c:numCache>
                <c:formatCode>0.0%</c:formatCode>
                <c:ptCount val="12"/>
                <c:pt idx="0">
                  <c:v>2.3914663175646157E-2</c:v>
                </c:pt>
                <c:pt idx="1">
                  <c:v>2.6981326497490018E-2</c:v>
                </c:pt>
                <c:pt idx="2">
                  <c:v>2.4063817054563348E-2</c:v>
                </c:pt>
                <c:pt idx="3">
                  <c:v>3.7079759207764115E-2</c:v>
                </c:pt>
                <c:pt idx="4">
                  <c:v>4.0800198706618565E-2</c:v>
                </c:pt>
                <c:pt idx="5">
                  <c:v>2.1158858085678307E-2</c:v>
                </c:pt>
                <c:pt idx="6">
                  <c:v>1.2793428703512213E-2</c:v>
                </c:pt>
                <c:pt idx="7">
                  <c:v>2.333445021321429E-3</c:v>
                </c:pt>
                <c:pt idx="8">
                  <c:v>3.4094695894524314E-3</c:v>
                </c:pt>
                <c:pt idx="9">
                  <c:v>6.2812293791688857E-3</c:v>
                </c:pt>
                <c:pt idx="10">
                  <c:v>8.5117866352052655E-3</c:v>
                </c:pt>
                <c:pt idx="11">
                  <c:v>1.2491274332956687E-2</c:v>
                </c:pt>
              </c:numCache>
            </c:numRef>
          </c:val>
          <c:smooth val="0"/>
          <c:extLst>
            <c:ext xmlns:c16="http://schemas.microsoft.com/office/drawing/2014/chart" uri="{C3380CC4-5D6E-409C-BE32-E72D297353CC}">
              <c16:uniqueId val="{00000000-C59F-4119-B0B9-3D8C45674F7F}"/>
            </c:ext>
          </c:extLst>
        </c:ser>
        <c:ser>
          <c:idx val="1"/>
          <c:order val="1"/>
          <c:tx>
            <c:strRef>
              <c:f>UnfitSDG!$P$4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UnfitSDG!$Q$2:$AB$2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UnfitSDG!$Q$4:$AB$4</c:f>
              <c:numCache>
                <c:formatCode>0.0%</c:formatCode>
                <c:ptCount val="12"/>
                <c:pt idx="0">
                  <c:v>8.9285714285714281E-3</c:v>
                </c:pt>
                <c:pt idx="1">
                  <c:v>2.3558201058201056E-2</c:v>
                </c:pt>
                <c:pt idx="2">
                  <c:v>0</c:v>
                </c:pt>
                <c:pt idx="3">
                  <c:v>4.7456868434667204E-2</c:v>
                </c:pt>
                <c:pt idx="4">
                  <c:v>0.14497423898657591</c:v>
                </c:pt>
                <c:pt idx="5">
                  <c:v>9.3865481522956332E-2</c:v>
                </c:pt>
                <c:pt idx="6">
                  <c:v>2.8702814001372687E-2</c:v>
                </c:pt>
                <c:pt idx="7">
                  <c:v>0</c:v>
                </c:pt>
                <c:pt idx="8">
                  <c:v>0</c:v>
                </c:pt>
                <c:pt idx="9">
                  <c:v>0</c:v>
                </c:pt>
                <c:pt idx="10">
                  <c:v>3.1429849664002724E-2</c:v>
                </c:pt>
                <c:pt idx="11">
                  <c:v>2.2629772629772629E-2</c:v>
                </c:pt>
              </c:numCache>
            </c:numRef>
          </c:val>
          <c:smooth val="0"/>
          <c:extLst>
            <c:ext xmlns:c16="http://schemas.microsoft.com/office/drawing/2014/chart" uri="{C3380CC4-5D6E-409C-BE32-E72D297353CC}">
              <c16:uniqueId val="{00000001-C59F-4119-B0B9-3D8C45674F7F}"/>
            </c:ext>
          </c:extLst>
        </c:ser>
        <c:ser>
          <c:idx val="2"/>
          <c:order val="2"/>
          <c:tx>
            <c:strRef>
              <c:f>UnfitSDG!$P$5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UnfitSDG!$Q$2:$AB$2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UnfitSDG!$Q$5:$AB$5</c:f>
              <c:numCache>
                <c:formatCode>0.0%</c:formatCode>
                <c:ptCount val="12"/>
                <c:pt idx="0">
                  <c:v>2.6399122124361997E-2</c:v>
                </c:pt>
                <c:pt idx="1">
                  <c:v>2.5117488278057383E-2</c:v>
                </c:pt>
                <c:pt idx="2">
                  <c:v>2.5757316036491888E-2</c:v>
                </c:pt>
                <c:pt idx="3">
                  <c:v>3.8214879622845616E-2</c:v>
                </c:pt>
                <c:pt idx="4">
                  <c:v>4.1655426890775532E-2</c:v>
                </c:pt>
                <c:pt idx="5">
                  <c:v>1.6472559279163052E-2</c:v>
                </c:pt>
                <c:pt idx="6">
                  <c:v>1.5095661882110079E-2</c:v>
                </c:pt>
                <c:pt idx="7">
                  <c:v>1.5E-3</c:v>
                </c:pt>
                <c:pt idx="8">
                  <c:v>1.9897793530820594E-3</c:v>
                </c:pt>
                <c:pt idx="9">
                  <c:v>8.7673981046585761E-3</c:v>
                </c:pt>
                <c:pt idx="10">
                  <c:v>8.4468248815963796E-3</c:v>
                </c:pt>
                <c:pt idx="11">
                  <c:v>1.4175883330787448E-2</c:v>
                </c:pt>
              </c:numCache>
            </c:numRef>
          </c:val>
          <c:smooth val="0"/>
          <c:extLst>
            <c:ext xmlns:c16="http://schemas.microsoft.com/office/drawing/2014/chart" uri="{C3380CC4-5D6E-409C-BE32-E72D297353CC}">
              <c16:uniqueId val="{00000002-C59F-4119-B0B9-3D8C45674F7F}"/>
            </c:ext>
          </c:extLst>
        </c:ser>
        <c:ser>
          <c:idx val="3"/>
          <c:order val="3"/>
          <c:tx>
            <c:strRef>
              <c:f>UnfitSDG!$P$6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UnfitSDG!$Q$2:$AB$2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UnfitSDG!$Q$6:$AB$6</c:f>
              <c:numCache>
                <c:formatCode>0.0%</c:formatCode>
                <c:ptCount val="12"/>
                <c:pt idx="0">
                  <c:v>2.0383849292271772E-2</c:v>
                </c:pt>
                <c:pt idx="1">
                  <c:v>2.0105871875084544E-2</c:v>
                </c:pt>
                <c:pt idx="2">
                  <c:v>2.9521012337154682E-2</c:v>
                </c:pt>
                <c:pt idx="3">
                  <c:v>2.49683963663919E-2</c:v>
                </c:pt>
                <c:pt idx="4">
                  <c:v>3.2651680518904866E-2</c:v>
                </c:pt>
                <c:pt idx="5">
                  <c:v>1.8926037556550288E-2</c:v>
                </c:pt>
                <c:pt idx="6">
                  <c:v>3.171983038135488E-3</c:v>
                </c:pt>
                <c:pt idx="7">
                  <c:v>2.3081177671885637E-3</c:v>
                </c:pt>
                <c:pt idx="8">
                  <c:v>9.3149640761398256E-3</c:v>
                </c:pt>
                <c:pt idx="9">
                  <c:v>1.2129672850786588E-2</c:v>
                </c:pt>
                <c:pt idx="10">
                  <c:v>4.1299357850323069E-3</c:v>
                </c:pt>
                <c:pt idx="11">
                  <c:v>1.145320197044335E-2</c:v>
                </c:pt>
              </c:numCache>
            </c:numRef>
          </c:val>
          <c:smooth val="0"/>
          <c:extLst>
            <c:ext xmlns:c16="http://schemas.microsoft.com/office/drawing/2014/chart" uri="{C3380CC4-5D6E-409C-BE32-E72D297353CC}">
              <c16:uniqueId val="{00000003-C59F-4119-B0B9-3D8C45674F7F}"/>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OvercrowdingUN!$A$3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OvercrowdingUN!$B$3:$M$3</c:f>
              <c:numCache>
                <c:formatCode>0.0%</c:formatCode>
                <c:ptCount val="12"/>
                <c:pt idx="0">
                  <c:v>3.5036803182811591E-2</c:v>
                </c:pt>
                <c:pt idx="1">
                  <c:v>3.4329515932063286E-2</c:v>
                </c:pt>
                <c:pt idx="2">
                  <c:v>1.8932238379442599E-2</c:v>
                </c:pt>
                <c:pt idx="3">
                  <c:v>2.9627904209962704E-2</c:v>
                </c:pt>
                <c:pt idx="4">
                  <c:v>1.9644666306395827E-2</c:v>
                </c:pt>
                <c:pt idx="5">
                  <c:v>8.1813030061224055E-3</c:v>
                </c:pt>
                <c:pt idx="6">
                  <c:v>1.4125320604160729E-2</c:v>
                </c:pt>
                <c:pt idx="7">
                  <c:v>1.6189072087688952E-2</c:v>
                </c:pt>
                <c:pt idx="8">
                  <c:v>7.686113074044109E-3</c:v>
                </c:pt>
                <c:pt idx="9">
                  <c:v>1.006910586339933E-2</c:v>
                </c:pt>
                <c:pt idx="10">
                  <c:v>7.0479968025741312E-3</c:v>
                </c:pt>
                <c:pt idx="11">
                  <c:v>7.8353491430697229E-3</c:v>
                </c:pt>
              </c:numCache>
            </c:numRef>
          </c:val>
          <c:smooth val="0"/>
          <c:extLst>
            <c:ext xmlns:c16="http://schemas.microsoft.com/office/drawing/2014/chart" uri="{C3380CC4-5D6E-409C-BE32-E72D297353CC}">
              <c16:uniqueId val="{00000000-F530-433A-9EA6-B37408337DD7}"/>
            </c:ext>
          </c:extLst>
        </c:ser>
        <c:ser>
          <c:idx val="1"/>
          <c:order val="1"/>
          <c:tx>
            <c:strRef>
              <c:f>OvercrowdingUN!$A$4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OvercrowdingUN!$B$4:$M$4</c:f>
              <c:numCache>
                <c:formatCode>0.0%</c:formatCode>
                <c:ptCount val="12"/>
                <c:pt idx="0">
                  <c:v>3.6957289326108304E-2</c:v>
                </c:pt>
                <c:pt idx="1">
                  <c:v>4.168554652985465E-2</c:v>
                </c:pt>
                <c:pt idx="2">
                  <c:v>3.7019230818443376E-2</c:v>
                </c:pt>
                <c:pt idx="3">
                  <c:v>4.6813855485689726E-2</c:v>
                </c:pt>
                <c:pt idx="4">
                  <c:v>3.3345212560655896E-2</c:v>
                </c:pt>
                <c:pt idx="5">
                  <c:v>4.0581577626845527E-2</c:v>
                </c:pt>
                <c:pt idx="6">
                  <c:v>3.7584277344057899E-2</c:v>
                </c:pt>
                <c:pt idx="7">
                  <c:v>2.875801704356782E-2</c:v>
                </c:pt>
                <c:pt idx="8">
                  <c:v>9.593411697744747E-3</c:v>
                </c:pt>
                <c:pt idx="9">
                  <c:v>3.3270982723020801E-2</c:v>
                </c:pt>
                <c:pt idx="10">
                  <c:v>1.7703554550687468E-2</c:v>
                </c:pt>
                <c:pt idx="11">
                  <c:v>1.7943517049890313E-2</c:v>
                </c:pt>
              </c:numCache>
            </c:numRef>
          </c:val>
          <c:smooth val="0"/>
          <c:extLst>
            <c:ext xmlns:c16="http://schemas.microsoft.com/office/drawing/2014/chart" uri="{C3380CC4-5D6E-409C-BE32-E72D297353CC}">
              <c16:uniqueId val="{00000001-F530-433A-9EA6-B37408337DD7}"/>
            </c:ext>
          </c:extLst>
        </c:ser>
        <c:ser>
          <c:idx val="2"/>
          <c:order val="2"/>
          <c:tx>
            <c:strRef>
              <c:f>OvercrowdingUN!$A$5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OvercrowdingUN!$B$5:$M$5</c:f>
              <c:numCache>
                <c:formatCode>0.0%</c:formatCode>
                <c:ptCount val="12"/>
                <c:pt idx="0">
                  <c:v>5.2289119251722332E-2</c:v>
                </c:pt>
                <c:pt idx="1">
                  <c:v>3.2962201127254148E-2</c:v>
                </c:pt>
                <c:pt idx="2">
                  <c:v>4.9305289265086795E-2</c:v>
                </c:pt>
                <c:pt idx="3">
                  <c:v>3.8645235565177599E-2</c:v>
                </c:pt>
                <c:pt idx="4">
                  <c:v>3.663999828201607E-2</c:v>
                </c:pt>
                <c:pt idx="5">
                  <c:v>4.6421596921596919E-2</c:v>
                </c:pt>
                <c:pt idx="6">
                  <c:v>2.894005055167654E-2</c:v>
                </c:pt>
                <c:pt idx="7">
                  <c:v>2.5013390106408538E-2</c:v>
                </c:pt>
                <c:pt idx="8">
                  <c:v>1.6880820403481597E-2</c:v>
                </c:pt>
                <c:pt idx="9">
                  <c:v>2.8939566254046353E-2</c:v>
                </c:pt>
                <c:pt idx="10">
                  <c:v>1.4677881921734599E-2</c:v>
                </c:pt>
                <c:pt idx="11">
                  <c:v>2.1438452660068896E-2</c:v>
                </c:pt>
              </c:numCache>
            </c:numRef>
          </c:val>
          <c:smooth val="0"/>
          <c:extLst>
            <c:ext xmlns:c16="http://schemas.microsoft.com/office/drawing/2014/chart" uri="{C3380CC4-5D6E-409C-BE32-E72D297353CC}">
              <c16:uniqueId val="{00000002-F530-433A-9EA6-B37408337DD7}"/>
            </c:ext>
          </c:extLst>
        </c:ser>
        <c:ser>
          <c:idx val="3"/>
          <c:order val="3"/>
          <c:tx>
            <c:strRef>
              <c:f>OvercrowdingUN!$A$6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OvercrowdingUN!$B$6:$M$6</c:f>
              <c:numCache>
                <c:formatCode>0.0%</c:formatCode>
                <c:ptCount val="12"/>
                <c:pt idx="0">
                  <c:v>4.0058457224830465E-2</c:v>
                </c:pt>
                <c:pt idx="1">
                  <c:v>3.6875343906095856E-2</c:v>
                </c:pt>
                <c:pt idx="2">
                  <c:v>3.2646829104951321E-2</c:v>
                </c:pt>
                <c:pt idx="3">
                  <c:v>3.3378250960293773E-2</c:v>
                </c:pt>
                <c:pt idx="4">
                  <c:v>3.2076589430087496E-2</c:v>
                </c:pt>
                <c:pt idx="5">
                  <c:v>3.998292688593312E-2</c:v>
                </c:pt>
                <c:pt idx="6">
                  <c:v>2.6303860375652528E-2</c:v>
                </c:pt>
                <c:pt idx="7">
                  <c:v>1.7556773332037062E-2</c:v>
                </c:pt>
                <c:pt idx="8">
                  <c:v>2.7055997029244341E-2</c:v>
                </c:pt>
                <c:pt idx="9">
                  <c:v>2.2323404582953101E-2</c:v>
                </c:pt>
                <c:pt idx="10">
                  <c:v>1.7151836891010106E-2</c:v>
                </c:pt>
                <c:pt idx="11">
                  <c:v>1.8754987898250843E-2</c:v>
                </c:pt>
              </c:numCache>
            </c:numRef>
          </c:val>
          <c:smooth val="0"/>
          <c:extLst>
            <c:ext xmlns:c16="http://schemas.microsoft.com/office/drawing/2014/chart" uri="{C3380CC4-5D6E-409C-BE32-E72D297353CC}">
              <c16:uniqueId val="{00000003-F530-433A-9EA6-B37408337DD7}"/>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7.0000000000000007E-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OvercrowdingUN!$P$3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OvercrowdingUN!$Q$2:$AB$2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OvercrowdingUN!$Q$3:$AB$3</c:f>
              <c:numCache>
                <c:formatCode>0.0%</c:formatCode>
                <c:ptCount val="12"/>
                <c:pt idx="0">
                  <c:v>1.5540601234117695E-2</c:v>
                </c:pt>
                <c:pt idx="1">
                  <c:v>1.3069061015258239E-2</c:v>
                </c:pt>
                <c:pt idx="2">
                  <c:v>9.1421161695490437E-3</c:v>
                </c:pt>
                <c:pt idx="3">
                  <c:v>1.0227838961299047E-2</c:v>
                </c:pt>
                <c:pt idx="4">
                  <c:v>8.8720212262852517E-3</c:v>
                </c:pt>
                <c:pt idx="5">
                  <c:v>4.6285434674574969E-3</c:v>
                </c:pt>
                <c:pt idx="6">
                  <c:v>1.020185894153942E-2</c:v>
                </c:pt>
                <c:pt idx="7">
                  <c:v>1.6448004019013023E-3</c:v>
                </c:pt>
                <c:pt idx="8">
                  <c:v>0</c:v>
                </c:pt>
                <c:pt idx="9">
                  <c:v>3.7507871234686834E-3</c:v>
                </c:pt>
                <c:pt idx="10">
                  <c:v>4.2489872586959961E-3</c:v>
                </c:pt>
                <c:pt idx="11">
                  <c:v>1.3313787560106792E-3</c:v>
                </c:pt>
              </c:numCache>
            </c:numRef>
          </c:val>
          <c:smooth val="0"/>
          <c:extLst>
            <c:ext xmlns:c16="http://schemas.microsoft.com/office/drawing/2014/chart" uri="{C3380CC4-5D6E-409C-BE32-E72D297353CC}">
              <c16:uniqueId val="{00000000-C190-458C-86AF-F83197E90FB6}"/>
            </c:ext>
          </c:extLst>
        </c:ser>
        <c:ser>
          <c:idx val="1"/>
          <c:order val="1"/>
          <c:tx>
            <c:strRef>
              <c:f>OvercrowdingUN!$P$4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OvercrowdingUN!$Q$2:$AB$2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OvercrowdingUN!$Q$4:$AB$4</c:f>
              <c:numCache>
                <c:formatCode>0.0%</c:formatCode>
                <c:ptCount val="12"/>
                <c:pt idx="0">
                  <c:v>1.43205478931261E-2</c:v>
                </c:pt>
                <c:pt idx="1">
                  <c:v>2.0005002804823431E-2</c:v>
                </c:pt>
                <c:pt idx="2">
                  <c:v>1.0112648289526873E-2</c:v>
                </c:pt>
                <c:pt idx="3">
                  <c:v>1.8586718738775734E-2</c:v>
                </c:pt>
                <c:pt idx="4">
                  <c:v>9.7313562427823637E-3</c:v>
                </c:pt>
                <c:pt idx="5">
                  <c:v>1.6295738013068481E-2</c:v>
                </c:pt>
                <c:pt idx="6">
                  <c:v>7.6339320230179586E-3</c:v>
                </c:pt>
                <c:pt idx="7">
                  <c:v>6.6753685273415637E-3</c:v>
                </c:pt>
                <c:pt idx="8">
                  <c:v>1.1385226352345295E-2</c:v>
                </c:pt>
                <c:pt idx="9">
                  <c:v>5.0347851050233849E-3</c:v>
                </c:pt>
                <c:pt idx="10">
                  <c:v>3.2567047798140233E-3</c:v>
                </c:pt>
                <c:pt idx="11">
                  <c:v>5.433551252384098E-3</c:v>
                </c:pt>
              </c:numCache>
            </c:numRef>
          </c:val>
          <c:smooth val="0"/>
          <c:extLst>
            <c:ext xmlns:c16="http://schemas.microsoft.com/office/drawing/2014/chart" uri="{C3380CC4-5D6E-409C-BE32-E72D297353CC}">
              <c16:uniqueId val="{00000001-C190-458C-86AF-F83197E90FB6}"/>
            </c:ext>
          </c:extLst>
        </c:ser>
        <c:ser>
          <c:idx val="2"/>
          <c:order val="2"/>
          <c:tx>
            <c:strRef>
              <c:f>OvercrowdingUN!$P$5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OvercrowdingUN!$Q$2:$AB$2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OvercrowdingUN!$Q$5:$AB$5</c:f>
              <c:numCache>
                <c:formatCode>0.0%</c:formatCode>
                <c:ptCount val="12"/>
                <c:pt idx="0">
                  <c:v>1.0900882797101481E-2</c:v>
                </c:pt>
                <c:pt idx="1">
                  <c:v>1.2420060820569394E-2</c:v>
                </c:pt>
                <c:pt idx="2">
                  <c:v>1.2257529662739637E-2</c:v>
                </c:pt>
                <c:pt idx="3">
                  <c:v>1.1552624825968597E-2</c:v>
                </c:pt>
                <c:pt idx="4">
                  <c:v>1.5883560845590058E-2</c:v>
                </c:pt>
                <c:pt idx="5">
                  <c:v>1.1496179189320693E-2</c:v>
                </c:pt>
                <c:pt idx="6">
                  <c:v>5.0052043640574796E-3</c:v>
                </c:pt>
                <c:pt idx="7">
                  <c:v>6.2412259348687913E-3</c:v>
                </c:pt>
                <c:pt idx="8">
                  <c:v>6.5627740802199838E-3</c:v>
                </c:pt>
                <c:pt idx="9">
                  <c:v>1.0334063821561774E-2</c:v>
                </c:pt>
                <c:pt idx="10">
                  <c:v>6.7927370565190187E-3</c:v>
                </c:pt>
                <c:pt idx="11">
                  <c:v>8.2800415515829114E-3</c:v>
                </c:pt>
              </c:numCache>
            </c:numRef>
          </c:val>
          <c:smooth val="0"/>
          <c:extLst>
            <c:ext xmlns:c16="http://schemas.microsoft.com/office/drawing/2014/chart" uri="{C3380CC4-5D6E-409C-BE32-E72D297353CC}">
              <c16:uniqueId val="{00000002-C190-458C-86AF-F83197E90FB6}"/>
            </c:ext>
          </c:extLst>
        </c:ser>
        <c:ser>
          <c:idx val="3"/>
          <c:order val="3"/>
          <c:tx>
            <c:strRef>
              <c:f>OvercrowdingUN!$P$6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OvercrowdingUN!$Q$2:$AB$2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OvercrowdingUN!$Q$6:$AB$6</c:f>
              <c:numCache>
                <c:formatCode>0.0%</c:formatCode>
                <c:ptCount val="12"/>
                <c:pt idx="0">
                  <c:v>9.7081242430195752E-3</c:v>
                </c:pt>
                <c:pt idx="1">
                  <c:v>1.2513729388520467E-2</c:v>
                </c:pt>
                <c:pt idx="2">
                  <c:v>1.8806116223978195E-2</c:v>
                </c:pt>
                <c:pt idx="3">
                  <c:v>1.3805639305481671E-2</c:v>
                </c:pt>
                <c:pt idx="4">
                  <c:v>6.7728690800508834E-3</c:v>
                </c:pt>
                <c:pt idx="5">
                  <c:v>2.4542561855322911E-3</c:v>
                </c:pt>
                <c:pt idx="6">
                  <c:v>2.0313428401663694E-3</c:v>
                </c:pt>
                <c:pt idx="7">
                  <c:v>5.4057576745932907E-3</c:v>
                </c:pt>
                <c:pt idx="8">
                  <c:v>2.8003843528037076E-3</c:v>
                </c:pt>
                <c:pt idx="9">
                  <c:v>2.8097694519981912E-3</c:v>
                </c:pt>
                <c:pt idx="10">
                  <c:v>5.2513904689672607E-3</c:v>
                </c:pt>
                <c:pt idx="11">
                  <c:v>6.0367427192428644E-3</c:v>
                </c:pt>
              </c:numCache>
            </c:numRef>
          </c:val>
          <c:smooth val="0"/>
          <c:extLst>
            <c:ext xmlns:c16="http://schemas.microsoft.com/office/drawing/2014/chart" uri="{C3380CC4-5D6E-409C-BE32-E72D297353CC}">
              <c16:uniqueId val="{00000003-C190-458C-86AF-F83197E90FB6}"/>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7.0000000000000007E-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OvercrowdingSDG!$A$3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OvercrowdingSDG!$B$3:$M$3</c:f>
              <c:numCache>
                <c:formatCode>0.00%</c:formatCode>
                <c:ptCount val="12"/>
                <c:pt idx="0">
                  <c:v>1.9819466248037678E-3</c:v>
                </c:pt>
                <c:pt idx="1">
                  <c:v>4.0888193918967482E-3</c:v>
                </c:pt>
                <c:pt idx="2">
                  <c:v>2.5167813788498201E-3</c:v>
                </c:pt>
                <c:pt idx="3">
                  <c:v>1.5290649767667071E-3</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0-061E-4189-91A3-3A9923A15B5C}"/>
            </c:ext>
          </c:extLst>
        </c:ser>
        <c:ser>
          <c:idx val="1"/>
          <c:order val="1"/>
          <c:tx>
            <c:strRef>
              <c:f>OvercrowdingSDG!$A$4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OvercrowdingSDG!$B$4:$M$4</c:f>
              <c:numCache>
                <c:formatCode>0.00%</c:formatCode>
                <c:ptCount val="12"/>
                <c:pt idx="0">
                  <c:v>2.1947518057476561E-3</c:v>
                </c:pt>
                <c:pt idx="1">
                  <c:v>7.557629535078535E-3</c:v>
                </c:pt>
                <c:pt idx="2">
                  <c:v>5.9493353310234032E-3</c:v>
                </c:pt>
                <c:pt idx="3">
                  <c:v>9.7135372728650513E-3</c:v>
                </c:pt>
                <c:pt idx="4">
                  <c:v>7.3750509276575031E-3</c:v>
                </c:pt>
                <c:pt idx="5">
                  <c:v>1.1544545825058367E-2</c:v>
                </c:pt>
                <c:pt idx="6">
                  <c:v>4.4138521067879988E-3</c:v>
                </c:pt>
                <c:pt idx="7">
                  <c:v>9.9601593625498006E-4</c:v>
                </c:pt>
                <c:pt idx="8">
                  <c:v>0</c:v>
                </c:pt>
                <c:pt idx="9">
                  <c:v>1.0504201680672268E-3</c:v>
                </c:pt>
                <c:pt idx="10">
                  <c:v>7.5528700906344411E-4</c:v>
                </c:pt>
                <c:pt idx="11">
                  <c:v>7.5987841945288754E-4</c:v>
                </c:pt>
              </c:numCache>
            </c:numRef>
          </c:val>
          <c:smooth val="0"/>
          <c:extLst>
            <c:ext xmlns:c16="http://schemas.microsoft.com/office/drawing/2014/chart" uri="{C3380CC4-5D6E-409C-BE32-E72D297353CC}">
              <c16:uniqueId val="{00000001-061E-4189-91A3-3A9923A15B5C}"/>
            </c:ext>
          </c:extLst>
        </c:ser>
        <c:ser>
          <c:idx val="2"/>
          <c:order val="2"/>
          <c:tx>
            <c:strRef>
              <c:f>OvercrowdingSDG!$A$5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OvercrowdingSDG!$B$5:$M$5</c:f>
              <c:numCache>
                <c:formatCode>0.00%</c:formatCode>
                <c:ptCount val="12"/>
                <c:pt idx="0">
                  <c:v>7.3117475270111877E-3</c:v>
                </c:pt>
                <c:pt idx="1">
                  <c:v>3.1345270510784577E-3</c:v>
                </c:pt>
                <c:pt idx="2">
                  <c:v>5.7219041208490971E-3</c:v>
                </c:pt>
                <c:pt idx="3">
                  <c:v>5.5648303229014961E-3</c:v>
                </c:pt>
                <c:pt idx="4">
                  <c:v>2.7447777175442626E-3</c:v>
                </c:pt>
                <c:pt idx="5">
                  <c:v>5.6225348725348727E-3</c:v>
                </c:pt>
                <c:pt idx="6">
                  <c:v>2.0673865500273371E-3</c:v>
                </c:pt>
                <c:pt idx="7">
                  <c:v>9.6899224806201549E-4</c:v>
                </c:pt>
                <c:pt idx="8">
                  <c:v>1.8727642561548713E-3</c:v>
                </c:pt>
                <c:pt idx="9">
                  <c:v>1.8742147145050956E-3</c:v>
                </c:pt>
                <c:pt idx="10">
                  <c:v>5.9101654846335696E-4</c:v>
                </c:pt>
                <c:pt idx="11">
                  <c:v>7.246376811594203E-4</c:v>
                </c:pt>
              </c:numCache>
            </c:numRef>
          </c:val>
          <c:smooth val="0"/>
          <c:extLst>
            <c:ext xmlns:c16="http://schemas.microsoft.com/office/drawing/2014/chart" uri="{C3380CC4-5D6E-409C-BE32-E72D297353CC}">
              <c16:uniqueId val="{00000002-061E-4189-91A3-3A9923A15B5C}"/>
            </c:ext>
          </c:extLst>
        </c:ser>
        <c:ser>
          <c:idx val="3"/>
          <c:order val="3"/>
          <c:tx>
            <c:strRef>
              <c:f>OvercrowdingSDG!$A$6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OvercrowdingSDG!$B$6:$M$6</c:f>
              <c:numCache>
                <c:formatCode>0.00%</c:formatCode>
                <c:ptCount val="12"/>
                <c:pt idx="0">
                  <c:v>9.0745364442547539E-3</c:v>
                </c:pt>
                <c:pt idx="1">
                  <c:v>5.4438842209938486E-3</c:v>
                </c:pt>
                <c:pt idx="2">
                  <c:v>2.75893753846858E-3</c:v>
                </c:pt>
                <c:pt idx="3">
                  <c:v>1.6167326498475968E-3</c:v>
                </c:pt>
                <c:pt idx="4">
                  <c:v>0</c:v>
                </c:pt>
                <c:pt idx="5">
                  <c:v>1.7046906581790304E-3</c:v>
                </c:pt>
                <c:pt idx="6">
                  <c:v>0</c:v>
                </c:pt>
                <c:pt idx="7">
                  <c:v>1.6262738264955911E-3</c:v>
                </c:pt>
                <c:pt idx="8">
                  <c:v>1.4006591337099813E-3</c:v>
                </c:pt>
                <c:pt idx="9">
                  <c:v>0</c:v>
                </c:pt>
                <c:pt idx="10">
                  <c:v>1.1473195041687258E-3</c:v>
                </c:pt>
                <c:pt idx="11">
                  <c:v>6.2344139650872816E-4</c:v>
                </c:pt>
              </c:numCache>
            </c:numRef>
          </c:val>
          <c:smooth val="0"/>
          <c:extLst>
            <c:ext xmlns:c16="http://schemas.microsoft.com/office/drawing/2014/chart" uri="{C3380CC4-5D6E-409C-BE32-E72D297353CC}">
              <c16:uniqueId val="{00000003-061E-4189-91A3-3A9923A15B5C}"/>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1.5000000000000003E-2"/>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'Construction Sector'!$A$16</c:f>
              <c:strCache>
                <c:ptCount val="1"/>
                <c:pt idx="0">
                  <c:v>USD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'Construction Sector'!$G$15:$J$15</c:f>
              <c:numCache>
                <c:formatCode>General</c:formatCode>
                <c:ptCount val="4"/>
                <c:pt idx="0">
                  <c:v>2015</c:v>
                </c:pt>
                <c:pt idx="1">
                  <c:v>2016</c:v>
                </c:pt>
                <c:pt idx="2">
                  <c:v>2017</c:v>
                </c:pt>
                <c:pt idx="3">
                  <c:v>2018</c:v>
                </c:pt>
              </c:numCache>
            </c:numRef>
          </c:cat>
          <c:val>
            <c:numRef>
              <c:f>'Construction Sector'!$G$16:$J$16</c:f>
              <c:numCache>
                <c:formatCode>0</c:formatCode>
                <c:ptCount val="4"/>
                <c:pt idx="0">
                  <c:v>359.80873095989955</c:v>
                </c:pt>
                <c:pt idx="1">
                  <c:v>371.49340497355223</c:v>
                </c:pt>
                <c:pt idx="2">
                  <c:v>340.03063420667837</c:v>
                </c:pt>
                <c:pt idx="3">
                  <c:v>357.86318763763529</c:v>
                </c:pt>
              </c:numCache>
            </c:numRef>
          </c:val>
          <c:smooth val="0"/>
          <c:extLst>
            <c:ext xmlns:c16="http://schemas.microsoft.com/office/drawing/2014/chart" uri="{C3380CC4-5D6E-409C-BE32-E72D297353CC}">
              <c16:uniqueId val="{00000000-399B-4F54-86CB-A8D3D80391D1}"/>
            </c:ext>
          </c:extLst>
        </c:ser>
        <c:ser>
          <c:idx val="1"/>
          <c:order val="1"/>
          <c:tx>
            <c:strRef>
              <c:f>'Construction Sector'!$A$17</c:f>
              <c:strCache>
                <c:ptCount val="1"/>
                <c:pt idx="0">
                  <c:v>GEL (USD*Average Monthly Exchange Rate)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'Construction Sector'!$G$15:$J$15</c:f>
              <c:numCache>
                <c:formatCode>General</c:formatCode>
                <c:ptCount val="4"/>
                <c:pt idx="0">
                  <c:v>2015</c:v>
                </c:pt>
                <c:pt idx="1">
                  <c:v>2016</c:v>
                </c:pt>
                <c:pt idx="2">
                  <c:v>2017</c:v>
                </c:pt>
                <c:pt idx="3">
                  <c:v>2018</c:v>
                </c:pt>
              </c:numCache>
            </c:numRef>
          </c:cat>
          <c:val>
            <c:numRef>
              <c:f>'Construction Sector'!$G$17:$J$17</c:f>
              <c:numCache>
                <c:formatCode>0</c:formatCode>
                <c:ptCount val="4"/>
                <c:pt idx="0">
                  <c:v>822.7191407315031</c:v>
                </c:pt>
                <c:pt idx="1">
                  <c:v>873.32910480768476</c:v>
                </c:pt>
                <c:pt idx="2">
                  <c:v>851.11386679740201</c:v>
                </c:pt>
                <c:pt idx="3">
                  <c:v>907.35669694730439</c:v>
                </c:pt>
              </c:numCache>
            </c:numRef>
          </c:val>
          <c:smooth val="0"/>
          <c:extLst>
            <c:ext xmlns:c16="http://schemas.microsoft.com/office/drawing/2014/chart" uri="{C3380CC4-5D6E-409C-BE32-E72D297353CC}">
              <c16:uniqueId val="{00000001-399B-4F54-86CB-A8D3D80391D1}"/>
            </c:ext>
          </c:extLst>
        </c:ser>
        <c:dLbls>
          <c:showLegendKey val="0"/>
          <c:showVal val="0"/>
          <c:showCatName val="0"/>
          <c:showSerName val="0"/>
          <c:showPercent val="0"/>
          <c:showBubbleSize val="0"/>
        </c:dLbls>
        <c:marker val="1"/>
        <c:smooth val="0"/>
        <c:axId val="1749683472"/>
        <c:axId val="1749688912"/>
      </c:lineChart>
      <c:catAx>
        <c:axId val="174968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88912"/>
        <c:crosses val="autoZero"/>
        <c:auto val="1"/>
        <c:lblAlgn val="ctr"/>
        <c:lblOffset val="100"/>
        <c:noMultiLvlLbl val="0"/>
      </c:catAx>
      <c:valAx>
        <c:axId val="1749688912"/>
        <c:scaling>
          <c:orientation val="minMax"/>
          <c:max val="12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83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OvercrowdingSDG!$P$3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OvercrowdingSDG!$Q$3:$AB$3</c:f>
              <c:numCache>
                <c:formatCode>0.000%</c:formatCode>
                <c:ptCount val="12"/>
                <c:pt idx="0">
                  <c:v>3.6250343386745728E-3</c:v>
                </c:pt>
                <c:pt idx="1">
                  <c:v>1.1124218798894518E-3</c:v>
                </c:pt>
                <c:pt idx="2">
                  <c:v>8.4530360973789759E-4</c:v>
                </c:pt>
                <c:pt idx="3">
                  <c:v>3.0084235860409147E-4</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0-91F4-4349-9991-DC04A4C9C20C}"/>
            </c:ext>
          </c:extLst>
        </c:ser>
        <c:ser>
          <c:idx val="1"/>
          <c:order val="1"/>
          <c:tx>
            <c:strRef>
              <c:f>OvercrowdingSDG!$P$4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OvercrowdingSDG!$Q$4:$AB$4</c:f>
              <c:numCache>
                <c:formatCode>0.000%</c:formatCode>
                <c:ptCount val="12"/>
                <c:pt idx="0">
                  <c:v>5.9523809523809529E-4</c:v>
                </c:pt>
                <c:pt idx="1">
                  <c:v>1.4201209058096647E-3</c:v>
                </c:pt>
                <c:pt idx="2">
                  <c:v>1.1041834858172925E-3</c:v>
                </c:pt>
                <c:pt idx="3">
                  <c:v>1.3951185317518282E-3</c:v>
                </c:pt>
                <c:pt idx="4">
                  <c:v>5.263157894736842E-4</c:v>
                </c:pt>
                <c:pt idx="5">
                  <c:v>0</c:v>
                </c:pt>
                <c:pt idx="6">
                  <c:v>1.6176621510673235E-3</c:v>
                </c:pt>
                <c:pt idx="7">
                  <c:v>0</c:v>
                </c:pt>
                <c:pt idx="8">
                  <c:v>0</c:v>
                </c:pt>
                <c:pt idx="9">
                  <c:v>0</c:v>
                </c:pt>
                <c:pt idx="10">
                  <c:v>0</c:v>
                </c:pt>
                <c:pt idx="11">
                  <c:v>0</c:v>
                </c:pt>
              </c:numCache>
            </c:numRef>
          </c:val>
          <c:smooth val="0"/>
          <c:extLst>
            <c:ext xmlns:c16="http://schemas.microsoft.com/office/drawing/2014/chart" uri="{C3380CC4-5D6E-409C-BE32-E72D297353CC}">
              <c16:uniqueId val="{00000001-91F4-4349-9991-DC04A4C9C20C}"/>
            </c:ext>
          </c:extLst>
        </c:ser>
        <c:ser>
          <c:idx val="2"/>
          <c:order val="2"/>
          <c:tx>
            <c:strRef>
              <c:f>OvercrowdingSDG!$P$5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OvercrowdingSDG!$Q$5:$AB$5</c:f>
              <c:numCache>
                <c:formatCode>0.000%</c:formatCode>
                <c:ptCount val="12"/>
                <c:pt idx="0">
                  <c:v>5.7870370370370367E-4</c:v>
                </c:pt>
                <c:pt idx="1">
                  <c:v>1.1163514051751491E-3</c:v>
                </c:pt>
                <c:pt idx="2">
                  <c:v>5.5741360089186175E-4</c:v>
                </c:pt>
                <c:pt idx="3">
                  <c:v>8.9302160689340253E-4</c:v>
                </c:pt>
                <c:pt idx="4">
                  <c:v>1.7837663349584807E-3</c:v>
                </c:pt>
                <c:pt idx="5">
                  <c:v>0</c:v>
                </c:pt>
                <c:pt idx="6">
                  <c:v>5.5679287305122492E-4</c:v>
                </c:pt>
                <c:pt idx="7">
                  <c:v>0</c:v>
                </c:pt>
                <c:pt idx="8">
                  <c:v>0</c:v>
                </c:pt>
                <c:pt idx="9">
                  <c:v>0</c:v>
                </c:pt>
                <c:pt idx="10">
                  <c:v>0</c:v>
                </c:pt>
                <c:pt idx="11">
                  <c:v>0</c:v>
                </c:pt>
              </c:numCache>
            </c:numRef>
          </c:val>
          <c:smooth val="0"/>
          <c:extLst>
            <c:ext xmlns:c16="http://schemas.microsoft.com/office/drawing/2014/chart" uri="{C3380CC4-5D6E-409C-BE32-E72D297353CC}">
              <c16:uniqueId val="{00000002-91F4-4349-9991-DC04A4C9C20C}"/>
            </c:ext>
          </c:extLst>
        </c:ser>
        <c:ser>
          <c:idx val="3"/>
          <c:order val="3"/>
          <c:tx>
            <c:strRef>
              <c:f>OvercrowdingSDG!$P$6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OvercrowdingSDG!$Q$6:$AB$6</c:f>
              <c:numCache>
                <c:formatCode>0.000%</c:formatCode>
                <c:ptCount val="12"/>
                <c:pt idx="0">
                  <c:v>0</c:v>
                </c:pt>
                <c:pt idx="1">
                  <c:v>6.873938478958294E-4</c:v>
                </c:pt>
                <c:pt idx="2">
                  <c:v>4.1033909318488465E-3</c:v>
                </c:pt>
                <c:pt idx="3">
                  <c:v>2.0652130544483245E-3</c:v>
                </c:pt>
                <c:pt idx="4">
                  <c:v>6.4432989690721648E-4</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91F4-4349-9991-DC04A4C9C20C}"/>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1.5000000000000003E-2"/>
          <c:min val="0"/>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OvercrowdingUN!$A$3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OvercrowdingUN!$B$3:$M$3</c:f>
              <c:numCache>
                <c:formatCode>0.0%</c:formatCode>
                <c:ptCount val="12"/>
                <c:pt idx="0">
                  <c:v>4.1145734199454033E-2</c:v>
                </c:pt>
                <c:pt idx="1">
                  <c:v>3.6255893006179193E-2</c:v>
                </c:pt>
                <c:pt idx="2">
                  <c:v>3.4365369281196392E-2</c:v>
                </c:pt>
                <c:pt idx="3">
                  <c:v>3.6678478227416975E-2</c:v>
                </c:pt>
                <c:pt idx="4">
                  <c:v>3.0361533602296837E-2</c:v>
                </c:pt>
                <c:pt idx="5">
                  <c:v>3.3546215438537877E-2</c:v>
                </c:pt>
                <c:pt idx="6">
                  <c:v>2.6488873222922159E-2</c:v>
                </c:pt>
                <c:pt idx="7">
                  <c:v>2.1583275793138762E-2</c:v>
                </c:pt>
                <c:pt idx="8">
                  <c:v>1.671982978064733E-2</c:v>
                </c:pt>
                <c:pt idx="9">
                  <c:v>2.4055008678467334E-2</c:v>
                </c:pt>
                <c:pt idx="10">
                  <c:v>1.4442827239133134E-2</c:v>
                </c:pt>
                <c:pt idx="11">
                  <c:v>1.6762642004867562E-2</c:v>
                </c:pt>
              </c:numCache>
            </c:numRef>
          </c:val>
          <c:smooth val="0"/>
          <c:extLst>
            <c:ext xmlns:c16="http://schemas.microsoft.com/office/drawing/2014/chart" uri="{C3380CC4-5D6E-409C-BE32-E72D297353CC}">
              <c16:uniqueId val="{00000000-14A4-4D29-83E5-FD2BE161381B}"/>
            </c:ext>
          </c:extLst>
        </c:ser>
        <c:ser>
          <c:idx val="1"/>
          <c:order val="1"/>
          <c:tx>
            <c:strRef>
              <c:f>OvercrowdingUN!$A$4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OvercrowdingUN!$B$4:$M$4</c:f>
              <c:numCache>
                <c:formatCode>0.0%</c:formatCode>
                <c:ptCount val="12"/>
                <c:pt idx="0">
                  <c:v>0.12457030930020768</c:v>
                </c:pt>
                <c:pt idx="1">
                  <c:v>0.10219162824694394</c:v>
                </c:pt>
                <c:pt idx="2">
                  <c:v>0.12441685759649929</c:v>
                </c:pt>
                <c:pt idx="3">
                  <c:v>0.12016036201889441</c:v>
                </c:pt>
                <c:pt idx="4">
                  <c:v>5.6340057491450969E-2</c:v>
                </c:pt>
                <c:pt idx="5">
                  <c:v>0.11909129938705268</c:v>
                </c:pt>
                <c:pt idx="6">
                  <c:v>0.12692848711390911</c:v>
                </c:pt>
                <c:pt idx="7">
                  <c:v>0.10131578947368422</c:v>
                </c:pt>
                <c:pt idx="8">
                  <c:v>4.4871648918780066E-2</c:v>
                </c:pt>
                <c:pt idx="9">
                  <c:v>2.1203375878928524E-2</c:v>
                </c:pt>
                <c:pt idx="10">
                  <c:v>4.6571699837028774E-2</c:v>
                </c:pt>
                <c:pt idx="11">
                  <c:v>5.2428628391014517E-2</c:v>
                </c:pt>
              </c:numCache>
            </c:numRef>
          </c:val>
          <c:smooth val="0"/>
          <c:extLst>
            <c:ext xmlns:c16="http://schemas.microsoft.com/office/drawing/2014/chart" uri="{C3380CC4-5D6E-409C-BE32-E72D297353CC}">
              <c16:uniqueId val="{00000001-14A4-4D29-83E5-FD2BE161381B}"/>
            </c:ext>
          </c:extLst>
        </c:ser>
        <c:ser>
          <c:idx val="2"/>
          <c:order val="2"/>
          <c:tx>
            <c:strRef>
              <c:f>OvercrowdingUN!$A$5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OvercrowdingUN!$B$5:$M$5</c:f>
              <c:numCache>
                <c:formatCode>0.0%</c:formatCode>
                <c:ptCount val="12"/>
                <c:pt idx="0">
                  <c:v>3.7697574626997951E-2</c:v>
                </c:pt>
                <c:pt idx="1">
                  <c:v>2.8041716389887065E-2</c:v>
                </c:pt>
                <c:pt idx="2">
                  <c:v>2.8276468893448606E-2</c:v>
                </c:pt>
                <c:pt idx="3">
                  <c:v>3.1480665807644623E-2</c:v>
                </c:pt>
                <c:pt idx="4">
                  <c:v>2.136100378738184E-2</c:v>
                </c:pt>
                <c:pt idx="5">
                  <c:v>2.4171801460136408E-2</c:v>
                </c:pt>
                <c:pt idx="6">
                  <c:v>1.8585241105910165E-2</c:v>
                </c:pt>
                <c:pt idx="7">
                  <c:v>2.289846156706556E-2</c:v>
                </c:pt>
                <c:pt idx="8">
                  <c:v>1.0046597436327952E-2</c:v>
                </c:pt>
                <c:pt idx="9">
                  <c:v>1.2319353023011057E-2</c:v>
                </c:pt>
                <c:pt idx="10">
                  <c:v>1.0099558301058988E-2</c:v>
                </c:pt>
                <c:pt idx="11">
                  <c:v>1.0593253316913881E-2</c:v>
                </c:pt>
              </c:numCache>
            </c:numRef>
          </c:val>
          <c:smooth val="0"/>
          <c:extLst>
            <c:ext xmlns:c16="http://schemas.microsoft.com/office/drawing/2014/chart" uri="{C3380CC4-5D6E-409C-BE32-E72D297353CC}">
              <c16:uniqueId val="{00000002-14A4-4D29-83E5-FD2BE161381B}"/>
            </c:ext>
          </c:extLst>
        </c:ser>
        <c:ser>
          <c:idx val="3"/>
          <c:order val="3"/>
          <c:tx>
            <c:strRef>
              <c:f>OvercrowdingUN!$A$6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OvercrowdingUN!$B$6:$M$6</c:f>
              <c:numCache>
                <c:formatCode>0.0%</c:formatCode>
                <c:ptCount val="12"/>
                <c:pt idx="0">
                  <c:v>4.5676044869711253E-2</c:v>
                </c:pt>
                <c:pt idx="1">
                  <c:v>2.3417461415886499E-2</c:v>
                </c:pt>
                <c:pt idx="2">
                  <c:v>3.1924618854144993E-2</c:v>
                </c:pt>
                <c:pt idx="3">
                  <c:v>4.3332219251336901E-2</c:v>
                </c:pt>
                <c:pt idx="4">
                  <c:v>1.6940235690235689E-2</c:v>
                </c:pt>
                <c:pt idx="5">
                  <c:v>3.7771337319957757E-2</c:v>
                </c:pt>
                <c:pt idx="6">
                  <c:v>3.2041583060672341E-2</c:v>
                </c:pt>
                <c:pt idx="7">
                  <c:v>1.7365705573252743E-2</c:v>
                </c:pt>
                <c:pt idx="8">
                  <c:v>1.0940566956022725E-2</c:v>
                </c:pt>
                <c:pt idx="9">
                  <c:v>1.4910764470578701E-2</c:v>
                </c:pt>
                <c:pt idx="10">
                  <c:v>1.0900076382209571E-2</c:v>
                </c:pt>
                <c:pt idx="11">
                  <c:v>2.6045396228666903E-2</c:v>
                </c:pt>
              </c:numCache>
            </c:numRef>
          </c:val>
          <c:smooth val="0"/>
          <c:extLst>
            <c:ext xmlns:c16="http://schemas.microsoft.com/office/drawing/2014/chart" uri="{C3380CC4-5D6E-409C-BE32-E72D297353CC}">
              <c16:uniqueId val="{00000003-14A4-4D29-83E5-FD2BE161381B}"/>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1500000000000000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OvercrowdingUN!$P$3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OvercrowdingUN!$Q$2:$AB$2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OvercrowdingUN!$Q$3:$AB$3</c:f>
              <c:numCache>
                <c:formatCode>0.0%</c:formatCode>
                <c:ptCount val="12"/>
                <c:pt idx="0">
                  <c:v>1.2629024747753339E-2</c:v>
                </c:pt>
                <c:pt idx="1">
                  <c:v>1.4522548495803832E-2</c:v>
                </c:pt>
                <c:pt idx="2">
                  <c:v>1.2310270088167376E-2</c:v>
                </c:pt>
                <c:pt idx="3">
                  <c:v>1.3633703107246951E-2</c:v>
                </c:pt>
                <c:pt idx="4">
                  <c:v>1.0348882136028628E-2</c:v>
                </c:pt>
                <c:pt idx="5">
                  <c:v>8.983352485447094E-3</c:v>
                </c:pt>
                <c:pt idx="6">
                  <c:v>6.3963242047427342E-3</c:v>
                </c:pt>
                <c:pt idx="7">
                  <c:v>4.9546899878574833E-3</c:v>
                </c:pt>
                <c:pt idx="8">
                  <c:v>5.3338351991346067E-3</c:v>
                </c:pt>
                <c:pt idx="9">
                  <c:v>5.5337773279088886E-3</c:v>
                </c:pt>
                <c:pt idx="10">
                  <c:v>4.7931091220954286E-3</c:v>
                </c:pt>
                <c:pt idx="11">
                  <c:v>5.1451775046671968E-3</c:v>
                </c:pt>
              </c:numCache>
            </c:numRef>
          </c:val>
          <c:smooth val="0"/>
          <c:extLst>
            <c:ext xmlns:c16="http://schemas.microsoft.com/office/drawing/2014/chart" uri="{C3380CC4-5D6E-409C-BE32-E72D297353CC}">
              <c16:uniqueId val="{00000000-F4DD-4F4A-A758-9FE5A7EFA7C9}"/>
            </c:ext>
          </c:extLst>
        </c:ser>
        <c:ser>
          <c:idx val="1"/>
          <c:order val="1"/>
          <c:tx>
            <c:strRef>
              <c:f>OvercrowdingUN!$P$4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OvercrowdingUN!$Q$2:$AB$2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OvercrowdingUN!$Q$4:$AB$4</c:f>
              <c:numCache>
                <c:formatCode>0.0%</c:formatCode>
                <c:ptCount val="12"/>
                <c:pt idx="0">
                  <c:v>0</c:v>
                </c:pt>
                <c:pt idx="1">
                  <c:v>4.8151311249137331E-2</c:v>
                </c:pt>
                <c:pt idx="2">
                  <c:v>1.7520881636050173E-2</c:v>
                </c:pt>
                <c:pt idx="3">
                  <c:v>3.6037519400769283E-2</c:v>
                </c:pt>
                <c:pt idx="4">
                  <c:v>3.6599883855981417E-2</c:v>
                </c:pt>
                <c:pt idx="5">
                  <c:v>0</c:v>
                </c:pt>
                <c:pt idx="6">
                  <c:v>0</c:v>
                </c:pt>
                <c:pt idx="7">
                  <c:v>0</c:v>
                </c:pt>
                <c:pt idx="8">
                  <c:v>0</c:v>
                </c:pt>
                <c:pt idx="9">
                  <c:v>0</c:v>
                </c:pt>
                <c:pt idx="10">
                  <c:v>6.8262411347517725E-3</c:v>
                </c:pt>
                <c:pt idx="11">
                  <c:v>1.518288474810214E-2</c:v>
                </c:pt>
              </c:numCache>
            </c:numRef>
          </c:val>
          <c:smooth val="0"/>
          <c:extLst>
            <c:ext xmlns:c16="http://schemas.microsoft.com/office/drawing/2014/chart" uri="{C3380CC4-5D6E-409C-BE32-E72D297353CC}">
              <c16:uniqueId val="{00000001-F4DD-4F4A-A758-9FE5A7EFA7C9}"/>
            </c:ext>
          </c:extLst>
        </c:ser>
        <c:ser>
          <c:idx val="2"/>
          <c:order val="2"/>
          <c:tx>
            <c:strRef>
              <c:f>OvercrowdingUN!$P$5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OvercrowdingUN!$Q$2:$AB$2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OvercrowdingUN!$Q$5:$AB$5</c:f>
              <c:numCache>
                <c:formatCode>0.0%</c:formatCode>
                <c:ptCount val="12"/>
                <c:pt idx="0">
                  <c:v>1.5261130226910844E-3</c:v>
                </c:pt>
                <c:pt idx="1">
                  <c:v>5.7418699186991872E-3</c:v>
                </c:pt>
                <c:pt idx="2">
                  <c:v>8.921303929153749E-3</c:v>
                </c:pt>
                <c:pt idx="3">
                  <c:v>8.8670901240635105E-3</c:v>
                </c:pt>
                <c:pt idx="4">
                  <c:v>7.563956739978988E-3</c:v>
                </c:pt>
                <c:pt idx="5">
                  <c:v>6.6924871170154186E-3</c:v>
                </c:pt>
                <c:pt idx="6">
                  <c:v>2.5486435390908264E-3</c:v>
                </c:pt>
                <c:pt idx="7">
                  <c:v>2.9580269525667016E-3</c:v>
                </c:pt>
                <c:pt idx="8">
                  <c:v>5.9835676103648233E-3</c:v>
                </c:pt>
                <c:pt idx="9">
                  <c:v>7.7926421831087372E-3</c:v>
                </c:pt>
                <c:pt idx="10">
                  <c:v>2.4082599248462159E-3</c:v>
                </c:pt>
                <c:pt idx="11">
                  <c:v>1.2923002945242532E-3</c:v>
                </c:pt>
              </c:numCache>
            </c:numRef>
          </c:val>
          <c:smooth val="0"/>
          <c:extLst>
            <c:ext xmlns:c16="http://schemas.microsoft.com/office/drawing/2014/chart" uri="{C3380CC4-5D6E-409C-BE32-E72D297353CC}">
              <c16:uniqueId val="{00000002-F4DD-4F4A-A758-9FE5A7EFA7C9}"/>
            </c:ext>
          </c:extLst>
        </c:ser>
        <c:ser>
          <c:idx val="3"/>
          <c:order val="3"/>
          <c:tx>
            <c:strRef>
              <c:f>OvercrowdingUN!$P$6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OvercrowdingUN!$Q$2:$AB$2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OvercrowdingUN!$Q$6:$AB$6</c:f>
              <c:numCache>
                <c:formatCode>0.0%</c:formatCode>
                <c:ptCount val="12"/>
                <c:pt idx="0">
                  <c:v>1.0168401774120803E-2</c:v>
                </c:pt>
                <c:pt idx="1">
                  <c:v>9.5711848154245785E-3</c:v>
                </c:pt>
                <c:pt idx="2">
                  <c:v>1.743113543582437E-2</c:v>
                </c:pt>
                <c:pt idx="3">
                  <c:v>1.3007166413902552E-2</c:v>
                </c:pt>
                <c:pt idx="4">
                  <c:v>6.2857178740913424E-3</c:v>
                </c:pt>
                <c:pt idx="5">
                  <c:v>1.472435688428138E-2</c:v>
                </c:pt>
                <c:pt idx="6">
                  <c:v>8.401402741239402E-3</c:v>
                </c:pt>
                <c:pt idx="7">
                  <c:v>1.3190153838300198E-2</c:v>
                </c:pt>
                <c:pt idx="8">
                  <c:v>1.0514419345362538E-2</c:v>
                </c:pt>
                <c:pt idx="9">
                  <c:v>9.8255253853487996E-3</c:v>
                </c:pt>
                <c:pt idx="10">
                  <c:v>1.3736263736263737E-3</c:v>
                </c:pt>
                <c:pt idx="11">
                  <c:v>2.809786898184688E-3</c:v>
                </c:pt>
              </c:numCache>
            </c:numRef>
          </c:val>
          <c:smooth val="0"/>
          <c:extLst>
            <c:ext xmlns:c16="http://schemas.microsoft.com/office/drawing/2014/chart" uri="{C3380CC4-5D6E-409C-BE32-E72D297353CC}">
              <c16:uniqueId val="{00000003-F4DD-4F4A-A758-9FE5A7EFA7C9}"/>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1500000000000000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OvercrowdingSDG!$A$3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OvercrowdingSDG!$B$3:$M$3</c:f>
              <c:numCache>
                <c:formatCode>0.0%</c:formatCode>
                <c:ptCount val="12"/>
                <c:pt idx="0">
                  <c:v>5.2654200999110671E-3</c:v>
                </c:pt>
                <c:pt idx="1">
                  <c:v>5.0325514047877273E-3</c:v>
                </c:pt>
                <c:pt idx="2">
                  <c:v>4.0953627898114254E-3</c:v>
                </c:pt>
                <c:pt idx="3">
                  <c:v>4.209869862566446E-3</c:v>
                </c:pt>
                <c:pt idx="4">
                  <c:v>2.3002517103684192E-3</c:v>
                </c:pt>
                <c:pt idx="5">
                  <c:v>4.4011835418842262E-3</c:v>
                </c:pt>
                <c:pt idx="6">
                  <c:v>1.4399101221463273E-3</c:v>
                </c:pt>
                <c:pt idx="7">
                  <c:v>9.3057427765399201E-4</c:v>
                </c:pt>
                <c:pt idx="8">
                  <c:v>9.429909287627799E-4</c:v>
                </c:pt>
                <c:pt idx="9">
                  <c:v>7.223692668261039E-4</c:v>
                </c:pt>
                <c:pt idx="10">
                  <c:v>6.7114528971799065E-4</c:v>
                </c:pt>
                <c:pt idx="11">
                  <c:v>5.3111385340713808E-4</c:v>
                </c:pt>
              </c:numCache>
            </c:numRef>
          </c:val>
          <c:smooth val="0"/>
          <c:extLst>
            <c:ext xmlns:c16="http://schemas.microsoft.com/office/drawing/2014/chart" uri="{C3380CC4-5D6E-409C-BE32-E72D297353CC}">
              <c16:uniqueId val="{00000000-218C-4111-BF94-6AC423D08B7A}"/>
            </c:ext>
          </c:extLst>
        </c:ser>
        <c:ser>
          <c:idx val="1"/>
          <c:order val="1"/>
          <c:tx>
            <c:strRef>
              <c:f>OvercrowdingSDG!$A$4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OvercrowdingSDG!$B$4:$M$4</c:f>
              <c:numCache>
                <c:formatCode>0.0%</c:formatCode>
                <c:ptCount val="12"/>
                <c:pt idx="0">
                  <c:v>3.7237913167223205E-2</c:v>
                </c:pt>
                <c:pt idx="1">
                  <c:v>5.0080634284363476E-2</c:v>
                </c:pt>
                <c:pt idx="2">
                  <c:v>2.1796606677758859E-2</c:v>
                </c:pt>
                <c:pt idx="3">
                  <c:v>4.4774683980739013E-2</c:v>
                </c:pt>
                <c:pt idx="4">
                  <c:v>2.882470557836642E-2</c:v>
                </c:pt>
                <c:pt idx="5">
                  <c:v>2.9405257982103281E-2</c:v>
                </c:pt>
                <c:pt idx="6">
                  <c:v>4.9019607843137254E-3</c:v>
                </c:pt>
                <c:pt idx="7">
                  <c:v>0</c:v>
                </c:pt>
                <c:pt idx="8">
                  <c:v>0</c:v>
                </c:pt>
                <c:pt idx="9">
                  <c:v>0</c:v>
                </c:pt>
                <c:pt idx="10">
                  <c:v>2.7472527472527475E-3</c:v>
                </c:pt>
                <c:pt idx="11">
                  <c:v>3.0864197530864196E-3</c:v>
                </c:pt>
              </c:numCache>
            </c:numRef>
          </c:val>
          <c:smooth val="0"/>
          <c:extLst>
            <c:ext xmlns:c16="http://schemas.microsoft.com/office/drawing/2014/chart" uri="{C3380CC4-5D6E-409C-BE32-E72D297353CC}">
              <c16:uniqueId val="{00000001-218C-4111-BF94-6AC423D08B7A}"/>
            </c:ext>
          </c:extLst>
        </c:ser>
        <c:ser>
          <c:idx val="2"/>
          <c:order val="2"/>
          <c:tx>
            <c:strRef>
              <c:f>OvercrowdingSDG!$A$5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OvercrowdingSDG!$B$5:$M$5</c:f>
              <c:numCache>
                <c:formatCode>0.0%</c:formatCode>
                <c:ptCount val="12"/>
                <c:pt idx="0">
                  <c:v>4.056560366785051E-3</c:v>
                </c:pt>
                <c:pt idx="1">
                  <c:v>8.2955680264245307E-3</c:v>
                </c:pt>
                <c:pt idx="2">
                  <c:v>6.1509427724776404E-3</c:v>
                </c:pt>
                <c:pt idx="3">
                  <c:v>3.6323454901792808E-3</c:v>
                </c:pt>
                <c:pt idx="4">
                  <c:v>1.2749391727493917E-3</c:v>
                </c:pt>
                <c:pt idx="5">
                  <c:v>1.8567294693865068E-3</c:v>
                </c:pt>
                <c:pt idx="6">
                  <c:v>0</c:v>
                </c:pt>
                <c:pt idx="7">
                  <c:v>0</c:v>
                </c:pt>
                <c:pt idx="8">
                  <c:v>2.5144465305821668E-3</c:v>
                </c:pt>
                <c:pt idx="9">
                  <c:v>1.9218651845480106E-3</c:v>
                </c:pt>
                <c:pt idx="10">
                  <c:v>4.4326241134751772E-4</c:v>
                </c:pt>
                <c:pt idx="11">
                  <c:v>9.3372716683986969E-4</c:v>
                </c:pt>
              </c:numCache>
            </c:numRef>
          </c:val>
          <c:smooth val="0"/>
          <c:extLst>
            <c:ext xmlns:c16="http://schemas.microsoft.com/office/drawing/2014/chart" uri="{C3380CC4-5D6E-409C-BE32-E72D297353CC}">
              <c16:uniqueId val="{00000002-218C-4111-BF94-6AC423D08B7A}"/>
            </c:ext>
          </c:extLst>
        </c:ser>
        <c:ser>
          <c:idx val="3"/>
          <c:order val="3"/>
          <c:tx>
            <c:strRef>
              <c:f>OvercrowdingSDG!$A$6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OvercrowdingSDG!$B$6:$M$6</c:f>
              <c:numCache>
                <c:formatCode>0.0%</c:formatCode>
                <c:ptCount val="12"/>
                <c:pt idx="0">
                  <c:v>5.9727570959920125E-3</c:v>
                </c:pt>
                <c:pt idx="1">
                  <c:v>4.2996993342401032E-3</c:v>
                </c:pt>
                <c:pt idx="2">
                  <c:v>7.7177565737833603E-3</c:v>
                </c:pt>
                <c:pt idx="3">
                  <c:v>7.5359077197312491E-3</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218C-4111-BF94-6AC423D08B7A}"/>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7.0000000000000007E-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OvercrowdingSDG!$P$3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OvercrowdingSDG!$Q$3:$AB$3</c:f>
              <c:numCache>
                <c:formatCode>0.00%</c:formatCode>
                <c:ptCount val="12"/>
                <c:pt idx="0">
                  <c:v>1.2036613748222025E-3</c:v>
                </c:pt>
                <c:pt idx="1">
                  <c:v>1.0970717083345211E-3</c:v>
                </c:pt>
                <c:pt idx="2">
                  <c:v>1.5544215829536372E-3</c:v>
                </c:pt>
                <c:pt idx="3">
                  <c:v>1.1303758272489524E-3</c:v>
                </c:pt>
                <c:pt idx="4">
                  <c:v>7.3461260326545912E-4</c:v>
                </c:pt>
                <c:pt idx="5">
                  <c:v>0</c:v>
                </c:pt>
                <c:pt idx="6">
                  <c:v>5.8149288559055246E-4</c:v>
                </c:pt>
                <c:pt idx="7">
                  <c:v>0</c:v>
                </c:pt>
                <c:pt idx="8">
                  <c:v>0</c:v>
                </c:pt>
                <c:pt idx="9">
                  <c:v>0</c:v>
                </c:pt>
                <c:pt idx="10">
                  <c:v>0</c:v>
                </c:pt>
                <c:pt idx="11">
                  <c:v>0</c:v>
                </c:pt>
              </c:numCache>
            </c:numRef>
          </c:val>
          <c:smooth val="0"/>
          <c:extLst>
            <c:ext xmlns:c16="http://schemas.microsoft.com/office/drawing/2014/chart" uri="{C3380CC4-5D6E-409C-BE32-E72D297353CC}">
              <c16:uniqueId val="{00000000-C1D2-4759-A081-1D16A1A7ADAF}"/>
            </c:ext>
          </c:extLst>
        </c:ser>
        <c:ser>
          <c:idx val="1"/>
          <c:order val="1"/>
          <c:tx>
            <c:strRef>
              <c:f>OvercrowdingSDG!$P$4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OvercrowdingSDG!$Q$4:$AB$4</c:f>
              <c:numCache>
                <c:formatCode>0.0%</c:formatCode>
                <c:ptCount val="12"/>
                <c:pt idx="0">
                  <c:v>0</c:v>
                </c:pt>
                <c:pt idx="1">
                  <c:v>1.3723544973544973E-2</c:v>
                </c:pt>
                <c:pt idx="2">
                  <c:v>0</c:v>
                </c:pt>
                <c:pt idx="3">
                  <c:v>1.3202982657399285E-2</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1-C1D2-4759-A081-1D16A1A7ADAF}"/>
            </c:ext>
          </c:extLst>
        </c:ser>
        <c:ser>
          <c:idx val="2"/>
          <c:order val="2"/>
          <c:tx>
            <c:strRef>
              <c:f>OvercrowdingSDG!$P$5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OvercrowdingSDG!$Q$5:$AB$5</c:f>
              <c:numCache>
                <c:formatCode>0.0%</c:formatCode>
                <c:ptCount val="12"/>
                <c:pt idx="0">
                  <c:v>1.0251110186830685E-3</c:v>
                </c:pt>
                <c:pt idx="1">
                  <c:v>2.2583559168925022E-4</c:v>
                </c:pt>
                <c:pt idx="2">
                  <c:v>4.9569789252247836E-4</c:v>
                </c:pt>
                <c:pt idx="3">
                  <c:v>1.5137841883676763E-3</c:v>
                </c:pt>
                <c:pt idx="4">
                  <c:v>4.8923679060665359E-4</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C1D2-4759-A081-1D16A1A7ADAF}"/>
            </c:ext>
          </c:extLst>
        </c:ser>
        <c:ser>
          <c:idx val="3"/>
          <c:order val="3"/>
          <c:tx>
            <c:strRef>
              <c:f>OvercrowdingSDG!$P$6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OvercrowdingSDG!$Q$6:$AB$6</c:f>
              <c:numCache>
                <c:formatCode>0.0%</c:formatCode>
                <c:ptCount val="12"/>
                <c:pt idx="0">
                  <c:v>0</c:v>
                </c:pt>
                <c:pt idx="1">
                  <c:v>2.2477262239687995E-3</c:v>
                </c:pt>
                <c:pt idx="2">
                  <c:v>6.0094060754361436E-3</c:v>
                </c:pt>
                <c:pt idx="3">
                  <c:v>0</c:v>
                </c:pt>
                <c:pt idx="4">
                  <c:v>0</c:v>
                </c:pt>
                <c:pt idx="5">
                  <c:v>0</c:v>
                </c:pt>
                <c:pt idx="6">
                  <c:v>4.2403591065115565E-3</c:v>
                </c:pt>
                <c:pt idx="7">
                  <c:v>0</c:v>
                </c:pt>
                <c:pt idx="8">
                  <c:v>0</c:v>
                </c:pt>
                <c:pt idx="9">
                  <c:v>0</c:v>
                </c:pt>
                <c:pt idx="10">
                  <c:v>0</c:v>
                </c:pt>
                <c:pt idx="11">
                  <c:v>0</c:v>
                </c:pt>
              </c:numCache>
            </c:numRef>
          </c:val>
          <c:smooth val="0"/>
          <c:extLst>
            <c:ext xmlns:c16="http://schemas.microsoft.com/office/drawing/2014/chart" uri="{C3380CC4-5D6E-409C-BE32-E72D297353CC}">
              <c16:uniqueId val="{00000003-C1D2-4759-A081-1D16A1A7ADAF}"/>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7.0000000000000007E-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OvercrowdingUN!$A$3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OvercrowdingUN!$B$3:$M$3</c:f>
              <c:numCache>
                <c:formatCode>0.0%</c:formatCode>
                <c:ptCount val="12"/>
                <c:pt idx="0">
                  <c:v>4.0749004174997924E-2</c:v>
                </c:pt>
                <c:pt idx="1">
                  <c:v>3.7828740941580889E-2</c:v>
                </c:pt>
                <c:pt idx="2">
                  <c:v>3.6120476012424234E-2</c:v>
                </c:pt>
                <c:pt idx="3">
                  <c:v>3.7963506691230706E-2</c:v>
                </c:pt>
                <c:pt idx="4">
                  <c:v>3.1241697335044592E-2</c:v>
                </c:pt>
                <c:pt idx="5">
                  <c:v>3.2460430784281742E-2</c:v>
                </c:pt>
                <c:pt idx="6">
                  <c:v>2.7102409780573749E-2</c:v>
                </c:pt>
                <c:pt idx="7">
                  <c:v>2.200093051238889E-2</c:v>
                </c:pt>
                <c:pt idx="8">
                  <c:v>1.6402173785033478E-2</c:v>
                </c:pt>
                <c:pt idx="9">
                  <c:v>2.2614318696379768E-2</c:v>
                </c:pt>
                <c:pt idx="10">
                  <c:v>1.3734351296368144E-2</c:v>
                </c:pt>
                <c:pt idx="11">
                  <c:v>1.4752858362131499E-2</c:v>
                </c:pt>
              </c:numCache>
            </c:numRef>
          </c:val>
          <c:smooth val="0"/>
          <c:extLst>
            <c:ext xmlns:c16="http://schemas.microsoft.com/office/drawing/2014/chart" uri="{C3380CC4-5D6E-409C-BE32-E72D297353CC}">
              <c16:uniqueId val="{00000000-22F6-4BCB-9EF4-04F26969D5DB}"/>
            </c:ext>
          </c:extLst>
        </c:ser>
        <c:ser>
          <c:idx val="1"/>
          <c:order val="1"/>
          <c:tx>
            <c:strRef>
              <c:f>OvercrowdingUN!$A$4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OvercrowdingUN!$B$4:$M$4</c:f>
              <c:numCache>
                <c:formatCode>0.0%</c:formatCode>
                <c:ptCount val="12"/>
                <c:pt idx="0">
                  <c:v>4.3976009200265676E-2</c:v>
                </c:pt>
                <c:pt idx="1">
                  <c:v>2.5597971953472208E-2</c:v>
                </c:pt>
                <c:pt idx="2">
                  <c:v>2.2214688599695973E-2</c:v>
                </c:pt>
                <c:pt idx="3">
                  <c:v>2.302375353335883E-2</c:v>
                </c:pt>
                <c:pt idx="4">
                  <c:v>2.0915050583327516E-2</c:v>
                </c:pt>
                <c:pt idx="5">
                  <c:v>3.1838416552492796E-2</c:v>
                </c:pt>
                <c:pt idx="6">
                  <c:v>1.256298938275217E-2</c:v>
                </c:pt>
                <c:pt idx="7">
                  <c:v>1.5978196047676231E-2</c:v>
                </c:pt>
                <c:pt idx="8">
                  <c:v>1.703435177056048E-2</c:v>
                </c:pt>
                <c:pt idx="9">
                  <c:v>2.2712410370891618E-2</c:v>
                </c:pt>
                <c:pt idx="10">
                  <c:v>1.3756936093001666E-2</c:v>
                </c:pt>
                <c:pt idx="11">
                  <c:v>2.4736377688011409E-2</c:v>
                </c:pt>
              </c:numCache>
            </c:numRef>
          </c:val>
          <c:smooth val="0"/>
          <c:extLst>
            <c:ext xmlns:c16="http://schemas.microsoft.com/office/drawing/2014/chart" uri="{C3380CC4-5D6E-409C-BE32-E72D297353CC}">
              <c16:uniqueId val="{00000001-22F6-4BCB-9EF4-04F26969D5DB}"/>
            </c:ext>
          </c:extLst>
        </c:ser>
        <c:ser>
          <c:idx val="2"/>
          <c:order val="2"/>
          <c:tx>
            <c:strRef>
              <c:f>OvercrowdingUN!$A$5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OvercrowdingUN!$B$5:$M$5</c:f>
              <c:numCache>
                <c:formatCode>0.0%</c:formatCode>
                <c:ptCount val="12"/>
                <c:pt idx="0">
                  <c:v>4.1846608890403619E-2</c:v>
                </c:pt>
                <c:pt idx="1">
                  <c:v>3.2221483451536644E-2</c:v>
                </c:pt>
                <c:pt idx="2">
                  <c:v>2.9588879439754308E-2</c:v>
                </c:pt>
                <c:pt idx="3">
                  <c:v>5.0499581041860857E-2</c:v>
                </c:pt>
                <c:pt idx="4">
                  <c:v>4.158928926370787E-2</c:v>
                </c:pt>
                <c:pt idx="5">
                  <c:v>5.7755231240837007E-2</c:v>
                </c:pt>
                <c:pt idx="6">
                  <c:v>4.0987874143526871E-2</c:v>
                </c:pt>
                <c:pt idx="7">
                  <c:v>2.8564753413085061E-2</c:v>
                </c:pt>
                <c:pt idx="8">
                  <c:v>2.2291795506081222E-2</c:v>
                </c:pt>
                <c:pt idx="9">
                  <c:v>6.230063795853269E-2</c:v>
                </c:pt>
                <c:pt idx="10">
                  <c:v>3.102694983745025E-2</c:v>
                </c:pt>
                <c:pt idx="11">
                  <c:v>5.4789615657488674E-2</c:v>
                </c:pt>
              </c:numCache>
            </c:numRef>
          </c:val>
          <c:smooth val="0"/>
          <c:extLst>
            <c:ext xmlns:c16="http://schemas.microsoft.com/office/drawing/2014/chart" uri="{C3380CC4-5D6E-409C-BE32-E72D297353CC}">
              <c16:uniqueId val="{00000002-22F6-4BCB-9EF4-04F26969D5DB}"/>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7.0000000000000007E-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OvercrowdingSDG!$A$3</c:f>
              <c:strCache>
                <c:ptCount val="1"/>
                <c:pt idx="0">
                  <c:v>Georgian families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OvercrowdingSDG!$B$3:$M$3</c:f>
              <c:numCache>
                <c:formatCode>0.00%</c:formatCode>
                <c:ptCount val="12"/>
                <c:pt idx="0">
                  <c:v>5.9610753685626593E-3</c:v>
                </c:pt>
                <c:pt idx="1">
                  <c:v>5.9386527637061114E-3</c:v>
                </c:pt>
                <c:pt idx="2">
                  <c:v>4.0860489104140914E-3</c:v>
                </c:pt>
                <c:pt idx="3">
                  <c:v>4.2986904672721801E-3</c:v>
                </c:pt>
                <c:pt idx="4">
                  <c:v>2.4619499667968628E-3</c:v>
                </c:pt>
                <c:pt idx="5">
                  <c:v>4.369852143686747E-3</c:v>
                </c:pt>
                <c:pt idx="6">
                  <c:v>1.4063148289071769E-3</c:v>
                </c:pt>
                <c:pt idx="7">
                  <c:v>1.1047350122988782E-3</c:v>
                </c:pt>
                <c:pt idx="8">
                  <c:v>0</c:v>
                </c:pt>
                <c:pt idx="9">
                  <c:v>8.482302890697453E-4</c:v>
                </c:pt>
                <c:pt idx="10">
                  <c:v>7.5996312298219301E-4</c:v>
                </c:pt>
                <c:pt idx="11">
                  <c:v>5.9057900810755145E-4</c:v>
                </c:pt>
              </c:numCache>
            </c:numRef>
          </c:val>
          <c:smooth val="0"/>
          <c:extLst>
            <c:ext xmlns:c16="http://schemas.microsoft.com/office/drawing/2014/chart" uri="{C3380CC4-5D6E-409C-BE32-E72D297353CC}">
              <c16:uniqueId val="{00000000-1975-4CA5-B870-5CCAC882F8E5}"/>
            </c:ext>
          </c:extLst>
        </c:ser>
        <c:ser>
          <c:idx val="1"/>
          <c:order val="1"/>
          <c:tx>
            <c:strRef>
              <c:f>OvercrowdingSDG!$A$4</c:f>
              <c:strCache>
                <c:ptCount val="1"/>
                <c:pt idx="0">
                  <c:v>Non-Georgian families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OvercrowdingSDG!$B$4:$M$4</c:f>
              <c:numCache>
                <c:formatCode>0.00%</c:formatCode>
                <c:ptCount val="12"/>
                <c:pt idx="0">
                  <c:v>0</c:v>
                </c:pt>
                <c:pt idx="1">
                  <c:v>0</c:v>
                </c:pt>
                <c:pt idx="2">
                  <c:v>5.4827712989697942E-3</c:v>
                </c:pt>
                <c:pt idx="3">
                  <c:v>1.0460251046025104E-3</c:v>
                </c:pt>
                <c:pt idx="4">
                  <c:v>0</c:v>
                </c:pt>
                <c:pt idx="5">
                  <c:v>6.4350106963743329E-3</c:v>
                </c:pt>
                <c:pt idx="6">
                  <c:v>2.5773195876288659E-3</c:v>
                </c:pt>
                <c:pt idx="7">
                  <c:v>0</c:v>
                </c:pt>
                <c:pt idx="8">
                  <c:v>8.5774874375272765E-3</c:v>
                </c:pt>
                <c:pt idx="9">
                  <c:v>0</c:v>
                </c:pt>
                <c:pt idx="10">
                  <c:v>0</c:v>
                </c:pt>
                <c:pt idx="11">
                  <c:v>0</c:v>
                </c:pt>
              </c:numCache>
            </c:numRef>
          </c:val>
          <c:smooth val="0"/>
          <c:extLst>
            <c:ext xmlns:c16="http://schemas.microsoft.com/office/drawing/2014/chart" uri="{C3380CC4-5D6E-409C-BE32-E72D297353CC}">
              <c16:uniqueId val="{00000001-1975-4CA5-B870-5CCAC882F8E5}"/>
            </c:ext>
          </c:extLst>
        </c:ser>
        <c:ser>
          <c:idx val="2"/>
          <c:order val="2"/>
          <c:tx>
            <c:strRef>
              <c:f>OvercrowdingSDG!$A$5</c:f>
              <c:strCache>
                <c:ptCount val="1"/>
                <c:pt idx="0">
                  <c:v>Mixed families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OvercrowdingSDG!$B$2:$M$2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OvercrowdingSDG!$B$5:$M$5</c:f>
              <c:numCache>
                <c:formatCode>0.00%</c:formatCode>
                <c:ptCount val="12"/>
                <c:pt idx="0">
                  <c:v>5.3191489361702126E-3</c:v>
                </c:pt>
                <c:pt idx="1">
                  <c:v>0</c:v>
                </c:pt>
                <c:pt idx="2">
                  <c:v>0</c:v>
                </c:pt>
                <c:pt idx="3">
                  <c:v>1.1606692890194975E-2</c:v>
                </c:pt>
                <c:pt idx="4">
                  <c:v>5.5555555555555558E-3</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1975-4CA5-B870-5CCAC882F8E5}"/>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1.5000000000000003E-2"/>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OvercrowdingSDG!$P$3</c:f>
              <c:strCache>
                <c:ptCount val="1"/>
                <c:pt idx="0">
                  <c:v>Georgian families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OvercrowdingSDG!$Q$3:$AB$3</c:f>
              <c:numCache>
                <c:formatCode>0.000%</c:formatCode>
                <c:ptCount val="12"/>
                <c:pt idx="0">
                  <c:v>1.4986510409113411E-3</c:v>
                </c:pt>
                <c:pt idx="1">
                  <c:v>1.0864707002687351E-3</c:v>
                </c:pt>
                <c:pt idx="2">
                  <c:v>1.888460064315287E-3</c:v>
                </c:pt>
                <c:pt idx="3">
                  <c:v>1.0946136849567087E-3</c:v>
                </c:pt>
                <c:pt idx="4">
                  <c:v>7.2199514264612843E-4</c:v>
                </c:pt>
                <c:pt idx="5">
                  <c:v>0</c:v>
                </c:pt>
                <c:pt idx="6">
                  <c:v>7.0723780920083881E-4</c:v>
                </c:pt>
                <c:pt idx="7">
                  <c:v>0</c:v>
                </c:pt>
                <c:pt idx="8">
                  <c:v>0</c:v>
                </c:pt>
                <c:pt idx="9">
                  <c:v>0</c:v>
                </c:pt>
                <c:pt idx="10">
                  <c:v>0</c:v>
                </c:pt>
                <c:pt idx="11">
                  <c:v>0</c:v>
                </c:pt>
              </c:numCache>
            </c:numRef>
          </c:val>
          <c:smooth val="0"/>
          <c:extLst>
            <c:ext xmlns:c16="http://schemas.microsoft.com/office/drawing/2014/chart" uri="{C3380CC4-5D6E-409C-BE32-E72D297353CC}">
              <c16:uniqueId val="{00000000-9296-44EB-97E2-3749A95237E7}"/>
            </c:ext>
          </c:extLst>
        </c:ser>
        <c:ser>
          <c:idx val="1"/>
          <c:order val="1"/>
          <c:tx>
            <c:strRef>
              <c:f>OvercrowdingSDG!$P$4</c:f>
              <c:strCache>
                <c:ptCount val="1"/>
                <c:pt idx="0">
                  <c:v>Non-Georgian families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OvercrowdingSDG!$Q$4:$AB$4</c:f>
              <c:numCache>
                <c:formatCode>0.000%</c:formatCode>
                <c:ptCount val="12"/>
                <c:pt idx="0">
                  <c:v>0</c:v>
                </c:pt>
                <c:pt idx="1">
                  <c:v>0</c:v>
                </c:pt>
                <c:pt idx="2">
                  <c:v>0</c:v>
                </c:pt>
                <c:pt idx="3">
                  <c:v>1.5349776243370854E-3</c:v>
                </c:pt>
                <c:pt idx="4">
                  <c:v>8.6805555555555551E-4</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1-9296-44EB-97E2-3749A95237E7}"/>
            </c:ext>
          </c:extLst>
        </c:ser>
        <c:ser>
          <c:idx val="2"/>
          <c:order val="2"/>
          <c:tx>
            <c:strRef>
              <c:f>OvercrowdingSDG!$P$5</c:f>
              <c:strCache>
                <c:ptCount val="1"/>
                <c:pt idx="0">
                  <c:v>Mixed families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OvercrowdingSDG!$Q$2:$AB$2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OvercrowdingSDG!$Q$5:$AB$5</c:f>
              <c:numCache>
                <c:formatCode>0.000%</c:formatCode>
                <c:ptCount val="12"/>
                <c:pt idx="0">
                  <c:v>0</c:v>
                </c:pt>
                <c:pt idx="1">
                  <c:v>9.449912084589741E-3</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9296-44EB-97E2-3749A95237E7}"/>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1.5000000000000003E-2"/>
          <c:min val="0"/>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70713035870519"/>
          <c:y val="0.11802092446777486"/>
          <c:w val="0.85472965879265095"/>
          <c:h val="0.72088764946048411"/>
        </c:manualLayout>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Geo!$A$237:$A$284</c:f>
              <c:numCache>
                <c:formatCode>m/d/yyyy</c:formatCode>
                <c:ptCount val="48"/>
                <c:pt idx="0">
                  <c:v>42035</c:v>
                </c:pt>
                <c:pt idx="1">
                  <c:v>42063</c:v>
                </c:pt>
                <c:pt idx="2">
                  <c:v>42094</c:v>
                </c:pt>
                <c:pt idx="3">
                  <c:v>42124</c:v>
                </c:pt>
                <c:pt idx="4">
                  <c:v>42155</c:v>
                </c:pt>
                <c:pt idx="5">
                  <c:v>42185</c:v>
                </c:pt>
                <c:pt idx="6">
                  <c:v>42216</c:v>
                </c:pt>
                <c:pt idx="7">
                  <c:v>42247</c:v>
                </c:pt>
                <c:pt idx="8">
                  <c:v>42277</c:v>
                </c:pt>
                <c:pt idx="9">
                  <c:v>42308</c:v>
                </c:pt>
                <c:pt idx="10">
                  <c:v>42338</c:v>
                </c:pt>
                <c:pt idx="11">
                  <c:v>42369</c:v>
                </c:pt>
                <c:pt idx="12">
                  <c:v>42400</c:v>
                </c:pt>
                <c:pt idx="13">
                  <c:v>42429</c:v>
                </c:pt>
                <c:pt idx="14">
                  <c:v>42460</c:v>
                </c:pt>
                <c:pt idx="15">
                  <c:v>42490</c:v>
                </c:pt>
                <c:pt idx="16">
                  <c:v>42521</c:v>
                </c:pt>
                <c:pt idx="17">
                  <c:v>42551</c:v>
                </c:pt>
                <c:pt idx="18">
                  <c:v>42582</c:v>
                </c:pt>
                <c:pt idx="19">
                  <c:v>42613</c:v>
                </c:pt>
                <c:pt idx="20">
                  <c:v>42643</c:v>
                </c:pt>
                <c:pt idx="21">
                  <c:v>42674</c:v>
                </c:pt>
                <c:pt idx="22">
                  <c:v>42704</c:v>
                </c:pt>
                <c:pt idx="23">
                  <c:v>42735</c:v>
                </c:pt>
                <c:pt idx="24">
                  <c:v>42766</c:v>
                </c:pt>
                <c:pt idx="25">
                  <c:v>42794</c:v>
                </c:pt>
                <c:pt idx="26">
                  <c:v>42825</c:v>
                </c:pt>
                <c:pt idx="27">
                  <c:v>42855</c:v>
                </c:pt>
                <c:pt idx="28">
                  <c:v>42886</c:v>
                </c:pt>
                <c:pt idx="29">
                  <c:v>42916</c:v>
                </c:pt>
                <c:pt idx="30">
                  <c:v>42947</c:v>
                </c:pt>
                <c:pt idx="31">
                  <c:v>42978</c:v>
                </c:pt>
                <c:pt idx="32">
                  <c:v>43008</c:v>
                </c:pt>
                <c:pt idx="33">
                  <c:v>43039</c:v>
                </c:pt>
                <c:pt idx="34">
                  <c:v>43069</c:v>
                </c:pt>
                <c:pt idx="35">
                  <c:v>43100</c:v>
                </c:pt>
                <c:pt idx="36">
                  <c:v>43131</c:v>
                </c:pt>
                <c:pt idx="37">
                  <c:v>43159</c:v>
                </c:pt>
                <c:pt idx="38">
                  <c:v>43190</c:v>
                </c:pt>
                <c:pt idx="39">
                  <c:v>43220</c:v>
                </c:pt>
                <c:pt idx="40">
                  <c:v>43251</c:v>
                </c:pt>
                <c:pt idx="41">
                  <c:v>43281</c:v>
                </c:pt>
                <c:pt idx="42">
                  <c:v>43312</c:v>
                </c:pt>
                <c:pt idx="43">
                  <c:v>43343</c:v>
                </c:pt>
                <c:pt idx="44">
                  <c:v>43373</c:v>
                </c:pt>
                <c:pt idx="45">
                  <c:v>43404</c:v>
                </c:pt>
                <c:pt idx="46">
                  <c:v>43434</c:v>
                </c:pt>
                <c:pt idx="47">
                  <c:v>43465</c:v>
                </c:pt>
              </c:numCache>
            </c:numRef>
          </c:cat>
          <c:val>
            <c:numRef>
              <c:f>Geo!$C$237:$C$284</c:f>
              <c:numCache>
                <c:formatCode>0.0000</c:formatCode>
                <c:ptCount val="48"/>
                <c:pt idx="0">
                  <c:v>1.9413387096774188</c:v>
                </c:pt>
                <c:pt idx="1">
                  <c:v>2.0872642857142858</c:v>
                </c:pt>
                <c:pt idx="2">
                  <c:v>2.1915967741935485</c:v>
                </c:pt>
                <c:pt idx="3">
                  <c:v>2.2577933333333333</c:v>
                </c:pt>
                <c:pt idx="4">
                  <c:v>2.3227096774193545</c:v>
                </c:pt>
                <c:pt idx="5">
                  <c:v>2.262926666666667</c:v>
                </c:pt>
                <c:pt idx="6">
                  <c:v>2.2563999999999997</c:v>
                </c:pt>
                <c:pt idx="7">
                  <c:v>2.3199483870967743</c:v>
                </c:pt>
                <c:pt idx="8">
                  <c:v>2.3984700000000005</c:v>
                </c:pt>
                <c:pt idx="9">
                  <c:v>2.3928225806451611</c:v>
                </c:pt>
                <c:pt idx="10">
                  <c:v>2.4017433333333345</c:v>
                </c:pt>
                <c:pt idx="11">
                  <c:v>2.39918064516129</c:v>
                </c:pt>
                <c:pt idx="12">
                  <c:v>2.4360161290322577</c:v>
                </c:pt>
                <c:pt idx="13">
                  <c:v>2.4829448275862078</c:v>
                </c:pt>
                <c:pt idx="14">
                  <c:v>2.3894064516129028</c:v>
                </c:pt>
                <c:pt idx="15">
                  <c:v>2.2651533333333336</c:v>
                </c:pt>
                <c:pt idx="16">
                  <c:v>2.1860451612903224</c:v>
                </c:pt>
                <c:pt idx="17">
                  <c:v>2.1876633333333335</c:v>
                </c:pt>
                <c:pt idx="18">
                  <c:v>2.336725806451613</c:v>
                </c:pt>
                <c:pt idx="19">
                  <c:v>2.318748387096774</c:v>
                </c:pt>
                <c:pt idx="20">
                  <c:v>2.3112666666666666</c:v>
                </c:pt>
                <c:pt idx="21">
                  <c:v>2.3599096774193544</c:v>
                </c:pt>
                <c:pt idx="22">
                  <c:v>2.4758266666666668</c:v>
                </c:pt>
                <c:pt idx="23">
                  <c:v>2.6510645161290314</c:v>
                </c:pt>
                <c:pt idx="24">
                  <c:v>2.7006709677419356</c:v>
                </c:pt>
                <c:pt idx="25">
                  <c:v>2.6429142857142858</c:v>
                </c:pt>
                <c:pt idx="26">
                  <c:v>2.4688516129032263</c:v>
                </c:pt>
                <c:pt idx="27">
                  <c:v>2.4163533333333329</c:v>
                </c:pt>
                <c:pt idx="28">
                  <c:v>2.4280290322580651</c:v>
                </c:pt>
                <c:pt idx="29">
                  <c:v>2.4115566666666668</c:v>
                </c:pt>
                <c:pt idx="30">
                  <c:v>2.3995354838709679</c:v>
                </c:pt>
                <c:pt idx="31">
                  <c:v>2.397093548387097</c:v>
                </c:pt>
                <c:pt idx="32">
                  <c:v>2.4669266666666667</c:v>
                </c:pt>
                <c:pt idx="33">
                  <c:v>2.497203225806452</c:v>
                </c:pt>
                <c:pt idx="34">
                  <c:v>2.6727799999999999</c:v>
                </c:pt>
                <c:pt idx="35">
                  <c:v>2.6125451612903232</c:v>
                </c:pt>
                <c:pt idx="36">
                  <c:v>2.5473387096774198</c:v>
                </c:pt>
                <c:pt idx="37">
                  <c:v>2.4642821428571433</c:v>
                </c:pt>
                <c:pt idx="38">
                  <c:v>2.4424935483870969</c:v>
                </c:pt>
                <c:pt idx="39">
                  <c:v>2.4256399999999991</c:v>
                </c:pt>
                <c:pt idx="40">
                  <c:v>2.4542677419354844</c:v>
                </c:pt>
                <c:pt idx="41">
                  <c:v>2.457826666666667</c:v>
                </c:pt>
                <c:pt idx="42">
                  <c:v>2.4468967741935481</c:v>
                </c:pt>
                <c:pt idx="43">
                  <c:v>2.5344387096774192</c:v>
                </c:pt>
                <c:pt idx="44">
                  <c:v>2.6097999999999999</c:v>
                </c:pt>
                <c:pt idx="45">
                  <c:v>2.6608064516129</c:v>
                </c:pt>
                <c:pt idx="46">
                  <c:v>2.6970300000000007</c:v>
                </c:pt>
                <c:pt idx="47">
                  <c:v>2.668570967741934</c:v>
                </c:pt>
              </c:numCache>
            </c:numRef>
          </c:val>
          <c:smooth val="0"/>
          <c:extLst>
            <c:ext xmlns:c16="http://schemas.microsoft.com/office/drawing/2014/chart" uri="{C3380CC4-5D6E-409C-BE32-E72D297353CC}">
              <c16:uniqueId val="{00000001-226D-4046-A637-91D144AE037C}"/>
            </c:ext>
          </c:extLst>
        </c:ser>
        <c:dLbls>
          <c:showLegendKey val="0"/>
          <c:showVal val="0"/>
          <c:showCatName val="0"/>
          <c:showSerName val="0"/>
          <c:showPercent val="0"/>
          <c:showBubbleSize val="0"/>
        </c:dLbls>
        <c:smooth val="0"/>
        <c:axId val="1749687824"/>
        <c:axId val="1749680752"/>
      </c:lineChart>
      <c:dateAx>
        <c:axId val="1749687824"/>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80752"/>
        <c:crosses val="autoZero"/>
        <c:auto val="1"/>
        <c:lblOffset val="100"/>
        <c:baseTimeUnit val="months"/>
      </c:dateAx>
      <c:valAx>
        <c:axId val="1749680752"/>
        <c:scaling>
          <c:orientation val="minMax"/>
          <c:min val="1.8"/>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87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'By regions'!$A$7:$A$18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'By regions'!$B$7:$B$18</c:f>
              <c:numCache>
                <c:formatCode>#,##0.0</c:formatCode>
                <c:ptCount val="12"/>
                <c:pt idx="0">
                  <c:v>495</c:v>
                </c:pt>
                <c:pt idx="1">
                  <c:v>600.79999999999995</c:v>
                </c:pt>
                <c:pt idx="2">
                  <c:v>629.5</c:v>
                </c:pt>
                <c:pt idx="3">
                  <c:v>673.5</c:v>
                </c:pt>
                <c:pt idx="4">
                  <c:v>743.6</c:v>
                </c:pt>
                <c:pt idx="5">
                  <c:v>895.5</c:v>
                </c:pt>
                <c:pt idx="6">
                  <c:v>872.8</c:v>
                </c:pt>
                <c:pt idx="7">
                  <c:v>948.3</c:v>
                </c:pt>
                <c:pt idx="8">
                  <c:v>1190.7</c:v>
                </c:pt>
                <c:pt idx="9">
                  <c:v>1272.9000000000001</c:v>
                </c:pt>
                <c:pt idx="10">
                  <c:v>1473</c:v>
                </c:pt>
                <c:pt idx="11">
                  <c:v>1560.5</c:v>
                </c:pt>
              </c:numCache>
            </c:numRef>
          </c:val>
          <c:smooth val="0"/>
          <c:extLst>
            <c:ext xmlns:c16="http://schemas.microsoft.com/office/drawing/2014/chart" uri="{C3380CC4-5D6E-409C-BE32-E72D297353CC}">
              <c16:uniqueId val="{00000000-A4DC-47DE-B1FA-875610FCD384}"/>
            </c:ext>
          </c:extLst>
        </c:ser>
        <c:dLbls>
          <c:showLegendKey val="0"/>
          <c:showVal val="0"/>
          <c:showCatName val="0"/>
          <c:showSerName val="0"/>
          <c:showPercent val="0"/>
          <c:showBubbleSize val="0"/>
        </c:dLbls>
        <c:marker val="1"/>
        <c:smooth val="0"/>
        <c:axId val="1961373728"/>
        <c:axId val="1962123968"/>
      </c:lineChart>
      <c:catAx>
        <c:axId val="1961373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2123968"/>
        <c:crosses val="autoZero"/>
        <c:auto val="1"/>
        <c:lblAlgn val="ctr"/>
        <c:lblOffset val="100"/>
        <c:noMultiLvlLbl val="0"/>
      </c:catAx>
      <c:valAx>
        <c:axId val="19621239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373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'Selling rental price land price'!$E$4:$E$9</c:f>
              <c:numCache>
                <c:formatCode>General</c:formatCode>
                <c:ptCount val="6"/>
                <c:pt idx="0">
                  <c:v>2012</c:v>
                </c:pt>
                <c:pt idx="1">
                  <c:v>2013</c:v>
                </c:pt>
                <c:pt idx="2">
                  <c:v>2014</c:v>
                </c:pt>
                <c:pt idx="3">
                  <c:v>2015</c:v>
                </c:pt>
                <c:pt idx="4">
                  <c:v>2016</c:v>
                </c:pt>
                <c:pt idx="5">
                  <c:v>2017</c:v>
                </c:pt>
              </c:numCache>
            </c:numRef>
          </c:cat>
          <c:val>
            <c:numRef>
              <c:f>'Selling rental price land price'!$F$4:$F$9</c:f>
              <c:numCache>
                <c:formatCode>General</c:formatCode>
                <c:ptCount val="6"/>
                <c:pt idx="0">
                  <c:v>186</c:v>
                </c:pt>
                <c:pt idx="1">
                  <c:v>173</c:v>
                </c:pt>
                <c:pt idx="2">
                  <c:v>177</c:v>
                </c:pt>
                <c:pt idx="3">
                  <c:v>176</c:v>
                </c:pt>
                <c:pt idx="4">
                  <c:v>161</c:v>
                </c:pt>
                <c:pt idx="5">
                  <c:v>192</c:v>
                </c:pt>
              </c:numCache>
            </c:numRef>
          </c:val>
          <c:smooth val="0"/>
          <c:extLst>
            <c:ext xmlns:c16="http://schemas.microsoft.com/office/drawing/2014/chart" uri="{C3380CC4-5D6E-409C-BE32-E72D297353CC}">
              <c16:uniqueId val="{00000000-AB2E-4F94-80CC-D17E76E7FB32}"/>
            </c:ext>
          </c:extLst>
        </c:ser>
        <c:dLbls>
          <c:showLegendKey val="0"/>
          <c:showVal val="0"/>
          <c:showCatName val="0"/>
          <c:showSerName val="0"/>
          <c:showPercent val="0"/>
          <c:showBubbleSize val="0"/>
        </c:dLbls>
        <c:marker val="1"/>
        <c:smooth val="0"/>
        <c:axId val="1749690000"/>
        <c:axId val="1749679120"/>
      </c:lineChart>
      <c:catAx>
        <c:axId val="174969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79120"/>
        <c:crosses val="autoZero"/>
        <c:auto val="1"/>
        <c:lblAlgn val="ctr"/>
        <c:lblOffset val="100"/>
        <c:noMultiLvlLbl val="0"/>
      </c:catAx>
      <c:valAx>
        <c:axId val="174967912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90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98916829887081E-2"/>
          <c:y val="7.785888077858881E-2"/>
          <c:w val="0.91201083170112918"/>
          <c:h val="0.83358507193900033"/>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'Selling rental price land price'!$E$33:$E$36</c:f>
              <c:numCache>
                <c:formatCode>General</c:formatCode>
                <c:ptCount val="4"/>
                <c:pt idx="0">
                  <c:v>2014</c:v>
                </c:pt>
                <c:pt idx="1">
                  <c:v>2015</c:v>
                </c:pt>
                <c:pt idx="2">
                  <c:v>2016</c:v>
                </c:pt>
                <c:pt idx="3">
                  <c:v>2017</c:v>
                </c:pt>
              </c:numCache>
            </c:numRef>
          </c:cat>
          <c:val>
            <c:numRef>
              <c:f>'Selling rental price land price'!$F$33:$F$36</c:f>
              <c:numCache>
                <c:formatCode>General</c:formatCode>
                <c:ptCount val="4"/>
                <c:pt idx="0">
                  <c:v>187</c:v>
                </c:pt>
                <c:pt idx="1">
                  <c:v>102</c:v>
                </c:pt>
                <c:pt idx="2">
                  <c:v>172</c:v>
                </c:pt>
                <c:pt idx="3">
                  <c:v>198</c:v>
                </c:pt>
              </c:numCache>
            </c:numRef>
          </c:val>
          <c:smooth val="0"/>
          <c:extLst>
            <c:ext xmlns:c16="http://schemas.microsoft.com/office/drawing/2014/chart" uri="{C3380CC4-5D6E-409C-BE32-E72D297353CC}">
              <c16:uniqueId val="{00000000-7661-4044-B838-F27A706611E8}"/>
            </c:ext>
          </c:extLst>
        </c:ser>
        <c:dLbls>
          <c:showLegendKey val="0"/>
          <c:showVal val="0"/>
          <c:showCatName val="0"/>
          <c:showSerName val="0"/>
          <c:showPercent val="0"/>
          <c:showBubbleSize val="0"/>
        </c:dLbls>
        <c:marker val="1"/>
        <c:smooth val="0"/>
        <c:axId val="1749676944"/>
        <c:axId val="1749678576"/>
      </c:lineChart>
      <c:catAx>
        <c:axId val="174967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78576"/>
        <c:crosses val="autoZero"/>
        <c:auto val="1"/>
        <c:lblAlgn val="ctr"/>
        <c:lblOffset val="100"/>
        <c:noMultiLvlLbl val="0"/>
      </c:catAx>
      <c:valAx>
        <c:axId val="174967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76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56161821414549"/>
          <c:y val="9.7412480974124804E-2"/>
          <c:w val="0.84543838178585451"/>
          <c:h val="0.65252124306379511"/>
        </c:manualLayout>
      </c:layout>
      <c:lineChart>
        <c:grouping val="standard"/>
        <c:varyColors val="0"/>
        <c:ser>
          <c:idx val="0"/>
          <c:order val="0"/>
          <c:tx>
            <c:strRef>
              <c:f>'Selling rental price land price'!$B$32</c:f>
              <c:strCache>
                <c:ptCount val="1"/>
                <c:pt idx="0">
                  <c:v>Primary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'Selling rental price land price'!$A$33:$A$38</c:f>
              <c:numCache>
                <c:formatCode>General</c:formatCode>
                <c:ptCount val="6"/>
                <c:pt idx="0">
                  <c:v>2012</c:v>
                </c:pt>
                <c:pt idx="1">
                  <c:v>2013</c:v>
                </c:pt>
                <c:pt idx="2">
                  <c:v>2014</c:v>
                </c:pt>
                <c:pt idx="3">
                  <c:v>2015</c:v>
                </c:pt>
                <c:pt idx="4">
                  <c:v>2016</c:v>
                </c:pt>
                <c:pt idx="5">
                  <c:v>2017</c:v>
                </c:pt>
              </c:numCache>
            </c:numRef>
          </c:cat>
          <c:val>
            <c:numRef>
              <c:f>'Selling rental price land price'!$B$33:$B$38</c:f>
              <c:numCache>
                <c:formatCode>General</c:formatCode>
                <c:ptCount val="6"/>
                <c:pt idx="0">
                  <c:v>641</c:v>
                </c:pt>
                <c:pt idx="1">
                  <c:v>643</c:v>
                </c:pt>
                <c:pt idx="2">
                  <c:v>653</c:v>
                </c:pt>
                <c:pt idx="3">
                  <c:v>656</c:v>
                </c:pt>
                <c:pt idx="4">
                  <c:v>640</c:v>
                </c:pt>
                <c:pt idx="5">
                  <c:v>639</c:v>
                </c:pt>
              </c:numCache>
            </c:numRef>
          </c:val>
          <c:smooth val="0"/>
          <c:extLst>
            <c:ext xmlns:c16="http://schemas.microsoft.com/office/drawing/2014/chart" uri="{C3380CC4-5D6E-409C-BE32-E72D297353CC}">
              <c16:uniqueId val="{00000000-23C8-49AB-9D7D-4E258752713D}"/>
            </c:ext>
          </c:extLst>
        </c:ser>
        <c:ser>
          <c:idx val="1"/>
          <c:order val="1"/>
          <c:tx>
            <c:strRef>
              <c:f>'Selling rental price land price'!$C$32</c:f>
              <c:strCache>
                <c:ptCount val="1"/>
                <c:pt idx="0">
                  <c:v>Secondary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'Selling rental price land price'!$A$33:$A$38</c:f>
              <c:numCache>
                <c:formatCode>General</c:formatCode>
                <c:ptCount val="6"/>
                <c:pt idx="0">
                  <c:v>2012</c:v>
                </c:pt>
                <c:pt idx="1">
                  <c:v>2013</c:v>
                </c:pt>
                <c:pt idx="2">
                  <c:v>2014</c:v>
                </c:pt>
                <c:pt idx="3">
                  <c:v>2015</c:v>
                </c:pt>
                <c:pt idx="4">
                  <c:v>2016</c:v>
                </c:pt>
                <c:pt idx="5">
                  <c:v>2017</c:v>
                </c:pt>
              </c:numCache>
            </c:numRef>
          </c:cat>
          <c:val>
            <c:numRef>
              <c:f>'Selling rental price land price'!$C$33:$C$38</c:f>
              <c:numCache>
                <c:formatCode>General</c:formatCode>
                <c:ptCount val="6"/>
                <c:pt idx="0">
                  <c:v>504</c:v>
                </c:pt>
                <c:pt idx="1">
                  <c:v>558</c:v>
                </c:pt>
                <c:pt idx="2">
                  <c:v>619</c:v>
                </c:pt>
                <c:pt idx="3">
                  <c:v>688</c:v>
                </c:pt>
                <c:pt idx="4">
                  <c:v>691</c:v>
                </c:pt>
                <c:pt idx="5">
                  <c:v>723</c:v>
                </c:pt>
              </c:numCache>
            </c:numRef>
          </c:val>
          <c:smooth val="0"/>
          <c:extLst>
            <c:ext xmlns:c16="http://schemas.microsoft.com/office/drawing/2014/chart" uri="{C3380CC4-5D6E-409C-BE32-E72D297353CC}">
              <c16:uniqueId val="{00000001-23C8-49AB-9D7D-4E258752713D}"/>
            </c:ext>
          </c:extLst>
        </c:ser>
        <c:dLbls>
          <c:showLegendKey val="0"/>
          <c:showVal val="0"/>
          <c:showCatName val="0"/>
          <c:showSerName val="0"/>
          <c:showPercent val="0"/>
          <c:showBubbleSize val="0"/>
        </c:dLbls>
        <c:marker val="1"/>
        <c:smooth val="0"/>
        <c:axId val="1749677488"/>
        <c:axId val="1749685648"/>
      </c:lineChart>
      <c:catAx>
        <c:axId val="174967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85648"/>
        <c:crosses val="autoZero"/>
        <c:auto val="1"/>
        <c:lblAlgn val="ctr"/>
        <c:lblOffset val="100"/>
        <c:noMultiLvlLbl val="0"/>
      </c:catAx>
      <c:valAx>
        <c:axId val="1749685648"/>
        <c:scaling>
          <c:orientation val="minMax"/>
          <c:min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67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00302919124356"/>
          <c:y val="8.9089299884026113E-2"/>
          <c:w val="0.85686351706036756"/>
          <c:h val="0.63962583165476417"/>
        </c:manualLayout>
      </c:layout>
      <c:lineChart>
        <c:grouping val="standard"/>
        <c:varyColors val="0"/>
        <c:ser>
          <c:idx val="0"/>
          <c:order val="0"/>
          <c:tx>
            <c:strRef>
              <c:f>'Selling rental price land price'!$B$3</c:f>
              <c:strCache>
                <c:ptCount val="1"/>
                <c:pt idx="0">
                  <c:v>Primary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'Selling rental price land price'!$A$4:$A$9</c:f>
              <c:numCache>
                <c:formatCode>General</c:formatCode>
                <c:ptCount val="6"/>
                <c:pt idx="0">
                  <c:v>2012</c:v>
                </c:pt>
                <c:pt idx="1">
                  <c:v>2013</c:v>
                </c:pt>
                <c:pt idx="2">
                  <c:v>2014</c:v>
                </c:pt>
                <c:pt idx="3">
                  <c:v>2015</c:v>
                </c:pt>
                <c:pt idx="4">
                  <c:v>2016</c:v>
                </c:pt>
                <c:pt idx="5">
                  <c:v>2017</c:v>
                </c:pt>
              </c:numCache>
            </c:numRef>
          </c:cat>
          <c:val>
            <c:numRef>
              <c:f>'Selling rental price land price'!$B$4:$B$9</c:f>
              <c:numCache>
                <c:formatCode>General</c:formatCode>
                <c:ptCount val="6"/>
                <c:pt idx="0">
                  <c:v>758</c:v>
                </c:pt>
                <c:pt idx="1">
                  <c:v>739</c:v>
                </c:pt>
                <c:pt idx="2">
                  <c:v>759</c:v>
                </c:pt>
                <c:pt idx="3">
                  <c:v>695</c:v>
                </c:pt>
                <c:pt idx="4">
                  <c:v>714</c:v>
                </c:pt>
                <c:pt idx="5">
                  <c:v>663</c:v>
                </c:pt>
              </c:numCache>
            </c:numRef>
          </c:val>
          <c:smooth val="0"/>
          <c:extLst>
            <c:ext xmlns:c16="http://schemas.microsoft.com/office/drawing/2014/chart" uri="{C3380CC4-5D6E-409C-BE32-E72D297353CC}">
              <c16:uniqueId val="{00000000-1B1E-4B56-98EE-5B184027B48F}"/>
            </c:ext>
          </c:extLst>
        </c:ser>
        <c:ser>
          <c:idx val="1"/>
          <c:order val="1"/>
          <c:tx>
            <c:strRef>
              <c:f>'Selling rental price land price'!$C$3</c:f>
              <c:strCache>
                <c:ptCount val="1"/>
                <c:pt idx="0">
                  <c:v>Secondary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'Selling rental price land price'!$A$4:$A$9</c:f>
              <c:numCache>
                <c:formatCode>General</c:formatCode>
                <c:ptCount val="6"/>
                <c:pt idx="0">
                  <c:v>2012</c:v>
                </c:pt>
                <c:pt idx="1">
                  <c:v>2013</c:v>
                </c:pt>
                <c:pt idx="2">
                  <c:v>2014</c:v>
                </c:pt>
                <c:pt idx="3">
                  <c:v>2015</c:v>
                </c:pt>
                <c:pt idx="4">
                  <c:v>2016</c:v>
                </c:pt>
                <c:pt idx="5">
                  <c:v>2017</c:v>
                </c:pt>
              </c:numCache>
            </c:numRef>
          </c:cat>
          <c:val>
            <c:numRef>
              <c:f>'Selling rental price land price'!$C$4:$C$9</c:f>
              <c:numCache>
                <c:formatCode>General</c:formatCode>
                <c:ptCount val="6"/>
                <c:pt idx="0">
                  <c:v>664</c:v>
                </c:pt>
                <c:pt idx="1">
                  <c:v>667</c:v>
                </c:pt>
                <c:pt idx="2">
                  <c:v>673</c:v>
                </c:pt>
                <c:pt idx="3">
                  <c:v>693</c:v>
                </c:pt>
                <c:pt idx="4">
                  <c:v>618</c:v>
                </c:pt>
                <c:pt idx="5">
                  <c:v>612</c:v>
                </c:pt>
              </c:numCache>
            </c:numRef>
          </c:val>
          <c:smooth val="0"/>
          <c:extLst>
            <c:ext xmlns:c16="http://schemas.microsoft.com/office/drawing/2014/chart" uri="{C3380CC4-5D6E-409C-BE32-E72D297353CC}">
              <c16:uniqueId val="{00000001-1B1E-4B56-98EE-5B184027B48F}"/>
            </c:ext>
          </c:extLst>
        </c:ser>
        <c:dLbls>
          <c:showLegendKey val="0"/>
          <c:showVal val="0"/>
          <c:showCatName val="0"/>
          <c:showSerName val="0"/>
          <c:showPercent val="0"/>
          <c:showBubbleSize val="0"/>
        </c:dLbls>
        <c:marker val="1"/>
        <c:smooth val="0"/>
        <c:axId val="1682944256"/>
        <c:axId val="1682940448"/>
      </c:lineChart>
      <c:catAx>
        <c:axId val="168294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2940448"/>
        <c:crosses val="autoZero"/>
        <c:auto val="1"/>
        <c:lblAlgn val="ctr"/>
        <c:lblOffset val="100"/>
        <c:noMultiLvlLbl val="0"/>
      </c:catAx>
      <c:valAx>
        <c:axId val="1682940448"/>
        <c:scaling>
          <c:orientation val="minMax"/>
          <c:min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294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'Selling rental price land price'!$B$59</c:f>
              <c:strCache>
                <c:ptCount val="1"/>
                <c:pt idx="0">
                  <c:v>Primary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'Selling rental price land price'!$A$60:$A$65</c:f>
              <c:numCache>
                <c:formatCode>General</c:formatCode>
                <c:ptCount val="6"/>
                <c:pt idx="0">
                  <c:v>2012</c:v>
                </c:pt>
                <c:pt idx="1">
                  <c:v>2013</c:v>
                </c:pt>
                <c:pt idx="2">
                  <c:v>2014</c:v>
                </c:pt>
                <c:pt idx="3">
                  <c:v>2015</c:v>
                </c:pt>
                <c:pt idx="4">
                  <c:v>2016</c:v>
                </c:pt>
                <c:pt idx="5">
                  <c:v>2017</c:v>
                </c:pt>
              </c:numCache>
            </c:numRef>
          </c:cat>
          <c:val>
            <c:numRef>
              <c:f>'Selling rental price land price'!$B$60:$B$65</c:f>
              <c:numCache>
                <c:formatCode>General</c:formatCode>
                <c:ptCount val="6"/>
                <c:pt idx="0">
                  <c:v>508</c:v>
                </c:pt>
                <c:pt idx="1">
                  <c:v>516</c:v>
                </c:pt>
                <c:pt idx="2">
                  <c:v>509</c:v>
                </c:pt>
                <c:pt idx="3">
                  <c:v>518</c:v>
                </c:pt>
                <c:pt idx="4">
                  <c:v>516</c:v>
                </c:pt>
                <c:pt idx="5">
                  <c:v>514</c:v>
                </c:pt>
              </c:numCache>
            </c:numRef>
          </c:val>
          <c:smooth val="0"/>
          <c:extLst>
            <c:ext xmlns:c16="http://schemas.microsoft.com/office/drawing/2014/chart" uri="{C3380CC4-5D6E-409C-BE32-E72D297353CC}">
              <c16:uniqueId val="{00000000-E414-46E3-95B7-92A767DE24AF}"/>
            </c:ext>
          </c:extLst>
        </c:ser>
        <c:ser>
          <c:idx val="1"/>
          <c:order val="1"/>
          <c:tx>
            <c:strRef>
              <c:f>'Selling rental price land price'!$C$59</c:f>
              <c:strCache>
                <c:ptCount val="1"/>
                <c:pt idx="0">
                  <c:v>Secondary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'Selling rental price land price'!$A$60:$A$65</c:f>
              <c:numCache>
                <c:formatCode>General</c:formatCode>
                <c:ptCount val="6"/>
                <c:pt idx="0">
                  <c:v>2012</c:v>
                </c:pt>
                <c:pt idx="1">
                  <c:v>2013</c:v>
                </c:pt>
                <c:pt idx="2">
                  <c:v>2014</c:v>
                </c:pt>
                <c:pt idx="3">
                  <c:v>2015</c:v>
                </c:pt>
                <c:pt idx="4">
                  <c:v>2016</c:v>
                </c:pt>
                <c:pt idx="5">
                  <c:v>2017</c:v>
                </c:pt>
              </c:numCache>
            </c:numRef>
          </c:cat>
          <c:val>
            <c:numRef>
              <c:f>'Selling rental price land price'!$C$60:$C$65</c:f>
              <c:numCache>
                <c:formatCode>General</c:formatCode>
                <c:ptCount val="6"/>
                <c:pt idx="0">
                  <c:v>364</c:v>
                </c:pt>
                <c:pt idx="1">
                  <c:v>370</c:v>
                </c:pt>
                <c:pt idx="2">
                  <c:v>368</c:v>
                </c:pt>
                <c:pt idx="3">
                  <c:v>360</c:v>
                </c:pt>
                <c:pt idx="4">
                  <c:v>350</c:v>
                </c:pt>
                <c:pt idx="5">
                  <c:v>347</c:v>
                </c:pt>
              </c:numCache>
            </c:numRef>
          </c:val>
          <c:smooth val="0"/>
          <c:extLst>
            <c:ext xmlns:c16="http://schemas.microsoft.com/office/drawing/2014/chart" uri="{C3380CC4-5D6E-409C-BE32-E72D297353CC}">
              <c16:uniqueId val="{00000001-E414-46E3-95B7-92A767DE24AF}"/>
            </c:ext>
          </c:extLst>
        </c:ser>
        <c:dLbls>
          <c:showLegendKey val="0"/>
          <c:showVal val="0"/>
          <c:showCatName val="0"/>
          <c:showSerName val="0"/>
          <c:showPercent val="0"/>
          <c:showBubbleSize val="0"/>
        </c:dLbls>
        <c:marker val="1"/>
        <c:smooth val="0"/>
        <c:axId val="1682940992"/>
        <c:axId val="1682944800"/>
      </c:lineChart>
      <c:catAx>
        <c:axId val="168294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2944800"/>
        <c:crosses val="autoZero"/>
        <c:auto val="1"/>
        <c:lblAlgn val="ctr"/>
        <c:lblOffset val="100"/>
        <c:noMultiLvlLbl val="0"/>
      </c:catAx>
      <c:valAx>
        <c:axId val="1682944800"/>
        <c:scaling>
          <c:orientation val="minMax"/>
          <c:max val="800"/>
          <c:min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294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0307461567303"/>
          <c:y val="7.1703650680028638E-2"/>
          <c:w val="0.89019685039370078"/>
          <c:h val="0.69781579575280361"/>
        </c:manualLayout>
      </c:layout>
      <c:lineChart>
        <c:grouping val="standard"/>
        <c:varyColors val="0"/>
        <c:ser>
          <c:idx val="0"/>
          <c:order val="0"/>
          <c:tx>
            <c:strRef>
              <c:f>'Selling rental price land price'!$M$60</c:f>
              <c:strCache>
                <c:ptCount val="1"/>
                <c:pt idx="0">
                  <c:v>1 room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'Selling rental price land price'!$N$59:$P$59</c:f>
              <c:numCache>
                <c:formatCode>General</c:formatCode>
                <c:ptCount val="3"/>
                <c:pt idx="0">
                  <c:v>2014</c:v>
                </c:pt>
                <c:pt idx="1">
                  <c:v>2015</c:v>
                </c:pt>
                <c:pt idx="2">
                  <c:v>2017</c:v>
                </c:pt>
              </c:numCache>
            </c:numRef>
          </c:cat>
          <c:val>
            <c:numRef>
              <c:f>'Selling rental price land price'!$N$60:$P$60</c:f>
              <c:numCache>
                <c:formatCode>General</c:formatCode>
                <c:ptCount val="3"/>
                <c:pt idx="0">
                  <c:v>128</c:v>
                </c:pt>
                <c:pt idx="1">
                  <c:v>120</c:v>
                </c:pt>
                <c:pt idx="2">
                  <c:v>105</c:v>
                </c:pt>
              </c:numCache>
            </c:numRef>
          </c:val>
          <c:smooth val="0"/>
          <c:extLst>
            <c:ext xmlns:c16="http://schemas.microsoft.com/office/drawing/2014/chart" uri="{C3380CC4-5D6E-409C-BE32-E72D297353CC}">
              <c16:uniqueId val="{00000000-E4E7-4328-93A7-80273CF1835E}"/>
            </c:ext>
          </c:extLst>
        </c:ser>
        <c:ser>
          <c:idx val="1"/>
          <c:order val="1"/>
          <c:tx>
            <c:strRef>
              <c:f>'Selling rental price land price'!$M$61</c:f>
              <c:strCache>
                <c:ptCount val="1"/>
                <c:pt idx="0">
                  <c:v>2 rooms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'Selling rental price land price'!$N$59:$P$59</c:f>
              <c:numCache>
                <c:formatCode>General</c:formatCode>
                <c:ptCount val="3"/>
                <c:pt idx="0">
                  <c:v>2014</c:v>
                </c:pt>
                <c:pt idx="1">
                  <c:v>2015</c:v>
                </c:pt>
                <c:pt idx="2">
                  <c:v>2017</c:v>
                </c:pt>
              </c:numCache>
            </c:numRef>
          </c:cat>
          <c:val>
            <c:numRef>
              <c:f>'Selling rental price land price'!$N$61:$P$61</c:f>
              <c:numCache>
                <c:formatCode>General</c:formatCode>
                <c:ptCount val="3"/>
                <c:pt idx="0">
                  <c:v>236</c:v>
                </c:pt>
                <c:pt idx="1">
                  <c:v>225</c:v>
                </c:pt>
                <c:pt idx="2">
                  <c:v>161</c:v>
                </c:pt>
              </c:numCache>
            </c:numRef>
          </c:val>
          <c:smooth val="0"/>
          <c:extLst>
            <c:ext xmlns:c16="http://schemas.microsoft.com/office/drawing/2014/chart" uri="{C3380CC4-5D6E-409C-BE32-E72D297353CC}">
              <c16:uniqueId val="{00000001-E4E7-4328-93A7-80273CF1835E}"/>
            </c:ext>
          </c:extLst>
        </c:ser>
        <c:ser>
          <c:idx val="2"/>
          <c:order val="2"/>
          <c:tx>
            <c:strRef>
              <c:f>'Selling rental price land price'!$M$62</c:f>
              <c:strCache>
                <c:ptCount val="1"/>
                <c:pt idx="0">
                  <c:v>3 rooms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'Selling rental price land price'!$N$59:$P$59</c:f>
              <c:numCache>
                <c:formatCode>General</c:formatCode>
                <c:ptCount val="3"/>
                <c:pt idx="0">
                  <c:v>2014</c:v>
                </c:pt>
                <c:pt idx="1">
                  <c:v>2015</c:v>
                </c:pt>
                <c:pt idx="2">
                  <c:v>2017</c:v>
                </c:pt>
              </c:numCache>
            </c:numRef>
          </c:cat>
          <c:val>
            <c:numRef>
              <c:f>'Selling rental price land price'!$N$62:$P$62</c:f>
              <c:numCache>
                <c:formatCode>General</c:formatCode>
                <c:ptCount val="3"/>
                <c:pt idx="0">
                  <c:v>290</c:v>
                </c:pt>
                <c:pt idx="1">
                  <c:v>275</c:v>
                </c:pt>
                <c:pt idx="2">
                  <c:v>233</c:v>
                </c:pt>
              </c:numCache>
            </c:numRef>
          </c:val>
          <c:smooth val="0"/>
          <c:extLst>
            <c:ext xmlns:c16="http://schemas.microsoft.com/office/drawing/2014/chart" uri="{C3380CC4-5D6E-409C-BE32-E72D297353CC}">
              <c16:uniqueId val="{00000002-E4E7-4328-93A7-80273CF1835E}"/>
            </c:ext>
          </c:extLst>
        </c:ser>
        <c:dLbls>
          <c:showLegendKey val="0"/>
          <c:showVal val="0"/>
          <c:showCatName val="0"/>
          <c:showSerName val="0"/>
          <c:showPercent val="0"/>
          <c:showBubbleSize val="0"/>
        </c:dLbls>
        <c:marker val="1"/>
        <c:smooth val="0"/>
        <c:axId val="1570359888"/>
        <c:axId val="1570354448"/>
      </c:lineChart>
      <c:catAx>
        <c:axId val="1570359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0354448"/>
        <c:crosses val="autoZero"/>
        <c:auto val="1"/>
        <c:lblAlgn val="ctr"/>
        <c:lblOffset val="100"/>
        <c:noMultiLvlLbl val="0"/>
      </c:catAx>
      <c:valAx>
        <c:axId val="1570354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0359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997594050743652E-2"/>
          <c:y val="2.5428331875182269E-2"/>
          <c:w val="0.8585579615048119"/>
          <c:h val="0.8416746864975212"/>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Sheet1!$A$27:$A$38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Sheet1!$B$27:$B$38</c:f>
              <c:numCache>
                <c:formatCode>0.0</c:formatCode>
                <c:ptCount val="12"/>
                <c:pt idx="0">
                  <c:v>368.1</c:v>
                </c:pt>
                <c:pt idx="1">
                  <c:v>534.9</c:v>
                </c:pt>
                <c:pt idx="2">
                  <c:v>556.79999999999995</c:v>
                </c:pt>
                <c:pt idx="3">
                  <c:v>597.6</c:v>
                </c:pt>
                <c:pt idx="4">
                  <c:v>635.96724671882146</c:v>
                </c:pt>
                <c:pt idx="5">
                  <c:v>712.5</c:v>
                </c:pt>
                <c:pt idx="6">
                  <c:v>773.11569989635825</c:v>
                </c:pt>
                <c:pt idx="7">
                  <c:v>818.02109008415971</c:v>
                </c:pt>
                <c:pt idx="8">
                  <c:v>900.41560965665087</c:v>
                </c:pt>
                <c:pt idx="9">
                  <c:v>940.01049260678531</c:v>
                </c:pt>
                <c:pt idx="10">
                  <c:v>999.13358973787854</c:v>
                </c:pt>
                <c:pt idx="11">
                  <c:v>1124.0952987945843</c:v>
                </c:pt>
              </c:numCache>
            </c:numRef>
          </c:val>
          <c:smooth val="0"/>
          <c:extLst>
            <c:ext xmlns:c16="http://schemas.microsoft.com/office/drawing/2014/chart" uri="{C3380CC4-5D6E-409C-BE32-E72D297353CC}">
              <c16:uniqueId val="{00000000-31FD-4A54-BCD9-9D4FBB545935}"/>
            </c:ext>
          </c:extLst>
        </c:ser>
        <c:dLbls>
          <c:showLegendKey val="0"/>
          <c:showVal val="0"/>
          <c:showCatName val="0"/>
          <c:showSerName val="0"/>
          <c:showPercent val="0"/>
          <c:showBubbleSize val="0"/>
        </c:dLbls>
        <c:marker val="1"/>
        <c:smooth val="0"/>
        <c:axId val="1804793792"/>
        <c:axId val="1804797056"/>
      </c:lineChart>
      <c:catAx>
        <c:axId val="180479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7056"/>
        <c:crosses val="autoZero"/>
        <c:auto val="1"/>
        <c:lblAlgn val="ctr"/>
        <c:lblOffset val="100"/>
        <c:noMultiLvlLbl val="0"/>
      </c:catAx>
      <c:valAx>
        <c:axId val="18047970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379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'Selling rental price land price'!$M$33</c:f>
              <c:strCache>
                <c:ptCount val="1"/>
                <c:pt idx="0">
                  <c:v>1 room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'Selling rental price land price'!$N$32:$P$32</c:f>
              <c:numCache>
                <c:formatCode>General</c:formatCode>
                <c:ptCount val="3"/>
                <c:pt idx="0">
                  <c:v>2014</c:v>
                </c:pt>
                <c:pt idx="1">
                  <c:v>2015</c:v>
                </c:pt>
                <c:pt idx="2">
                  <c:v>2017</c:v>
                </c:pt>
              </c:numCache>
            </c:numRef>
          </c:cat>
          <c:val>
            <c:numRef>
              <c:f>'Selling rental price land price'!$N$33:$P$33</c:f>
              <c:numCache>
                <c:formatCode>General</c:formatCode>
                <c:ptCount val="3"/>
                <c:pt idx="0">
                  <c:v>275</c:v>
                </c:pt>
                <c:pt idx="1">
                  <c:v>280</c:v>
                </c:pt>
                <c:pt idx="2">
                  <c:v>200</c:v>
                </c:pt>
              </c:numCache>
            </c:numRef>
          </c:val>
          <c:smooth val="0"/>
          <c:extLst>
            <c:ext xmlns:c16="http://schemas.microsoft.com/office/drawing/2014/chart" uri="{C3380CC4-5D6E-409C-BE32-E72D297353CC}">
              <c16:uniqueId val="{00000000-8DBB-476B-8465-F76C843BA0FB}"/>
            </c:ext>
          </c:extLst>
        </c:ser>
        <c:ser>
          <c:idx val="1"/>
          <c:order val="1"/>
          <c:tx>
            <c:strRef>
              <c:f>'Selling rental price land price'!$M$34</c:f>
              <c:strCache>
                <c:ptCount val="1"/>
                <c:pt idx="0">
                  <c:v>2 rooms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'Selling rental price land price'!$N$32:$P$32</c:f>
              <c:numCache>
                <c:formatCode>General</c:formatCode>
                <c:ptCount val="3"/>
                <c:pt idx="0">
                  <c:v>2014</c:v>
                </c:pt>
                <c:pt idx="1">
                  <c:v>2015</c:v>
                </c:pt>
                <c:pt idx="2">
                  <c:v>2017</c:v>
                </c:pt>
              </c:numCache>
            </c:numRef>
          </c:cat>
          <c:val>
            <c:numRef>
              <c:f>'Selling rental price land price'!$N$34:$P$34</c:f>
              <c:numCache>
                <c:formatCode>General</c:formatCode>
                <c:ptCount val="3"/>
                <c:pt idx="0">
                  <c:v>420</c:v>
                </c:pt>
                <c:pt idx="1">
                  <c:v>440</c:v>
                </c:pt>
                <c:pt idx="2">
                  <c:v>303</c:v>
                </c:pt>
              </c:numCache>
            </c:numRef>
          </c:val>
          <c:smooth val="0"/>
          <c:extLst>
            <c:ext xmlns:c16="http://schemas.microsoft.com/office/drawing/2014/chart" uri="{C3380CC4-5D6E-409C-BE32-E72D297353CC}">
              <c16:uniqueId val="{00000001-8DBB-476B-8465-F76C843BA0FB}"/>
            </c:ext>
          </c:extLst>
        </c:ser>
        <c:ser>
          <c:idx val="2"/>
          <c:order val="2"/>
          <c:tx>
            <c:strRef>
              <c:f>'Selling rental price land price'!$M$35</c:f>
              <c:strCache>
                <c:ptCount val="1"/>
                <c:pt idx="0">
                  <c:v>3 rooms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'Selling rental price land price'!$N$32:$P$32</c:f>
              <c:numCache>
                <c:formatCode>General</c:formatCode>
                <c:ptCount val="3"/>
                <c:pt idx="0">
                  <c:v>2014</c:v>
                </c:pt>
                <c:pt idx="1">
                  <c:v>2015</c:v>
                </c:pt>
                <c:pt idx="2">
                  <c:v>2017</c:v>
                </c:pt>
              </c:numCache>
            </c:numRef>
          </c:cat>
          <c:val>
            <c:numRef>
              <c:f>'Selling rental price land price'!$N$35:$P$35</c:f>
              <c:numCache>
                <c:formatCode>General</c:formatCode>
                <c:ptCount val="3"/>
                <c:pt idx="0">
                  <c:v>600</c:v>
                </c:pt>
                <c:pt idx="1">
                  <c:v>630</c:v>
                </c:pt>
                <c:pt idx="2">
                  <c:v>426</c:v>
                </c:pt>
              </c:numCache>
            </c:numRef>
          </c:val>
          <c:smooth val="0"/>
          <c:extLst>
            <c:ext xmlns:c16="http://schemas.microsoft.com/office/drawing/2014/chart" uri="{C3380CC4-5D6E-409C-BE32-E72D297353CC}">
              <c16:uniqueId val="{00000002-8DBB-476B-8465-F76C843BA0FB}"/>
            </c:ext>
          </c:extLst>
        </c:ser>
        <c:dLbls>
          <c:showLegendKey val="0"/>
          <c:showVal val="0"/>
          <c:showCatName val="0"/>
          <c:showSerName val="0"/>
          <c:showPercent val="0"/>
          <c:showBubbleSize val="0"/>
        </c:dLbls>
        <c:marker val="1"/>
        <c:smooth val="0"/>
        <c:axId val="1570357168"/>
        <c:axId val="1570357712"/>
      </c:lineChart>
      <c:catAx>
        <c:axId val="157035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0357712"/>
        <c:crosses val="autoZero"/>
        <c:auto val="1"/>
        <c:lblAlgn val="ctr"/>
        <c:lblOffset val="100"/>
        <c:noMultiLvlLbl val="0"/>
      </c:catAx>
      <c:valAx>
        <c:axId val="1570357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035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Households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0BC-4FB6-9285-7C85900C6CB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0BC-4FB6-9285-7C85900C6CB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0BC-4FB6-9285-7C85900C6CB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0BC-4FB6-9285-7C85900C6CB6}"/>
              </c:ext>
            </c:extLst>
          </c:dPt>
          <c:dLbls>
            <c:dLbl>
              <c:idx val="0"/>
              <c:layout>
                <c:manualLayout>
                  <c:x val="8.8114063867016618E-2"/>
                  <c:y val="2.131014873140857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BC-4FB6-9285-7C85900C6CB6}"/>
                </c:ext>
              </c:extLst>
            </c:dLbl>
            <c:dLbl>
              <c:idx val="1"/>
              <c:layout>
                <c:manualLayout>
                  <c:x val="1.1583552055993001E-2"/>
                  <c:y val="4.546770195392242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BC-4FB6-9285-7C85900C6CB6}"/>
                </c:ext>
              </c:extLst>
            </c:dLbl>
            <c:dLbl>
              <c:idx val="2"/>
              <c:layout>
                <c:manualLayout>
                  <c:x val="-6.0447834645669316E-2"/>
                  <c:y val="-0.20344816272965879"/>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BC-4FB6-9285-7C85900C6CB6}"/>
                </c:ext>
              </c:extLst>
            </c:dLbl>
            <c:dLbl>
              <c:idx val="3"/>
              <c:layout>
                <c:manualLayout>
                  <c:x val="-7.5054790026246723E-2"/>
                  <c:y val="-5.3335520559930011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BC-4FB6-9285-7C85900C6CB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'Homeless and Roofless'!$A$49:$A$52</c:f>
              <c:strCache>
                <c:ptCount val="4"/>
                <c:pt idx="0">
                  <c:v>Gurjaani</c:v>
                </c:pt>
                <c:pt idx="1">
                  <c:v>Kutaisi</c:v>
                </c:pt>
                <c:pt idx="2">
                  <c:v>Mestia</c:v>
                </c:pt>
                <c:pt idx="3">
                  <c:v>Lentekhi</c:v>
                </c:pt>
              </c:strCache>
            </c:strRef>
          </c:cat>
          <c:val>
            <c:numRef>
              <c:f>'Homeless and Roofless'!$B$49:$B$52</c:f>
              <c:numCache>
                <c:formatCode>0.0%</c:formatCode>
                <c:ptCount val="4"/>
                <c:pt idx="0">
                  <c:v>3.6484245439469321E-2</c:v>
                </c:pt>
                <c:pt idx="1">
                  <c:v>0.19734660033167495</c:v>
                </c:pt>
                <c:pt idx="2">
                  <c:v>0.76202321724709787</c:v>
                </c:pt>
                <c:pt idx="3">
                  <c:v>4.1459369817578775E-3</c:v>
                </c:pt>
              </c:numCache>
            </c:numRef>
          </c:val>
          <c:extLst>
            <c:ext xmlns:c16="http://schemas.microsoft.com/office/drawing/2014/chart" uri="{C3380CC4-5D6E-409C-BE32-E72D297353CC}">
              <c16:uniqueId val="{00000008-C0BC-4FB6-9285-7C85900C6CB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Individuals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720643615200268"/>
          <c:y val="0.18274806055147166"/>
          <c:w val="0.51972155654456231"/>
          <c:h val="0.5293105151523955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668-4B24-B9D1-82B5F9A1C12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668-4B24-B9D1-82B5F9A1C12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668-4B24-B9D1-82B5F9A1C12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668-4B24-B9D1-82B5F9A1C12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668-4B24-B9D1-82B5F9A1C12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668-4B24-B9D1-82B5F9A1C12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4668-4B24-B9D1-82B5F9A1C12A}"/>
              </c:ext>
            </c:extLst>
          </c:dPt>
          <c:dLbls>
            <c:dLbl>
              <c:idx val="0"/>
              <c:layout>
                <c:manualLayout>
                  <c:x val="0.1190796530868424"/>
                  <c:y val="3.377981811314176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68-4B24-B9D1-82B5F9A1C12A}"/>
                </c:ext>
              </c:extLst>
            </c:dLbl>
            <c:dLbl>
              <c:idx val="1"/>
              <c:layout>
                <c:manualLayout>
                  <c:x val="1.1282261592300962E-2"/>
                  <c:y val="-6.295931758530183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68-4B24-B9D1-82B5F9A1C12A}"/>
                </c:ext>
              </c:extLst>
            </c:dLbl>
            <c:dLbl>
              <c:idx val="2"/>
              <c:layout>
                <c:manualLayout>
                  <c:x val="6.893635170603675E-2"/>
                  <c:y val="-2.870297462817147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68-4B24-B9D1-82B5F9A1C12A}"/>
                </c:ext>
              </c:extLst>
            </c:dLbl>
            <c:dLbl>
              <c:idx val="3"/>
              <c:layout>
                <c:manualLayout>
                  <c:x val="5.4243219597550304E-5"/>
                  <c:y val="1.914843977836103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668-4B24-B9D1-82B5F9A1C12A}"/>
                </c:ext>
              </c:extLst>
            </c:dLbl>
            <c:dLbl>
              <c:idx val="4"/>
              <c:layout>
                <c:manualLayout>
                  <c:x val="-3.3764873140857396E-2"/>
                  <c:y val="1.227034120734899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668-4B24-B9D1-82B5F9A1C12A}"/>
                </c:ext>
              </c:extLst>
            </c:dLbl>
            <c:dLbl>
              <c:idx val="5"/>
              <c:layout>
                <c:manualLayout>
                  <c:x val="-3.3367235345581801E-2"/>
                  <c:y val="-5.501458151064450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668-4B24-B9D1-82B5F9A1C12A}"/>
                </c:ext>
              </c:extLst>
            </c:dLbl>
            <c:dLbl>
              <c:idx val="6"/>
              <c:layout>
                <c:manualLayout>
                  <c:x val="-2.5770997375328085E-2"/>
                  <c:y val="1.3670166229221348E-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668-4B24-B9D1-82B5F9A1C12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'Homeless and Roofless'!$A$69:$A$75</c:f>
              <c:strCache>
                <c:ptCount val="7"/>
                <c:pt idx="0">
                  <c:v>Lagodekhi municipality</c:v>
                </c:pt>
                <c:pt idx="1">
                  <c:v>Khashuri municipality</c:v>
                </c:pt>
                <c:pt idx="2">
                  <c:v>Kharagauli municipality</c:v>
                </c:pt>
                <c:pt idx="3">
                  <c:v>Kutaisi municipality</c:v>
                </c:pt>
                <c:pt idx="4">
                  <c:v>Poti municipality</c:v>
                </c:pt>
                <c:pt idx="5">
                  <c:v>Marneuli municipality</c:v>
                </c:pt>
                <c:pt idx="6">
                  <c:v>Rustavi municipality</c:v>
                </c:pt>
              </c:strCache>
            </c:strRef>
          </c:cat>
          <c:val>
            <c:numRef>
              <c:f>'Homeless and Roofless'!$B$69:$B$75</c:f>
              <c:numCache>
                <c:formatCode>0%</c:formatCode>
                <c:ptCount val="7"/>
                <c:pt idx="0">
                  <c:v>2.1482277121374866E-2</c:v>
                </c:pt>
                <c:pt idx="1">
                  <c:v>0.38023630504833511</c:v>
                </c:pt>
                <c:pt idx="2">
                  <c:v>1.1815252416756176E-2</c:v>
                </c:pt>
                <c:pt idx="3">
                  <c:v>1.1815252416756176E-2</c:v>
                </c:pt>
                <c:pt idx="4">
                  <c:v>7.7336197636949516E-2</c:v>
                </c:pt>
                <c:pt idx="5">
                  <c:v>0.25349087003222343</c:v>
                </c:pt>
                <c:pt idx="6">
                  <c:v>0.24382384532760473</c:v>
                </c:pt>
              </c:numCache>
            </c:numRef>
          </c:val>
          <c:extLst>
            <c:ext xmlns:c16="http://schemas.microsoft.com/office/drawing/2014/chart" uri="{C3380CC4-5D6E-409C-BE32-E72D297353CC}">
              <c16:uniqueId val="{0000000E-4668-4B24-B9D1-82B5F9A1C12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
          <c:y val="0.80960484106153396"/>
          <c:w val="1"/>
          <c:h val="0.162617381160688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Households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57C-4547-9672-2F170FB0AD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57C-4547-9672-2F170FB0AD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57C-4547-9672-2F170FB0AD5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57C-4547-9672-2F170FB0AD52}"/>
              </c:ext>
            </c:extLst>
          </c:dPt>
          <c:dLbls>
            <c:dLbl>
              <c:idx val="0"/>
              <c:layout>
                <c:manualLayout>
                  <c:x val="2.9454286964129485E-3"/>
                  <c:y val="-0.1328433945756780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7C-4547-9672-2F170FB0AD52}"/>
                </c:ext>
              </c:extLst>
            </c:dLbl>
            <c:dLbl>
              <c:idx val="1"/>
              <c:layout>
                <c:manualLayout>
                  <c:x val="0.17881638232720909"/>
                  <c:y val="-1.123213764946048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7C-4547-9672-2F170FB0AD52}"/>
                </c:ext>
              </c:extLst>
            </c:dLbl>
            <c:dLbl>
              <c:idx val="2"/>
              <c:layout>
                <c:manualLayout>
                  <c:x val="-9.2945319335083112E-2"/>
                  <c:y val="-0.10070100612423447"/>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7C-4547-9672-2F170FB0AD52}"/>
                </c:ext>
              </c:extLst>
            </c:dLbl>
            <c:dLbl>
              <c:idx val="3"/>
              <c:layout>
                <c:manualLayout>
                  <c:x val="-3.1440288713910761E-2"/>
                  <c:y val="-8.679899387576553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57C-4547-9672-2F170FB0AD5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'Homeless and Roofless'!$A$31:$A$34</c:f>
              <c:strCache>
                <c:ptCount val="4"/>
                <c:pt idx="0">
                  <c:v>Rented</c:v>
                </c:pt>
                <c:pt idx="1">
                  <c:v>Living Space</c:v>
                </c:pt>
                <c:pt idx="2">
                  <c:v>Shelters</c:v>
                </c:pt>
                <c:pt idx="3">
                  <c:v>Social Houses</c:v>
                </c:pt>
              </c:strCache>
            </c:strRef>
          </c:cat>
          <c:val>
            <c:numRef>
              <c:f>'Homeless and Roofless'!$B$31:$B$34</c:f>
              <c:numCache>
                <c:formatCode>0.0%</c:formatCode>
                <c:ptCount val="4"/>
                <c:pt idx="0">
                  <c:v>0.40304182509505704</c:v>
                </c:pt>
                <c:pt idx="1">
                  <c:v>9.2522179974651453E-2</c:v>
                </c:pt>
                <c:pt idx="2">
                  <c:v>0.15209125475285171</c:v>
                </c:pt>
                <c:pt idx="3">
                  <c:v>0.35234474017743977</c:v>
                </c:pt>
              </c:numCache>
            </c:numRef>
          </c:val>
          <c:extLst>
            <c:ext xmlns:c16="http://schemas.microsoft.com/office/drawing/2014/chart" uri="{C3380CC4-5D6E-409C-BE32-E72D297353CC}">
              <c16:uniqueId val="{00000008-657C-4547-9672-2F170FB0AD5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Individuals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11631046119235"/>
          <c:y val="0.19871612879375994"/>
          <c:w val="0.58243607049118851"/>
          <c:h val="0.5742327455546929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76F-41A0-8C8F-90F4B7446F7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76F-41A0-8C8F-90F4B7446F7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76F-41A0-8C8F-90F4B7446F7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76F-41A0-8C8F-90F4B7446F7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76F-41A0-8C8F-90F4B7446F72}"/>
              </c:ext>
            </c:extLst>
          </c:dPt>
          <c:dLbls>
            <c:dLbl>
              <c:idx val="0"/>
              <c:layout>
                <c:manualLayout>
                  <c:x val="-3.3330161854768156E-2"/>
                  <c:y val="-7.946303587051618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6F-41A0-8C8F-90F4B7446F72}"/>
                </c:ext>
              </c:extLst>
            </c:dLbl>
            <c:dLbl>
              <c:idx val="1"/>
              <c:layout>
                <c:manualLayout>
                  <c:x val="2.9518919510061241E-2"/>
                  <c:y val="-2.257874015748031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6F-41A0-8C8F-90F4B7446F72}"/>
                </c:ext>
              </c:extLst>
            </c:dLbl>
            <c:dLbl>
              <c:idx val="2"/>
              <c:layout>
                <c:manualLayout>
                  <c:x val="4.2698928258967629E-2"/>
                  <c:y val="-2.011665208515602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6F-41A0-8C8F-90F4B7446F72}"/>
                </c:ext>
              </c:extLst>
            </c:dLbl>
            <c:dLbl>
              <c:idx val="3"/>
              <c:layout>
                <c:manualLayout>
                  <c:x val="-1.0782261592300963E-2"/>
                  <c:y val="-4.805555555555555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6F-41A0-8C8F-90F4B7446F72}"/>
                </c:ext>
              </c:extLst>
            </c:dLbl>
            <c:dLbl>
              <c:idx val="4"/>
              <c:layout>
                <c:manualLayout>
                  <c:x val="-7.9453193350831147E-2"/>
                  <c:y val="1.257837561971418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6F-41A0-8C8F-90F4B7446F7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'Homeless and Roofless'!$A$37:$A$41</c:f>
              <c:strCache>
                <c:ptCount val="5"/>
                <c:pt idx="0">
                  <c:v>Rented</c:v>
                </c:pt>
                <c:pt idx="1">
                  <c:v>Living Space</c:v>
                </c:pt>
                <c:pt idx="2">
                  <c:v>Shelters</c:v>
                </c:pt>
                <c:pt idx="3">
                  <c:v>Social Houses</c:v>
                </c:pt>
                <c:pt idx="4">
                  <c:v>Monetary Assistance</c:v>
                </c:pt>
              </c:strCache>
            </c:strRef>
          </c:cat>
          <c:val>
            <c:numRef>
              <c:f>'Homeless and Roofless'!$B$37:$B$41</c:f>
              <c:numCache>
                <c:formatCode>0.0%</c:formatCode>
                <c:ptCount val="5"/>
                <c:pt idx="0">
                  <c:v>0.32409972299168976</c:v>
                </c:pt>
                <c:pt idx="1">
                  <c:v>3.0470914127423823E-2</c:v>
                </c:pt>
                <c:pt idx="2">
                  <c:v>0.25900277008310252</c:v>
                </c:pt>
                <c:pt idx="3">
                  <c:v>0.28947368421052633</c:v>
                </c:pt>
                <c:pt idx="4">
                  <c:v>9.6952908587257622E-2</c:v>
                </c:pt>
              </c:numCache>
            </c:numRef>
          </c:val>
          <c:extLst>
            <c:ext xmlns:c16="http://schemas.microsoft.com/office/drawing/2014/chart" uri="{C3380CC4-5D6E-409C-BE32-E72D297353CC}">
              <c16:uniqueId val="{0000000A-A76F-41A0-8C8F-90F4B7446F7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2443569553805769E-2"/>
          <c:y val="0.83039739750841002"/>
          <c:w val="0.95987476565429319"/>
          <c:h val="0.141433588407082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'Homeless and Roofless'!$E$2</c:f>
              <c:strCache>
                <c:ptCount val="1"/>
                <c:pt idx="0">
                  <c:v>Homeless Individuals</c:v>
                </c:pt>
              </c:strCache>
            </c:strRef>
          </c:tx>
          <c:spPr>
            <a:solidFill>
              <a:schemeClr val="accent1"/>
            </a:solidFill>
            <a:ln>
              <a:noFill/>
            </a:ln>
            <a:effectLst/>
          </c:spPr>
          <c:invertIfNegative val="0"/>
          <c:cat>
            <c:strRef>
              <c:f>'Homeless and Roofless'!$D$3:$D$17</c:f>
              <c:strCache>
                <c:ptCount val="15"/>
                <c:pt idx="0">
                  <c:v>Martvili </c:v>
                </c:pt>
                <c:pt idx="1">
                  <c:v>Chkorotskhu </c:v>
                </c:pt>
                <c:pt idx="2">
                  <c:v>Bagdati </c:v>
                </c:pt>
                <c:pt idx="3">
                  <c:v>Tetri Tskharo </c:v>
                </c:pt>
                <c:pt idx="4">
                  <c:v>Batumi </c:v>
                </c:pt>
                <c:pt idx="5">
                  <c:v>Senaki </c:v>
                </c:pt>
                <c:pt idx="6">
                  <c:v>Kharagauli </c:v>
                </c:pt>
                <c:pt idx="7">
                  <c:v>Kutaisi</c:v>
                </c:pt>
                <c:pt idx="8">
                  <c:v>Bolnisi </c:v>
                </c:pt>
                <c:pt idx="9">
                  <c:v>Akhalkalaki </c:v>
                </c:pt>
                <c:pt idx="10">
                  <c:v>Marneuli </c:v>
                </c:pt>
                <c:pt idx="11">
                  <c:v>Gori </c:v>
                </c:pt>
                <c:pt idx="12">
                  <c:v>Khoni </c:v>
                </c:pt>
                <c:pt idx="13">
                  <c:v>Tskhaltubo </c:v>
                </c:pt>
                <c:pt idx="14">
                  <c:v>Zestafoni </c:v>
                </c:pt>
              </c:strCache>
            </c:strRef>
          </c:cat>
          <c:val>
            <c:numRef>
              <c:f>'Homeless and Roofless'!$E$3:$E$17</c:f>
              <c:numCache>
                <c:formatCode>0.0%</c:formatCode>
                <c:ptCount val="15"/>
                <c:pt idx="0">
                  <c:v>1.8005540166204988E-2</c:v>
                </c:pt>
                <c:pt idx="1">
                  <c:v>3.6011080332409975E-2</c:v>
                </c:pt>
                <c:pt idx="2">
                  <c:v>0.13573407202216067</c:v>
                </c:pt>
                <c:pt idx="3">
                  <c:v>2.7700831024930748E-3</c:v>
                </c:pt>
                <c:pt idx="4">
                  <c:v>0.23822714681440443</c:v>
                </c:pt>
                <c:pt idx="5">
                  <c:v>4.1551246537396121E-2</c:v>
                </c:pt>
                <c:pt idx="6">
                  <c:v>1.3850415512465374E-3</c:v>
                </c:pt>
                <c:pt idx="7">
                  <c:v>1.3850415512465374E-2</c:v>
                </c:pt>
                <c:pt idx="8">
                  <c:v>2.077562326869806E-2</c:v>
                </c:pt>
                <c:pt idx="9">
                  <c:v>2.7700831024930748E-3</c:v>
                </c:pt>
                <c:pt idx="10">
                  <c:v>4.1551246537396124E-3</c:v>
                </c:pt>
                <c:pt idx="11">
                  <c:v>0.27562326869806092</c:v>
                </c:pt>
                <c:pt idx="12">
                  <c:v>2.7700831024930747E-2</c:v>
                </c:pt>
                <c:pt idx="13">
                  <c:v>8.4487534626038779E-2</c:v>
                </c:pt>
                <c:pt idx="14">
                  <c:v>9.6952908587257622E-2</c:v>
                </c:pt>
              </c:numCache>
            </c:numRef>
          </c:val>
          <c:extLst>
            <c:ext xmlns:c16="http://schemas.microsoft.com/office/drawing/2014/chart" uri="{C3380CC4-5D6E-409C-BE32-E72D297353CC}">
              <c16:uniqueId val="{00000000-FE07-419E-B728-B775B149E09D}"/>
            </c:ext>
          </c:extLst>
        </c:ser>
        <c:dLbls>
          <c:showLegendKey val="0"/>
          <c:showVal val="0"/>
          <c:showCatName val="0"/>
          <c:showSerName val="0"/>
          <c:showPercent val="0"/>
          <c:showBubbleSize val="0"/>
        </c:dLbls>
        <c:gapWidth val="182"/>
        <c:axId val="1935135152"/>
        <c:axId val="1928557776"/>
      </c:barChart>
      <c:catAx>
        <c:axId val="1935135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57776"/>
        <c:crosses val="autoZero"/>
        <c:auto val="1"/>
        <c:lblAlgn val="ctr"/>
        <c:lblOffset val="100"/>
        <c:noMultiLvlLbl val="0"/>
      </c:catAx>
      <c:valAx>
        <c:axId val="192855777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5135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'Homeless and Roofless'!$B$2</c:f>
              <c:strCache>
                <c:ptCount val="1"/>
                <c:pt idx="0">
                  <c:v> Homeless Households</c:v>
                </c:pt>
              </c:strCache>
            </c:strRef>
          </c:tx>
          <c:spPr>
            <a:solidFill>
              <a:schemeClr val="accent1"/>
            </a:solidFill>
            <a:ln>
              <a:noFill/>
            </a:ln>
            <a:effectLst/>
          </c:spPr>
          <c:invertIfNegative val="0"/>
          <c:cat>
            <c:strRef>
              <c:f>'Homeless and Roofless'!$A$3:$A$18</c:f>
              <c:strCache>
                <c:ptCount val="16"/>
                <c:pt idx="0">
                  <c:v>Telavi</c:v>
                </c:pt>
                <c:pt idx="1">
                  <c:v>Ozurgeti</c:v>
                </c:pt>
                <c:pt idx="2">
                  <c:v>Sighnaghi</c:v>
                </c:pt>
                <c:pt idx="3">
                  <c:v>Batumi</c:v>
                </c:pt>
                <c:pt idx="4">
                  <c:v>Khashuri</c:v>
                </c:pt>
                <c:pt idx="5">
                  <c:v>Gurjaani</c:v>
                </c:pt>
                <c:pt idx="6">
                  <c:v>Kutaisi</c:v>
                </c:pt>
                <c:pt idx="7">
                  <c:v>Sagarejo</c:v>
                </c:pt>
                <c:pt idx="8">
                  <c:v>Bolnisi</c:v>
                </c:pt>
                <c:pt idx="9">
                  <c:v>Dedoflistkharo</c:v>
                </c:pt>
                <c:pt idx="10">
                  <c:v>Zugdidi</c:v>
                </c:pt>
                <c:pt idx="11">
                  <c:v>Samtredia</c:v>
                </c:pt>
                <c:pt idx="12">
                  <c:v>Sachkhere</c:v>
                </c:pt>
                <c:pt idx="13">
                  <c:v>Dmanisi</c:v>
                </c:pt>
                <c:pt idx="14">
                  <c:v>Lanchkhuti</c:v>
                </c:pt>
                <c:pt idx="15">
                  <c:v>Oni</c:v>
                </c:pt>
              </c:strCache>
            </c:strRef>
          </c:cat>
          <c:val>
            <c:numRef>
              <c:f>'Homeless and Roofless'!$B$3:$B$18</c:f>
              <c:numCache>
                <c:formatCode>0.0%</c:formatCode>
                <c:ptCount val="16"/>
                <c:pt idx="0">
                  <c:v>7.8212290502793297E-2</c:v>
                </c:pt>
                <c:pt idx="1">
                  <c:v>0.13631284916201117</c:v>
                </c:pt>
                <c:pt idx="2">
                  <c:v>1.564245810055866E-2</c:v>
                </c:pt>
                <c:pt idx="3">
                  <c:v>4.5810055865921788E-2</c:v>
                </c:pt>
                <c:pt idx="4">
                  <c:v>2.1229050279329607E-2</c:v>
                </c:pt>
                <c:pt idx="5">
                  <c:v>2.3463687150837988E-2</c:v>
                </c:pt>
                <c:pt idx="6">
                  <c:v>8.6033519553072632E-2</c:v>
                </c:pt>
                <c:pt idx="7">
                  <c:v>6.3687150837988829E-2</c:v>
                </c:pt>
                <c:pt idx="8">
                  <c:v>5.9217877094972067E-2</c:v>
                </c:pt>
                <c:pt idx="9">
                  <c:v>2.3463687150837988E-2</c:v>
                </c:pt>
                <c:pt idx="10">
                  <c:v>0.10837988826815642</c:v>
                </c:pt>
                <c:pt idx="11">
                  <c:v>0.13407821229050279</c:v>
                </c:pt>
                <c:pt idx="12">
                  <c:v>5.5865921787709499E-3</c:v>
                </c:pt>
                <c:pt idx="13">
                  <c:v>1.7877094972067038E-2</c:v>
                </c:pt>
                <c:pt idx="14">
                  <c:v>0.17988826815642459</c:v>
                </c:pt>
                <c:pt idx="15">
                  <c:v>1.1173184357541898E-3</c:v>
                </c:pt>
              </c:numCache>
            </c:numRef>
          </c:val>
          <c:extLst>
            <c:ext xmlns:c16="http://schemas.microsoft.com/office/drawing/2014/chart" uri="{C3380CC4-5D6E-409C-BE32-E72D297353CC}">
              <c16:uniqueId val="{00000000-1825-4D4E-92E5-E6DA18D74EAA}"/>
            </c:ext>
          </c:extLst>
        </c:ser>
        <c:dLbls>
          <c:showLegendKey val="0"/>
          <c:showVal val="0"/>
          <c:showCatName val="0"/>
          <c:showSerName val="0"/>
          <c:showPercent val="0"/>
          <c:showBubbleSize val="0"/>
        </c:dLbls>
        <c:gapWidth val="182"/>
        <c:axId val="1935138960"/>
        <c:axId val="1935134064"/>
      </c:barChart>
      <c:catAx>
        <c:axId val="1935138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5134064"/>
        <c:crosses val="autoZero"/>
        <c:auto val="1"/>
        <c:lblAlgn val="ctr"/>
        <c:lblOffset val="100"/>
        <c:noMultiLvlLbl val="0"/>
      </c:catAx>
      <c:valAx>
        <c:axId val="193513406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5138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Ecomigrants!$B$35:$B$39</c:f>
              <c:numCache>
                <c:formatCode>General</c:formatCode>
                <c:ptCount val="5"/>
                <c:pt idx="0">
                  <c:v>2014</c:v>
                </c:pt>
                <c:pt idx="1">
                  <c:v>2015</c:v>
                </c:pt>
                <c:pt idx="2">
                  <c:v>2016</c:v>
                </c:pt>
                <c:pt idx="3">
                  <c:v>2017</c:v>
                </c:pt>
                <c:pt idx="4">
                  <c:v>2018</c:v>
                </c:pt>
              </c:numCache>
            </c:numRef>
          </c:cat>
          <c:val>
            <c:numRef>
              <c:f>Ecomigrants!$C$35:$C$39</c:f>
              <c:numCache>
                <c:formatCode>General</c:formatCode>
                <c:ptCount val="5"/>
                <c:pt idx="0">
                  <c:v>2016</c:v>
                </c:pt>
                <c:pt idx="1">
                  <c:v>840</c:v>
                </c:pt>
                <c:pt idx="2">
                  <c:v>900</c:v>
                </c:pt>
                <c:pt idx="3">
                  <c:v>1084</c:v>
                </c:pt>
                <c:pt idx="4">
                  <c:v>617</c:v>
                </c:pt>
              </c:numCache>
            </c:numRef>
          </c:val>
          <c:extLst>
            <c:ext xmlns:c16="http://schemas.microsoft.com/office/drawing/2014/chart" uri="{C3380CC4-5D6E-409C-BE32-E72D297353CC}">
              <c16:uniqueId val="{00000000-EDDA-4020-B1A0-6E30898CD654}"/>
            </c:ext>
          </c:extLst>
        </c:ser>
        <c:dLbls>
          <c:dLblPos val="outEnd"/>
          <c:showLegendKey val="0"/>
          <c:showVal val="1"/>
          <c:showCatName val="0"/>
          <c:showSerName val="0"/>
          <c:showPercent val="0"/>
          <c:showBubbleSize val="0"/>
        </c:dLbls>
        <c:gapWidth val="219"/>
        <c:overlap val="-27"/>
        <c:axId val="1928562128"/>
        <c:axId val="1928558864"/>
      </c:barChart>
      <c:catAx>
        <c:axId val="192856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58864"/>
        <c:crosses val="autoZero"/>
        <c:auto val="1"/>
        <c:lblAlgn val="ctr"/>
        <c:lblOffset val="100"/>
        <c:noMultiLvlLbl val="0"/>
      </c:catAx>
      <c:valAx>
        <c:axId val="1928558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2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IDPs!$C$2:$I$2</c:f>
              <c:numCache>
                <c:formatCode>General</c:formatCode>
                <c:ptCount val="7"/>
                <c:pt idx="0">
                  <c:v>2012</c:v>
                </c:pt>
                <c:pt idx="1">
                  <c:v>2013</c:v>
                </c:pt>
                <c:pt idx="2">
                  <c:v>2014</c:v>
                </c:pt>
                <c:pt idx="3">
                  <c:v>2015</c:v>
                </c:pt>
                <c:pt idx="4">
                  <c:v>2016</c:v>
                </c:pt>
                <c:pt idx="5">
                  <c:v>2017</c:v>
                </c:pt>
                <c:pt idx="6">
                  <c:v>2018</c:v>
                </c:pt>
              </c:numCache>
            </c:numRef>
          </c:cat>
          <c:val>
            <c:numRef>
              <c:f>IDPs!$C$3:$I$3</c:f>
              <c:numCache>
                <c:formatCode>_(* #,##0_);_(* \(#,##0\);_(* "-"_);_(@_)</c:formatCode>
                <c:ptCount val="7"/>
                <c:pt idx="0">
                  <c:v>163183</c:v>
                </c:pt>
                <c:pt idx="1">
                  <c:v>150607</c:v>
                </c:pt>
                <c:pt idx="2">
                  <c:v>141776</c:v>
                </c:pt>
                <c:pt idx="3">
                  <c:v>125301</c:v>
                </c:pt>
                <c:pt idx="4">
                  <c:v>142967</c:v>
                </c:pt>
                <c:pt idx="5">
                  <c:v>131502</c:v>
                </c:pt>
                <c:pt idx="6">
                  <c:v>127819</c:v>
                </c:pt>
              </c:numCache>
            </c:numRef>
          </c:val>
          <c:extLst>
            <c:ext xmlns:c16="http://schemas.microsoft.com/office/drawing/2014/chart" uri="{C3380CC4-5D6E-409C-BE32-E72D297353CC}">
              <c16:uniqueId val="{00000000-879A-41B2-90BC-4546F8EA52FC}"/>
            </c:ext>
          </c:extLst>
        </c:ser>
        <c:dLbls>
          <c:dLblPos val="outEnd"/>
          <c:showLegendKey val="0"/>
          <c:showVal val="1"/>
          <c:showCatName val="0"/>
          <c:showSerName val="0"/>
          <c:showPercent val="0"/>
          <c:showBubbleSize val="0"/>
        </c:dLbls>
        <c:gapWidth val="219"/>
        <c:overlap val="-27"/>
        <c:axId val="1928565936"/>
        <c:axId val="1928561040"/>
      </c:barChart>
      <c:catAx>
        <c:axId val="192856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1040"/>
        <c:crosses val="autoZero"/>
        <c:auto val="1"/>
        <c:lblAlgn val="ctr"/>
        <c:lblOffset val="100"/>
        <c:noMultiLvlLbl val="0"/>
      </c:catAx>
      <c:valAx>
        <c:axId val="1928561040"/>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5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IDPs!$B$31:$E$31</c:f>
              <c:numCache>
                <c:formatCode>General</c:formatCode>
                <c:ptCount val="4"/>
                <c:pt idx="0">
                  <c:v>2010</c:v>
                </c:pt>
                <c:pt idx="1">
                  <c:v>2011</c:v>
                </c:pt>
                <c:pt idx="2">
                  <c:v>2012</c:v>
                </c:pt>
                <c:pt idx="3">
                  <c:v>2013</c:v>
                </c:pt>
              </c:numCache>
            </c:numRef>
          </c:cat>
          <c:val>
            <c:numRef>
              <c:f>IDPs!$B$32:$E$32</c:f>
              <c:numCache>
                <c:formatCode>General</c:formatCode>
                <c:ptCount val="4"/>
                <c:pt idx="0">
                  <c:v>85335</c:v>
                </c:pt>
                <c:pt idx="1">
                  <c:v>74612</c:v>
                </c:pt>
                <c:pt idx="2">
                  <c:v>37273</c:v>
                </c:pt>
                <c:pt idx="3">
                  <c:v>32897</c:v>
                </c:pt>
              </c:numCache>
            </c:numRef>
          </c:val>
          <c:extLst>
            <c:ext xmlns:c16="http://schemas.microsoft.com/office/drawing/2014/chart" uri="{C3380CC4-5D6E-409C-BE32-E72D297353CC}">
              <c16:uniqueId val="{00000000-58E4-41F2-A31B-28BC54E42BE2}"/>
            </c:ext>
          </c:extLst>
        </c:ser>
        <c:dLbls>
          <c:dLblPos val="outEnd"/>
          <c:showLegendKey val="0"/>
          <c:showVal val="1"/>
          <c:showCatName val="0"/>
          <c:showSerName val="0"/>
          <c:showPercent val="0"/>
          <c:showBubbleSize val="0"/>
        </c:dLbls>
        <c:gapWidth val="219"/>
        <c:overlap val="-27"/>
        <c:axId val="1928562672"/>
        <c:axId val="1928567024"/>
      </c:barChart>
      <c:catAx>
        <c:axId val="192856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7024"/>
        <c:crosses val="autoZero"/>
        <c:auto val="1"/>
        <c:lblAlgn val="ctr"/>
        <c:lblOffset val="100"/>
        <c:noMultiLvlLbl val="0"/>
      </c:catAx>
      <c:valAx>
        <c:axId val="1928567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2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v>Unemployment Rate</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'[All graphs.xlsx]Unemployement'!$K$3:$V$3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'[All graphs.xlsx]Unemployement'!$K$12:$V$12</c:f>
              <c:numCache>
                <c:formatCode>0.0</c:formatCode>
                <c:ptCount val="12"/>
                <c:pt idx="0">
                  <c:v>17.362325265584598</c:v>
                </c:pt>
                <c:pt idx="1">
                  <c:v>17.865471085616122</c:v>
                </c:pt>
                <c:pt idx="2">
                  <c:v>18.296265718784468</c:v>
                </c:pt>
                <c:pt idx="3">
                  <c:v>17.405866841210649</c:v>
                </c:pt>
                <c:pt idx="4">
                  <c:v>17.340680702813426</c:v>
                </c:pt>
                <c:pt idx="5">
                  <c:v>17.215033145484458</c:v>
                </c:pt>
                <c:pt idx="6">
                  <c:v>16.942982182193088</c:v>
                </c:pt>
                <c:pt idx="7">
                  <c:v>14.621597730233146</c:v>
                </c:pt>
                <c:pt idx="8">
                  <c:v>14.08115650136012</c:v>
                </c:pt>
                <c:pt idx="9">
                  <c:v>13.9730583386975</c:v>
                </c:pt>
                <c:pt idx="10">
                  <c:v>13.938857151214307</c:v>
                </c:pt>
                <c:pt idx="11">
                  <c:v>12.666951165746044</c:v>
                </c:pt>
              </c:numCache>
            </c:numRef>
          </c:val>
          <c:smooth val="0"/>
          <c:extLst>
            <c:ext xmlns:c16="http://schemas.microsoft.com/office/drawing/2014/chart" uri="{C3380CC4-5D6E-409C-BE32-E72D297353CC}">
              <c16:uniqueId val="{00000000-5AC4-4EE0-9285-F94FFAF9BD41}"/>
            </c:ext>
          </c:extLst>
        </c:ser>
        <c:dLbls>
          <c:showLegendKey val="0"/>
          <c:showVal val="0"/>
          <c:showCatName val="0"/>
          <c:showSerName val="0"/>
          <c:showPercent val="0"/>
          <c:showBubbleSize val="0"/>
        </c:dLbls>
        <c:marker val="1"/>
        <c:smooth val="0"/>
        <c:axId val="1804786176"/>
        <c:axId val="1804795968"/>
      </c:lineChart>
      <c:lineChart>
        <c:grouping val="stacked"/>
        <c:varyColors val="0"/>
        <c:ser>
          <c:idx val="1"/>
          <c:order val="1"/>
          <c:tx>
            <c:v>Labor Force Participation</c:v>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'[All graphs.xlsx]Unemployement'!$K$3:$V$3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'[All graphs.xlsx]Unemployement'!$K$13:$V$13</c:f>
              <c:numCache>
                <c:formatCode>0.0</c:formatCode>
                <c:ptCount val="12"/>
                <c:pt idx="0">
                  <c:v>60.310152132309724</c:v>
                </c:pt>
                <c:pt idx="1">
                  <c:v>61.59808637946891</c:v>
                </c:pt>
                <c:pt idx="2">
                  <c:v>62.679255541249645</c:v>
                </c:pt>
                <c:pt idx="3">
                  <c:v>63.276087410873735</c:v>
                </c:pt>
                <c:pt idx="4">
                  <c:v>64.382885677338038</c:v>
                </c:pt>
                <c:pt idx="5">
                  <c:v>65.564723588883027</c:v>
                </c:pt>
                <c:pt idx="6">
                  <c:v>65.152406978484052</c:v>
                </c:pt>
                <c:pt idx="7">
                  <c:v>65.463214326660889</c:v>
                </c:pt>
                <c:pt idx="8">
                  <c:v>66.839915503158963</c:v>
                </c:pt>
                <c:pt idx="9">
                  <c:v>66.332100892865327</c:v>
                </c:pt>
                <c:pt idx="10">
                  <c:v>65.832059415596973</c:v>
                </c:pt>
                <c:pt idx="11">
                  <c:v>63.934129622852353</c:v>
                </c:pt>
              </c:numCache>
            </c:numRef>
          </c:val>
          <c:smooth val="0"/>
          <c:extLst>
            <c:ext xmlns:c16="http://schemas.microsoft.com/office/drawing/2014/chart" uri="{C3380CC4-5D6E-409C-BE32-E72D297353CC}">
              <c16:uniqueId val="{00000000-D97A-40CC-8D3F-84F06E25B24D}"/>
            </c:ext>
          </c:extLst>
        </c:ser>
        <c:dLbls>
          <c:showLegendKey val="0"/>
          <c:showVal val="0"/>
          <c:showCatName val="0"/>
          <c:showSerName val="0"/>
          <c:showPercent val="0"/>
          <c:showBubbleSize val="0"/>
        </c:dLbls>
        <c:marker val="1"/>
        <c:smooth val="0"/>
        <c:axId val="1804798688"/>
        <c:axId val="1804774752"/>
      </c:lineChart>
      <c:catAx>
        <c:axId val="180478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5968"/>
        <c:crosses val="autoZero"/>
        <c:auto val="1"/>
        <c:lblAlgn val="ctr"/>
        <c:lblOffset val="100"/>
        <c:noMultiLvlLbl val="0"/>
      </c:catAx>
      <c:valAx>
        <c:axId val="1804795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Unemployment 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86176"/>
        <c:crosses val="autoZero"/>
        <c:crossBetween val="between"/>
      </c:valAx>
      <c:valAx>
        <c:axId val="180477475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Labour</a:t>
                </a:r>
                <a:r>
                  <a:rPr lang="en-US" baseline="0"/>
                  <a:t> Force Participation</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8688"/>
        <c:crosses val="max"/>
        <c:crossBetween val="between"/>
      </c:valAx>
      <c:catAx>
        <c:axId val="1804798688"/>
        <c:scaling>
          <c:orientation val="minMax"/>
        </c:scaling>
        <c:delete val="1"/>
        <c:axPos val="b"/>
        <c:numFmt formatCode="General" sourceLinked="1"/>
        <c:majorTickMark val="out"/>
        <c:minorTickMark val="none"/>
        <c:tickLblPos val="nextTo"/>
        <c:crossAx val="18047747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'Children Houses'!$AI$1</c:f>
              <c:strCache>
                <c:ptCount val="1"/>
                <c:pt idx="0">
                  <c:v>Children Houses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'Children Houses'!$AH$2:$AH$9</c:f>
              <c:numCache>
                <c:formatCode>General</c:formatCode>
                <c:ptCount val="8"/>
                <c:pt idx="0">
                  <c:v>2011</c:v>
                </c:pt>
                <c:pt idx="1">
                  <c:v>2012</c:v>
                </c:pt>
                <c:pt idx="2">
                  <c:v>2013</c:v>
                </c:pt>
                <c:pt idx="3">
                  <c:v>2014</c:v>
                </c:pt>
                <c:pt idx="4">
                  <c:v>2015</c:v>
                </c:pt>
                <c:pt idx="5">
                  <c:v>2016</c:v>
                </c:pt>
                <c:pt idx="6">
                  <c:v>2017</c:v>
                </c:pt>
                <c:pt idx="7">
                  <c:v>2018</c:v>
                </c:pt>
              </c:numCache>
            </c:numRef>
          </c:cat>
          <c:val>
            <c:numRef>
              <c:f>'Children Houses'!$AI$2:$AI$9</c:f>
              <c:numCache>
                <c:formatCode>General</c:formatCode>
                <c:ptCount val="8"/>
                <c:pt idx="0">
                  <c:v>754</c:v>
                </c:pt>
                <c:pt idx="1">
                  <c:v>228</c:v>
                </c:pt>
                <c:pt idx="2">
                  <c:v>66</c:v>
                </c:pt>
                <c:pt idx="7">
                  <c:v>28</c:v>
                </c:pt>
              </c:numCache>
            </c:numRef>
          </c:val>
          <c:extLst>
            <c:ext xmlns:c16="http://schemas.microsoft.com/office/drawing/2014/chart" uri="{C3380CC4-5D6E-409C-BE32-E72D297353CC}">
              <c16:uniqueId val="{00000000-1ADF-446F-BADE-A9CB8D4AF03A}"/>
            </c:ext>
          </c:extLst>
        </c:ser>
        <c:ser>
          <c:idx val="1"/>
          <c:order val="1"/>
          <c:tx>
            <c:strRef>
              <c:f>'Children Houses'!$AJ$1</c:f>
              <c:strCache>
                <c:ptCount val="1"/>
                <c:pt idx="0">
                  <c:v>Toddler Houses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'Children Houses'!$AH$2:$AH$9</c:f>
              <c:numCache>
                <c:formatCode>General</c:formatCode>
                <c:ptCount val="8"/>
                <c:pt idx="0">
                  <c:v>2011</c:v>
                </c:pt>
                <c:pt idx="1">
                  <c:v>2012</c:v>
                </c:pt>
                <c:pt idx="2">
                  <c:v>2013</c:v>
                </c:pt>
                <c:pt idx="3">
                  <c:v>2014</c:v>
                </c:pt>
                <c:pt idx="4">
                  <c:v>2015</c:v>
                </c:pt>
                <c:pt idx="5">
                  <c:v>2016</c:v>
                </c:pt>
                <c:pt idx="6">
                  <c:v>2017</c:v>
                </c:pt>
                <c:pt idx="7">
                  <c:v>2018</c:v>
                </c:pt>
              </c:numCache>
            </c:numRef>
          </c:cat>
          <c:val>
            <c:numRef>
              <c:f>'Children Houses'!$AJ$2:$AJ$9</c:f>
              <c:numCache>
                <c:formatCode>General</c:formatCode>
                <c:ptCount val="8"/>
                <c:pt idx="0">
                  <c:v>209</c:v>
                </c:pt>
                <c:pt idx="1">
                  <c:v>199</c:v>
                </c:pt>
                <c:pt idx="2">
                  <c:v>93</c:v>
                </c:pt>
                <c:pt idx="3">
                  <c:v>76</c:v>
                </c:pt>
                <c:pt idx="4">
                  <c:v>68</c:v>
                </c:pt>
                <c:pt idx="5">
                  <c:v>79</c:v>
                </c:pt>
                <c:pt idx="6">
                  <c:v>67</c:v>
                </c:pt>
                <c:pt idx="7">
                  <c:v>70</c:v>
                </c:pt>
              </c:numCache>
            </c:numRef>
          </c:val>
          <c:extLst>
            <c:ext xmlns:c16="http://schemas.microsoft.com/office/drawing/2014/chart" uri="{C3380CC4-5D6E-409C-BE32-E72D297353CC}">
              <c16:uniqueId val="{00000001-1ADF-446F-BADE-A9CB8D4AF03A}"/>
            </c:ext>
          </c:extLst>
        </c:ser>
        <c:ser>
          <c:idx val="2"/>
          <c:order val="2"/>
          <c:tx>
            <c:strRef>
              <c:f>'Children Houses'!$AK$1</c:f>
              <c:strCache>
                <c:ptCount val="1"/>
                <c:pt idx="0">
                  <c:v>Children Crisis Center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'Children Houses'!$AH$2:$AH$9</c:f>
              <c:numCache>
                <c:formatCode>General</c:formatCode>
                <c:ptCount val="8"/>
                <c:pt idx="0">
                  <c:v>2011</c:v>
                </c:pt>
                <c:pt idx="1">
                  <c:v>2012</c:v>
                </c:pt>
                <c:pt idx="2">
                  <c:v>2013</c:v>
                </c:pt>
                <c:pt idx="3">
                  <c:v>2014</c:v>
                </c:pt>
                <c:pt idx="4">
                  <c:v>2015</c:v>
                </c:pt>
                <c:pt idx="5">
                  <c:v>2016</c:v>
                </c:pt>
                <c:pt idx="6">
                  <c:v>2017</c:v>
                </c:pt>
                <c:pt idx="7">
                  <c:v>2018</c:v>
                </c:pt>
              </c:numCache>
            </c:numRef>
          </c:cat>
          <c:val>
            <c:numRef>
              <c:f>'Children Houses'!$AK$2:$AK$9</c:f>
              <c:numCache>
                <c:formatCode>General</c:formatCode>
                <c:ptCount val="8"/>
                <c:pt idx="0">
                  <c:v>38</c:v>
                </c:pt>
                <c:pt idx="1">
                  <c:v>33</c:v>
                </c:pt>
                <c:pt idx="2">
                  <c:v>104</c:v>
                </c:pt>
                <c:pt idx="3">
                  <c:v>42</c:v>
                </c:pt>
              </c:numCache>
            </c:numRef>
          </c:val>
          <c:extLst>
            <c:ext xmlns:c16="http://schemas.microsoft.com/office/drawing/2014/chart" uri="{C3380CC4-5D6E-409C-BE32-E72D297353CC}">
              <c16:uniqueId val="{00000002-1ADF-446F-BADE-A9CB8D4AF03A}"/>
            </c:ext>
          </c:extLst>
        </c:ser>
        <c:ser>
          <c:idx val="3"/>
          <c:order val="3"/>
          <c:tx>
            <c:strRef>
              <c:f>'Children Houses'!$AL$1</c:f>
              <c:strCache>
                <c:ptCount val="1"/>
                <c:pt idx="0">
                  <c:v>Children Day Centers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'Children Houses'!$AH$2:$AH$9</c:f>
              <c:numCache>
                <c:formatCode>General</c:formatCode>
                <c:ptCount val="8"/>
                <c:pt idx="0">
                  <c:v>2011</c:v>
                </c:pt>
                <c:pt idx="1">
                  <c:v>2012</c:v>
                </c:pt>
                <c:pt idx="2">
                  <c:v>2013</c:v>
                </c:pt>
                <c:pt idx="3">
                  <c:v>2014</c:v>
                </c:pt>
                <c:pt idx="4">
                  <c:v>2015</c:v>
                </c:pt>
                <c:pt idx="5">
                  <c:v>2016</c:v>
                </c:pt>
                <c:pt idx="6">
                  <c:v>2017</c:v>
                </c:pt>
                <c:pt idx="7">
                  <c:v>2018</c:v>
                </c:pt>
              </c:numCache>
            </c:numRef>
          </c:cat>
          <c:val>
            <c:numRef>
              <c:f>'Children Houses'!$AL$2:$AL$9</c:f>
              <c:numCache>
                <c:formatCode>General</c:formatCode>
                <c:ptCount val="8"/>
                <c:pt idx="0">
                  <c:v>85</c:v>
                </c:pt>
                <c:pt idx="1">
                  <c:v>78</c:v>
                </c:pt>
                <c:pt idx="2">
                  <c:v>59</c:v>
                </c:pt>
              </c:numCache>
            </c:numRef>
          </c:val>
          <c:extLst>
            <c:ext xmlns:c16="http://schemas.microsoft.com/office/drawing/2014/chart" uri="{C3380CC4-5D6E-409C-BE32-E72D297353CC}">
              <c16:uniqueId val="{00000003-1ADF-446F-BADE-A9CB8D4AF03A}"/>
            </c:ext>
          </c:extLst>
        </c:ser>
        <c:dLbls>
          <c:dLblPos val="ctr"/>
          <c:showLegendKey val="0"/>
          <c:showVal val="1"/>
          <c:showCatName val="0"/>
          <c:showSerName val="0"/>
          <c:showPercent val="0"/>
          <c:showBubbleSize val="0"/>
        </c:dLbls>
        <c:gapWidth val="150"/>
        <c:overlap val="100"/>
        <c:axId val="1928567568"/>
        <c:axId val="1928558320"/>
      </c:barChart>
      <c:catAx>
        <c:axId val="192856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58320"/>
        <c:crosses val="autoZero"/>
        <c:auto val="1"/>
        <c:lblAlgn val="ctr"/>
        <c:lblOffset val="100"/>
        <c:noMultiLvlLbl val="0"/>
      </c:catAx>
      <c:valAx>
        <c:axId val="1928558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7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'Summary for adoption 16-18 year'!$B$2:$G$2</c:f>
              <c:numCache>
                <c:formatCode>General</c:formatCode>
                <c:ptCount val="6"/>
                <c:pt idx="0">
                  <c:v>2013</c:v>
                </c:pt>
                <c:pt idx="1">
                  <c:v>2014</c:v>
                </c:pt>
                <c:pt idx="2">
                  <c:v>2015</c:v>
                </c:pt>
                <c:pt idx="3">
                  <c:v>2016</c:v>
                </c:pt>
                <c:pt idx="4">
                  <c:v>2017</c:v>
                </c:pt>
                <c:pt idx="5">
                  <c:v>2018</c:v>
                </c:pt>
              </c:numCache>
            </c:numRef>
          </c:cat>
          <c:val>
            <c:numRef>
              <c:f>'Summary for adoption 16-18 year'!$B$5:$G$5</c:f>
              <c:numCache>
                <c:formatCode>_(* #,##0_);_(* \(#,##0\);_(* "-"_);_(@_)</c:formatCode>
                <c:ptCount val="6"/>
                <c:pt idx="0">
                  <c:v>11</c:v>
                </c:pt>
                <c:pt idx="1">
                  <c:v>69</c:v>
                </c:pt>
                <c:pt idx="2">
                  <c:v>22</c:v>
                </c:pt>
                <c:pt idx="3">
                  <c:v>29</c:v>
                </c:pt>
                <c:pt idx="4">
                  <c:v>39</c:v>
                </c:pt>
                <c:pt idx="5">
                  <c:v>47</c:v>
                </c:pt>
              </c:numCache>
            </c:numRef>
          </c:val>
          <c:extLst>
            <c:ext xmlns:c16="http://schemas.microsoft.com/office/drawing/2014/chart" uri="{C3380CC4-5D6E-409C-BE32-E72D297353CC}">
              <c16:uniqueId val="{00000000-FA77-4E43-ADA1-BB14608E6B3B}"/>
            </c:ext>
          </c:extLst>
        </c:ser>
        <c:dLbls>
          <c:dLblPos val="inEnd"/>
          <c:showLegendKey val="0"/>
          <c:showVal val="1"/>
          <c:showCatName val="0"/>
          <c:showSerName val="0"/>
          <c:showPercent val="0"/>
          <c:showBubbleSize val="0"/>
        </c:dLbls>
        <c:gapWidth val="150"/>
        <c:overlap val="100"/>
        <c:axId val="1563818208"/>
        <c:axId val="1629397840"/>
      </c:barChart>
      <c:catAx>
        <c:axId val="156381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9397840"/>
        <c:crosses val="autoZero"/>
        <c:auto val="1"/>
        <c:lblAlgn val="ctr"/>
        <c:lblOffset val="100"/>
        <c:noMultiLvlLbl val="0"/>
      </c:catAx>
      <c:valAx>
        <c:axId val="162939784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38182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sshm!$A$3</c:f>
              <c:strCache>
                <c:ptCount val="1"/>
                <c:pt idx="0">
                  <c:v>Kojori house for children with disabilites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sshm!$B$2:$I$2</c:f>
              <c:numCache>
                <c:formatCode>General</c:formatCode>
                <c:ptCount val="8"/>
                <c:pt idx="0">
                  <c:v>2011</c:v>
                </c:pt>
                <c:pt idx="1">
                  <c:v>2012</c:v>
                </c:pt>
                <c:pt idx="2">
                  <c:v>2013</c:v>
                </c:pt>
                <c:pt idx="3">
                  <c:v>2014</c:v>
                </c:pt>
                <c:pt idx="4">
                  <c:v>2015</c:v>
                </c:pt>
                <c:pt idx="5">
                  <c:v>2016</c:v>
                </c:pt>
                <c:pt idx="6">
                  <c:v>2017</c:v>
                </c:pt>
                <c:pt idx="7">
                  <c:v>2018</c:v>
                </c:pt>
              </c:numCache>
            </c:numRef>
          </c:cat>
          <c:val>
            <c:numRef>
              <c:f>sshm!$B$3:$I$3</c:f>
              <c:numCache>
                <c:formatCode>General</c:formatCode>
                <c:ptCount val="8"/>
                <c:pt idx="0">
                  <c:v>30</c:v>
                </c:pt>
                <c:pt idx="1">
                  <c:v>30</c:v>
                </c:pt>
                <c:pt idx="2">
                  <c:v>30</c:v>
                </c:pt>
                <c:pt idx="3">
                  <c:v>27</c:v>
                </c:pt>
                <c:pt idx="4">
                  <c:v>31</c:v>
                </c:pt>
                <c:pt idx="5">
                  <c:v>33</c:v>
                </c:pt>
                <c:pt idx="6">
                  <c:v>32</c:v>
                </c:pt>
              </c:numCache>
            </c:numRef>
          </c:val>
          <c:extLst>
            <c:ext xmlns:c16="http://schemas.microsoft.com/office/drawing/2014/chart" uri="{C3380CC4-5D6E-409C-BE32-E72D297353CC}">
              <c16:uniqueId val="{00000000-3C4A-4019-9889-83D5C589F20A}"/>
            </c:ext>
          </c:extLst>
        </c:ser>
        <c:ser>
          <c:idx val="1"/>
          <c:order val="1"/>
          <c:tx>
            <c:strRef>
              <c:f>sshm!$A$4</c:f>
              <c:strCache>
                <c:ptCount val="1"/>
                <c:pt idx="0">
                  <c:v>Senaki house for children with disabilites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sshm!$B$2:$I$2</c:f>
              <c:numCache>
                <c:formatCode>General</c:formatCode>
                <c:ptCount val="8"/>
                <c:pt idx="0">
                  <c:v>2011</c:v>
                </c:pt>
                <c:pt idx="1">
                  <c:v>2012</c:v>
                </c:pt>
                <c:pt idx="2">
                  <c:v>2013</c:v>
                </c:pt>
                <c:pt idx="3">
                  <c:v>2014</c:v>
                </c:pt>
                <c:pt idx="4">
                  <c:v>2015</c:v>
                </c:pt>
                <c:pt idx="5">
                  <c:v>2016</c:v>
                </c:pt>
                <c:pt idx="6">
                  <c:v>2017</c:v>
                </c:pt>
                <c:pt idx="7">
                  <c:v>2018</c:v>
                </c:pt>
              </c:numCache>
            </c:numRef>
          </c:cat>
          <c:val>
            <c:numRef>
              <c:f>sshm!$B$4:$I$4</c:f>
              <c:numCache>
                <c:formatCode>General</c:formatCode>
                <c:ptCount val="8"/>
                <c:pt idx="0">
                  <c:v>49</c:v>
                </c:pt>
                <c:pt idx="1">
                  <c:v>49</c:v>
                </c:pt>
                <c:pt idx="2">
                  <c:v>31</c:v>
                </c:pt>
                <c:pt idx="3">
                  <c:v>26</c:v>
                </c:pt>
              </c:numCache>
            </c:numRef>
          </c:val>
          <c:extLst>
            <c:ext xmlns:c16="http://schemas.microsoft.com/office/drawing/2014/chart" uri="{C3380CC4-5D6E-409C-BE32-E72D297353CC}">
              <c16:uniqueId val="{00000001-3C4A-4019-9889-83D5C589F20A}"/>
            </c:ext>
          </c:extLst>
        </c:ser>
        <c:ser>
          <c:idx val="2"/>
          <c:order val="2"/>
          <c:tx>
            <c:strRef>
              <c:f>sshm!$A$5</c:f>
              <c:strCache>
                <c:ptCount val="1"/>
                <c:pt idx="0">
                  <c:v>Dzevri house for people with disabilites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sshm!$B$2:$I$2</c:f>
              <c:numCache>
                <c:formatCode>General</c:formatCode>
                <c:ptCount val="8"/>
                <c:pt idx="0">
                  <c:v>2011</c:v>
                </c:pt>
                <c:pt idx="1">
                  <c:v>2012</c:v>
                </c:pt>
                <c:pt idx="2">
                  <c:v>2013</c:v>
                </c:pt>
                <c:pt idx="3">
                  <c:v>2014</c:v>
                </c:pt>
                <c:pt idx="4">
                  <c:v>2015</c:v>
                </c:pt>
                <c:pt idx="5">
                  <c:v>2016</c:v>
                </c:pt>
                <c:pt idx="6">
                  <c:v>2017</c:v>
                </c:pt>
                <c:pt idx="7">
                  <c:v>2018</c:v>
                </c:pt>
              </c:numCache>
            </c:numRef>
          </c:cat>
          <c:val>
            <c:numRef>
              <c:f>sshm!$B$5:$I$5</c:f>
              <c:numCache>
                <c:formatCode>General</c:formatCode>
                <c:ptCount val="8"/>
                <c:pt idx="0">
                  <c:v>68</c:v>
                </c:pt>
                <c:pt idx="1">
                  <c:v>66</c:v>
                </c:pt>
                <c:pt idx="2">
                  <c:v>66</c:v>
                </c:pt>
                <c:pt idx="3">
                  <c:v>66</c:v>
                </c:pt>
                <c:pt idx="4">
                  <c:v>66</c:v>
                </c:pt>
                <c:pt idx="5">
                  <c:v>66</c:v>
                </c:pt>
                <c:pt idx="6">
                  <c:v>68</c:v>
                </c:pt>
                <c:pt idx="7">
                  <c:v>67</c:v>
                </c:pt>
              </c:numCache>
            </c:numRef>
          </c:val>
          <c:extLst>
            <c:ext xmlns:c16="http://schemas.microsoft.com/office/drawing/2014/chart" uri="{C3380CC4-5D6E-409C-BE32-E72D297353CC}">
              <c16:uniqueId val="{00000002-3C4A-4019-9889-83D5C589F20A}"/>
            </c:ext>
          </c:extLst>
        </c:ser>
        <c:ser>
          <c:idx val="3"/>
          <c:order val="3"/>
          <c:tx>
            <c:strRef>
              <c:f>sshm!$A$6</c:f>
              <c:strCache>
                <c:ptCount val="1"/>
                <c:pt idx="0">
                  <c:v>Dusheti house for people with disabilites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sshm!$B$2:$I$2</c:f>
              <c:numCache>
                <c:formatCode>General</c:formatCode>
                <c:ptCount val="8"/>
                <c:pt idx="0">
                  <c:v>2011</c:v>
                </c:pt>
                <c:pt idx="1">
                  <c:v>2012</c:v>
                </c:pt>
                <c:pt idx="2">
                  <c:v>2013</c:v>
                </c:pt>
                <c:pt idx="3">
                  <c:v>2014</c:v>
                </c:pt>
                <c:pt idx="4">
                  <c:v>2015</c:v>
                </c:pt>
                <c:pt idx="5">
                  <c:v>2016</c:v>
                </c:pt>
                <c:pt idx="6">
                  <c:v>2017</c:v>
                </c:pt>
                <c:pt idx="7">
                  <c:v>2018</c:v>
                </c:pt>
              </c:numCache>
            </c:numRef>
          </c:cat>
          <c:val>
            <c:numRef>
              <c:f>sshm!$B$6:$I$6</c:f>
              <c:numCache>
                <c:formatCode>General</c:formatCode>
                <c:ptCount val="8"/>
                <c:pt idx="0">
                  <c:v>40</c:v>
                </c:pt>
                <c:pt idx="1">
                  <c:v>40</c:v>
                </c:pt>
                <c:pt idx="2">
                  <c:v>56</c:v>
                </c:pt>
                <c:pt idx="3">
                  <c:v>51</c:v>
                </c:pt>
                <c:pt idx="4">
                  <c:v>49</c:v>
                </c:pt>
                <c:pt idx="5">
                  <c:v>53</c:v>
                </c:pt>
                <c:pt idx="6">
                  <c:v>47</c:v>
                </c:pt>
                <c:pt idx="7">
                  <c:v>51</c:v>
                </c:pt>
              </c:numCache>
            </c:numRef>
          </c:val>
          <c:extLst>
            <c:ext xmlns:c16="http://schemas.microsoft.com/office/drawing/2014/chart" uri="{C3380CC4-5D6E-409C-BE32-E72D297353CC}">
              <c16:uniqueId val="{00000003-3C4A-4019-9889-83D5C589F20A}"/>
            </c:ext>
          </c:extLst>
        </c:ser>
        <c:ser>
          <c:idx val="4"/>
          <c:order val="4"/>
          <c:tx>
            <c:strRef>
              <c:f>sshm!$A$7</c:f>
              <c:strCache>
                <c:ptCount val="1"/>
                <c:pt idx="0">
                  <c:v>Martkhopi house for people with disabilites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sshm!$B$2:$I$2</c:f>
              <c:numCache>
                <c:formatCode>General</c:formatCode>
                <c:ptCount val="8"/>
                <c:pt idx="0">
                  <c:v>2011</c:v>
                </c:pt>
                <c:pt idx="1">
                  <c:v>2012</c:v>
                </c:pt>
                <c:pt idx="2">
                  <c:v>2013</c:v>
                </c:pt>
                <c:pt idx="3">
                  <c:v>2014</c:v>
                </c:pt>
                <c:pt idx="4">
                  <c:v>2015</c:v>
                </c:pt>
                <c:pt idx="5">
                  <c:v>2016</c:v>
                </c:pt>
                <c:pt idx="6">
                  <c:v>2017</c:v>
                </c:pt>
                <c:pt idx="7">
                  <c:v>2018</c:v>
                </c:pt>
              </c:numCache>
            </c:numRef>
          </c:cat>
          <c:val>
            <c:numRef>
              <c:f>sshm!$B$7:$I$7</c:f>
              <c:numCache>
                <c:formatCode>General</c:formatCode>
                <c:ptCount val="8"/>
                <c:pt idx="1">
                  <c:v>68</c:v>
                </c:pt>
                <c:pt idx="2">
                  <c:v>75</c:v>
                </c:pt>
                <c:pt idx="3">
                  <c:v>73</c:v>
                </c:pt>
                <c:pt idx="4">
                  <c:v>74</c:v>
                </c:pt>
                <c:pt idx="5">
                  <c:v>72</c:v>
                </c:pt>
                <c:pt idx="6">
                  <c:v>71</c:v>
                </c:pt>
                <c:pt idx="7">
                  <c:v>74</c:v>
                </c:pt>
              </c:numCache>
            </c:numRef>
          </c:val>
          <c:extLst>
            <c:ext xmlns:c16="http://schemas.microsoft.com/office/drawing/2014/chart" uri="{C3380CC4-5D6E-409C-BE32-E72D297353CC}">
              <c16:uniqueId val="{00000004-3C4A-4019-9889-83D5C589F20A}"/>
            </c:ext>
          </c:extLst>
        </c:ser>
        <c:dLbls>
          <c:dLblPos val="ctr"/>
          <c:showLegendKey val="0"/>
          <c:showVal val="1"/>
          <c:showCatName val="0"/>
          <c:showSerName val="0"/>
          <c:showPercent val="0"/>
          <c:showBubbleSize val="0"/>
        </c:dLbls>
        <c:gapWidth val="150"/>
        <c:overlap val="100"/>
        <c:axId val="1928561584"/>
        <c:axId val="1928563216"/>
      </c:barChart>
      <c:catAx>
        <c:axId val="192856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3216"/>
        <c:crosses val="autoZero"/>
        <c:auto val="1"/>
        <c:lblAlgn val="ctr"/>
        <c:lblOffset val="100"/>
        <c:noMultiLvlLbl val="0"/>
      </c:catAx>
      <c:valAx>
        <c:axId val="1928563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1584"/>
        <c:crosses val="autoZero"/>
        <c:crossBetween val="between"/>
      </c:valAx>
      <c:spPr>
        <a:noFill/>
        <a:ln>
          <a:noFill/>
        </a:ln>
        <a:effectLst/>
      </c:spPr>
    </c:plotArea>
    <c:legend>
      <c:legendPos val="b"/>
      <c:layout>
        <c:manualLayout>
          <c:xMode val="edge"/>
          <c:yMode val="edge"/>
          <c:x val="2.9386903560131912E-2"/>
          <c:y val="0.76122894638170213"/>
          <c:w val="0.94096052897233995"/>
          <c:h val="0.183697037870266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'[All graphs.xlsx]Disabled '!$AG$1</c:f>
              <c:strCache>
                <c:ptCount val="1"/>
                <c:pt idx="0">
                  <c:v>Female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'[All graphs.xlsx]Disabled '!$AF$2:$AF$8</c:f>
              <c:numCache>
                <c:formatCode>General</c:formatCode>
                <c:ptCount val="7"/>
                <c:pt idx="0">
                  <c:v>2012</c:v>
                </c:pt>
                <c:pt idx="1">
                  <c:v>2013</c:v>
                </c:pt>
                <c:pt idx="2">
                  <c:v>2014</c:v>
                </c:pt>
                <c:pt idx="3">
                  <c:v>2015</c:v>
                </c:pt>
                <c:pt idx="4">
                  <c:v>2016</c:v>
                </c:pt>
                <c:pt idx="5">
                  <c:v>2017</c:v>
                </c:pt>
                <c:pt idx="6">
                  <c:v>2018</c:v>
                </c:pt>
              </c:numCache>
            </c:numRef>
          </c:cat>
          <c:val>
            <c:numRef>
              <c:f>'[All graphs.xlsx]Disabled '!$AG$2:$AG$8</c:f>
              <c:numCache>
                <c:formatCode>General</c:formatCode>
                <c:ptCount val="7"/>
                <c:pt idx="0">
                  <c:v>39</c:v>
                </c:pt>
                <c:pt idx="1">
                  <c:v>73</c:v>
                </c:pt>
                <c:pt idx="2">
                  <c:v>89</c:v>
                </c:pt>
                <c:pt idx="3">
                  <c:v>97</c:v>
                </c:pt>
                <c:pt idx="4">
                  <c:v>138</c:v>
                </c:pt>
                <c:pt idx="5">
                  <c:v>131</c:v>
                </c:pt>
                <c:pt idx="6">
                  <c:v>157</c:v>
                </c:pt>
              </c:numCache>
            </c:numRef>
          </c:val>
          <c:extLst>
            <c:ext xmlns:c16="http://schemas.microsoft.com/office/drawing/2014/chart" uri="{C3380CC4-5D6E-409C-BE32-E72D297353CC}">
              <c16:uniqueId val="{00000000-CCFC-4608-8A8E-45506EEF2F8D}"/>
            </c:ext>
          </c:extLst>
        </c:ser>
        <c:ser>
          <c:idx val="1"/>
          <c:order val="1"/>
          <c:tx>
            <c:strRef>
              <c:f>'[All graphs.xlsx]Disabled '!$AH$1</c:f>
              <c:strCache>
                <c:ptCount val="1"/>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'[All graphs.xlsx]Disabled '!$AF$2:$AF$8</c:f>
              <c:numCache>
                <c:formatCode>General</c:formatCode>
                <c:ptCount val="7"/>
                <c:pt idx="0">
                  <c:v>2012</c:v>
                </c:pt>
                <c:pt idx="1">
                  <c:v>2013</c:v>
                </c:pt>
                <c:pt idx="2">
                  <c:v>2014</c:v>
                </c:pt>
                <c:pt idx="3">
                  <c:v>2015</c:v>
                </c:pt>
                <c:pt idx="4">
                  <c:v>2016</c:v>
                </c:pt>
                <c:pt idx="5">
                  <c:v>2017</c:v>
                </c:pt>
                <c:pt idx="6">
                  <c:v>2018</c:v>
                </c:pt>
              </c:numCache>
            </c:numRef>
          </c:cat>
          <c:val>
            <c:numRef>
              <c:f>'[All graphs.xlsx]Disabled '!$AH$2:$AH$8</c:f>
              <c:numCache>
                <c:formatCode>General</c:formatCode>
                <c:ptCount val="7"/>
                <c:pt idx="0">
                  <c:v>30</c:v>
                </c:pt>
                <c:pt idx="1">
                  <c:v>51</c:v>
                </c:pt>
                <c:pt idx="2">
                  <c:v>77</c:v>
                </c:pt>
                <c:pt idx="3">
                  <c:v>78</c:v>
                </c:pt>
                <c:pt idx="4">
                  <c:v>80</c:v>
                </c:pt>
                <c:pt idx="5">
                  <c:v>113</c:v>
                </c:pt>
                <c:pt idx="6">
                  <c:v>112</c:v>
                </c:pt>
              </c:numCache>
            </c:numRef>
          </c:val>
          <c:extLst>
            <c:ext xmlns:c16="http://schemas.microsoft.com/office/drawing/2014/chart" uri="{C3380CC4-5D6E-409C-BE32-E72D297353CC}">
              <c16:uniqueId val="{00000001-CCFC-4608-8A8E-45506EEF2F8D}"/>
            </c:ext>
          </c:extLst>
        </c:ser>
        <c:dLbls>
          <c:dLblPos val="ctr"/>
          <c:showLegendKey val="0"/>
          <c:showVal val="1"/>
          <c:showCatName val="0"/>
          <c:showSerName val="0"/>
          <c:showPercent val="0"/>
          <c:showBubbleSize val="0"/>
        </c:dLbls>
        <c:gapWidth val="150"/>
        <c:overlap val="100"/>
        <c:axId val="1928570288"/>
        <c:axId val="1928570832"/>
      </c:barChart>
      <c:catAx>
        <c:axId val="192857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70832"/>
        <c:crosses val="autoZero"/>
        <c:auto val="1"/>
        <c:lblAlgn val="ctr"/>
        <c:lblOffset val="100"/>
        <c:noMultiLvlLbl val="0"/>
      </c:catAx>
      <c:valAx>
        <c:axId val="1928570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70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elder!$A$2</c:f>
              <c:strCache>
                <c:ptCount val="1"/>
                <c:pt idx="0">
                  <c:v>Tbilisi  Boarding houses for elderly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elder!$B$1:$J$1</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elder!$B$2:$J$2</c:f>
              <c:numCache>
                <c:formatCode>General</c:formatCode>
                <c:ptCount val="9"/>
                <c:pt idx="0">
                  <c:v>115</c:v>
                </c:pt>
                <c:pt idx="1">
                  <c:v>113</c:v>
                </c:pt>
                <c:pt idx="2">
                  <c:v>108</c:v>
                </c:pt>
                <c:pt idx="3">
                  <c:v>94</c:v>
                </c:pt>
                <c:pt idx="4">
                  <c:v>83</c:v>
                </c:pt>
                <c:pt idx="5">
                  <c:v>71</c:v>
                </c:pt>
                <c:pt idx="6">
                  <c:v>62</c:v>
                </c:pt>
                <c:pt idx="7">
                  <c:v>56</c:v>
                </c:pt>
                <c:pt idx="8">
                  <c:v>49</c:v>
                </c:pt>
              </c:numCache>
            </c:numRef>
          </c:val>
          <c:extLst>
            <c:ext xmlns:c16="http://schemas.microsoft.com/office/drawing/2014/chart" uri="{C3380CC4-5D6E-409C-BE32-E72D297353CC}">
              <c16:uniqueId val="{00000000-7D86-4E9B-8575-8D11355004CA}"/>
            </c:ext>
          </c:extLst>
        </c:ser>
        <c:ser>
          <c:idx val="1"/>
          <c:order val="1"/>
          <c:tx>
            <c:strRef>
              <c:f>elder!$A$3</c:f>
              <c:strCache>
                <c:ptCount val="1"/>
                <c:pt idx="0">
                  <c:v>Kutaisi Boarding houses for elderly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elder!$B$1:$J$1</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elder!$B$3:$J$3</c:f>
              <c:numCache>
                <c:formatCode>General</c:formatCode>
                <c:ptCount val="9"/>
                <c:pt idx="0">
                  <c:v>102</c:v>
                </c:pt>
                <c:pt idx="1">
                  <c:v>107</c:v>
                </c:pt>
                <c:pt idx="2">
                  <c:v>91</c:v>
                </c:pt>
                <c:pt idx="3">
                  <c:v>83</c:v>
                </c:pt>
                <c:pt idx="4">
                  <c:v>90</c:v>
                </c:pt>
                <c:pt idx="5">
                  <c:v>90</c:v>
                </c:pt>
                <c:pt idx="6">
                  <c:v>93</c:v>
                </c:pt>
                <c:pt idx="7">
                  <c:v>85</c:v>
                </c:pt>
                <c:pt idx="8">
                  <c:v>84</c:v>
                </c:pt>
              </c:numCache>
            </c:numRef>
          </c:val>
          <c:extLst>
            <c:ext xmlns:c16="http://schemas.microsoft.com/office/drawing/2014/chart" uri="{C3380CC4-5D6E-409C-BE32-E72D297353CC}">
              <c16:uniqueId val="{00000001-7D86-4E9B-8575-8D11355004CA}"/>
            </c:ext>
          </c:extLst>
        </c:ser>
        <c:dLbls>
          <c:dLblPos val="ctr"/>
          <c:showLegendKey val="0"/>
          <c:showVal val="1"/>
          <c:showCatName val="0"/>
          <c:showSerName val="0"/>
          <c:showPercent val="0"/>
          <c:showBubbleSize val="0"/>
        </c:dLbls>
        <c:gapWidth val="150"/>
        <c:overlap val="100"/>
        <c:axId val="1928571920"/>
        <c:axId val="1928564848"/>
      </c:barChart>
      <c:catAx>
        <c:axId val="192857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64848"/>
        <c:crosses val="autoZero"/>
        <c:auto val="1"/>
        <c:lblAlgn val="ctr"/>
        <c:lblOffset val="100"/>
        <c:noMultiLvlLbl val="0"/>
      </c:catAx>
      <c:valAx>
        <c:axId val="1928564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571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615421214993E-2"/>
          <c:y val="6.0185185185185182E-2"/>
          <c:w val="0.92168571796281784"/>
          <c:h val="0.841674686497521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elder!$M$1:$S$1</c:f>
              <c:numCache>
                <c:formatCode>General</c:formatCode>
                <c:ptCount val="7"/>
                <c:pt idx="0">
                  <c:v>2012</c:v>
                </c:pt>
                <c:pt idx="1">
                  <c:v>2013</c:v>
                </c:pt>
                <c:pt idx="2">
                  <c:v>2014</c:v>
                </c:pt>
                <c:pt idx="3">
                  <c:v>2015</c:v>
                </c:pt>
                <c:pt idx="4">
                  <c:v>2016</c:v>
                </c:pt>
                <c:pt idx="5">
                  <c:v>2017</c:v>
                </c:pt>
                <c:pt idx="6">
                  <c:v>2018</c:v>
                </c:pt>
              </c:numCache>
            </c:numRef>
          </c:cat>
          <c:val>
            <c:numRef>
              <c:f>elder!$M$2:$S$2</c:f>
              <c:numCache>
                <c:formatCode>General</c:formatCode>
                <c:ptCount val="7"/>
                <c:pt idx="0">
                  <c:v>12</c:v>
                </c:pt>
                <c:pt idx="1">
                  <c:v>74</c:v>
                </c:pt>
                <c:pt idx="2">
                  <c:v>106</c:v>
                </c:pt>
                <c:pt idx="3">
                  <c:v>102</c:v>
                </c:pt>
                <c:pt idx="4">
                  <c:v>148</c:v>
                </c:pt>
                <c:pt idx="5">
                  <c:v>140</c:v>
                </c:pt>
                <c:pt idx="6">
                  <c:v>145</c:v>
                </c:pt>
              </c:numCache>
            </c:numRef>
          </c:val>
          <c:extLst>
            <c:ext xmlns:c16="http://schemas.microsoft.com/office/drawing/2014/chart" uri="{C3380CC4-5D6E-409C-BE32-E72D297353CC}">
              <c16:uniqueId val="{00000000-2F82-496B-91CA-924A40BE6EC1}"/>
            </c:ext>
          </c:extLst>
        </c:ser>
        <c:dLbls>
          <c:dLblPos val="outEnd"/>
          <c:showLegendKey val="0"/>
          <c:showVal val="1"/>
          <c:showCatName val="0"/>
          <c:showSerName val="0"/>
          <c:showPercent val="0"/>
          <c:showBubbleSize val="0"/>
        </c:dLbls>
        <c:gapWidth val="219"/>
        <c:overlap val="-27"/>
        <c:axId val="1793961792"/>
        <c:axId val="1793971040"/>
      </c:barChart>
      <c:catAx>
        <c:axId val="1793961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71040"/>
        <c:crosses val="autoZero"/>
        <c:auto val="1"/>
        <c:lblAlgn val="ctr"/>
        <c:lblOffset val="100"/>
        <c:noMultiLvlLbl val="0"/>
      </c:catAx>
      <c:valAx>
        <c:axId val="1793971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1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'Domestic Violence Centers'!$B$1</c:f>
              <c:strCache>
                <c:ptCount val="1"/>
                <c:pt idx="0">
                  <c:v>Adult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'Domestic Violence Centers'!$A$2:$A$10</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'Domestic Violence Centers'!$B$2:$B$10</c:f>
              <c:numCache>
                <c:formatCode>General</c:formatCode>
                <c:ptCount val="9"/>
                <c:pt idx="0">
                  <c:v>18</c:v>
                </c:pt>
                <c:pt idx="1">
                  <c:v>36</c:v>
                </c:pt>
                <c:pt idx="2">
                  <c:v>37</c:v>
                </c:pt>
                <c:pt idx="3">
                  <c:v>40</c:v>
                </c:pt>
                <c:pt idx="4">
                  <c:v>47</c:v>
                </c:pt>
                <c:pt idx="5">
                  <c:v>66</c:v>
                </c:pt>
                <c:pt idx="6">
                  <c:v>103</c:v>
                </c:pt>
                <c:pt idx="7">
                  <c:v>128</c:v>
                </c:pt>
                <c:pt idx="8">
                  <c:v>165</c:v>
                </c:pt>
              </c:numCache>
            </c:numRef>
          </c:val>
          <c:extLst>
            <c:ext xmlns:c16="http://schemas.microsoft.com/office/drawing/2014/chart" uri="{C3380CC4-5D6E-409C-BE32-E72D297353CC}">
              <c16:uniqueId val="{00000000-2B55-4F39-B323-D0E14D4BE1FC}"/>
            </c:ext>
          </c:extLst>
        </c:ser>
        <c:ser>
          <c:idx val="1"/>
          <c:order val="1"/>
          <c:tx>
            <c:strRef>
              <c:f>'Domestic Violence Centers'!$C$1</c:f>
              <c:strCache>
                <c:ptCount val="1"/>
                <c:pt idx="0">
                  <c:v>Under 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'Domestic Violence Centers'!$A$2:$A$10</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'Domestic Violence Centers'!$C$2:$C$10</c:f>
              <c:numCache>
                <c:formatCode>General</c:formatCode>
                <c:ptCount val="9"/>
                <c:pt idx="0">
                  <c:v>4</c:v>
                </c:pt>
                <c:pt idx="1">
                  <c:v>1</c:v>
                </c:pt>
                <c:pt idx="2">
                  <c:v>2</c:v>
                </c:pt>
                <c:pt idx="3">
                  <c:v>1</c:v>
                </c:pt>
                <c:pt idx="4">
                  <c:v>3</c:v>
                </c:pt>
                <c:pt idx="5">
                  <c:v>4</c:v>
                </c:pt>
                <c:pt idx="6">
                  <c:v>8</c:v>
                </c:pt>
                <c:pt idx="7">
                  <c:v>17</c:v>
                </c:pt>
                <c:pt idx="8">
                  <c:v>23</c:v>
                </c:pt>
              </c:numCache>
            </c:numRef>
          </c:val>
          <c:extLst>
            <c:ext xmlns:c16="http://schemas.microsoft.com/office/drawing/2014/chart" uri="{C3380CC4-5D6E-409C-BE32-E72D297353CC}">
              <c16:uniqueId val="{00000001-2B55-4F39-B323-D0E14D4BE1FC}"/>
            </c:ext>
          </c:extLst>
        </c:ser>
        <c:ser>
          <c:idx val="2"/>
          <c:order val="2"/>
          <c:tx>
            <c:strRef>
              <c:f>'Domestic Violence Centers'!$D$1</c:f>
              <c:strCache>
                <c:ptCount val="1"/>
                <c:pt idx="0">
                  <c:v>Dependent Person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'Domestic Violence Centers'!$A$2:$A$10</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'Domestic Violence Centers'!$D$2:$D$10</c:f>
              <c:numCache>
                <c:formatCode>General</c:formatCode>
                <c:ptCount val="9"/>
                <c:pt idx="0">
                  <c:v>20</c:v>
                </c:pt>
                <c:pt idx="1">
                  <c:v>52</c:v>
                </c:pt>
                <c:pt idx="2">
                  <c:v>49</c:v>
                </c:pt>
                <c:pt idx="3">
                  <c:v>59</c:v>
                </c:pt>
                <c:pt idx="4">
                  <c:v>64</c:v>
                </c:pt>
                <c:pt idx="5">
                  <c:v>118</c:v>
                </c:pt>
                <c:pt idx="6">
                  <c:v>149</c:v>
                </c:pt>
                <c:pt idx="7">
                  <c:v>162</c:v>
                </c:pt>
                <c:pt idx="8">
                  <c:v>224</c:v>
                </c:pt>
              </c:numCache>
            </c:numRef>
          </c:val>
          <c:extLst>
            <c:ext xmlns:c16="http://schemas.microsoft.com/office/drawing/2014/chart" uri="{C3380CC4-5D6E-409C-BE32-E72D297353CC}">
              <c16:uniqueId val="{00000002-2B55-4F39-B323-D0E14D4BE1FC}"/>
            </c:ext>
          </c:extLst>
        </c:ser>
        <c:dLbls>
          <c:dLblPos val="ctr"/>
          <c:showLegendKey val="0"/>
          <c:showVal val="1"/>
          <c:showCatName val="0"/>
          <c:showSerName val="0"/>
          <c:showPercent val="0"/>
          <c:showBubbleSize val="0"/>
        </c:dLbls>
        <c:gapWidth val="150"/>
        <c:overlap val="100"/>
        <c:axId val="1793969408"/>
        <c:axId val="1793962336"/>
      </c:barChart>
      <c:catAx>
        <c:axId val="179396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2336"/>
        <c:crosses val="autoZero"/>
        <c:auto val="1"/>
        <c:lblAlgn val="ctr"/>
        <c:lblOffset val="100"/>
        <c:noMultiLvlLbl val="0"/>
      </c:catAx>
      <c:valAx>
        <c:axId val="1793962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doubleuphouseholds!$BN$17</c:f>
              <c:strCache>
                <c:ptCount val="1"/>
                <c:pt idx="0">
                  <c:v>Max</c:v>
                </c:pt>
              </c:strCache>
            </c:strRef>
          </c:tx>
          <c:spPr>
            <a:ln w="28575" cap="rnd">
              <a:noFill/>
              <a:round/>
            </a:ln>
            <a:effectLst/>
          </c:spPr>
          <c:marker>
            <c:symbol val="none"/>
          </c:marker>
          <c:cat>
            <c:numRef>
              <c:f>doubleuphouseholds!$BO$13:$BZ$13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doubleuphouseholds!$BO$17:$BZ$17</c:f>
              <c:numCache>
                <c:formatCode>0.0%</c:formatCode>
                <c:ptCount val="12"/>
                <c:pt idx="0">
                  <c:v>1.5046296296296295E-2</c:v>
                </c:pt>
                <c:pt idx="1">
                  <c:v>1.6235718580877932E-2</c:v>
                </c:pt>
                <c:pt idx="2">
                  <c:v>1.6100178890876567E-2</c:v>
                </c:pt>
                <c:pt idx="3">
                  <c:v>1.8563603164942179E-2</c:v>
                </c:pt>
                <c:pt idx="4">
                  <c:v>1.9318181818181818E-2</c:v>
                </c:pt>
                <c:pt idx="5">
                  <c:v>3.2999410724808484E-2</c:v>
                </c:pt>
                <c:pt idx="6">
                  <c:v>3.255813953488372E-2</c:v>
                </c:pt>
                <c:pt idx="7">
                  <c:v>3.5672514619883043E-2</c:v>
                </c:pt>
                <c:pt idx="8">
                  <c:v>4.1292639138240578E-2</c:v>
                </c:pt>
                <c:pt idx="9">
                  <c:v>3.3333333333333333E-2</c:v>
                </c:pt>
                <c:pt idx="10">
                  <c:v>4.978962131837307E-2</c:v>
                </c:pt>
                <c:pt idx="11">
                  <c:v>6.0249816311535635E-2</c:v>
                </c:pt>
              </c:numCache>
            </c:numRef>
          </c:val>
          <c:smooth val="0"/>
          <c:extLst>
            <c:ext xmlns:c16="http://schemas.microsoft.com/office/drawing/2014/chart" uri="{C3380CC4-5D6E-409C-BE32-E72D297353CC}">
              <c16:uniqueId val="{00000000-E83B-4ED4-867D-68A2EEE47719}"/>
            </c:ext>
          </c:extLst>
        </c:ser>
        <c:ser>
          <c:idx val="1"/>
          <c:order val="1"/>
          <c:tx>
            <c:strRef>
              <c:f>doubleuphouseholds!$BN$18</c:f>
              <c:strCache>
                <c:ptCount val="1"/>
                <c:pt idx="0">
                  <c:v>Min</c:v>
                </c:pt>
              </c:strCache>
            </c:strRef>
          </c:tx>
          <c:spPr>
            <a:ln w="28575" cap="rnd">
              <a:noFill/>
              <a:round/>
            </a:ln>
            <a:effectLst/>
          </c:spPr>
          <c:marker>
            <c:symbol val="none"/>
          </c:marker>
          <c:cat>
            <c:numRef>
              <c:f>doubleuphouseholds!$BO$13:$BZ$13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doubleuphouseholds!$BO$18:$BZ$18</c:f>
              <c:numCache>
                <c:formatCode>0.0%</c:formatCode>
                <c:ptCount val="12"/>
                <c:pt idx="0">
                  <c:v>1.1130638547158758E-2</c:v>
                </c:pt>
                <c:pt idx="1">
                  <c:v>1.3973799126637555E-2</c:v>
                </c:pt>
                <c:pt idx="2">
                  <c:v>1.3694638694638694E-2</c:v>
                </c:pt>
                <c:pt idx="3">
                  <c:v>1.399642644431209E-2</c:v>
                </c:pt>
                <c:pt idx="4">
                  <c:v>1.8562874251497007E-2</c:v>
                </c:pt>
                <c:pt idx="5">
                  <c:v>2.4826789838337183E-2</c:v>
                </c:pt>
                <c:pt idx="6">
                  <c:v>2.7151935297515885E-2</c:v>
                </c:pt>
                <c:pt idx="7">
                  <c:v>2.9850746268656716E-2</c:v>
                </c:pt>
                <c:pt idx="8">
                  <c:v>3.7212049616066153E-2</c:v>
                </c:pt>
                <c:pt idx="9">
                  <c:v>3.0704394942805538E-2</c:v>
                </c:pt>
                <c:pt idx="10">
                  <c:v>3.4236804564907276E-2</c:v>
                </c:pt>
                <c:pt idx="11">
                  <c:v>4.9034175334323922E-2</c:v>
                </c:pt>
              </c:numCache>
            </c:numRef>
          </c:val>
          <c:smooth val="0"/>
          <c:extLst>
            <c:ext xmlns:c16="http://schemas.microsoft.com/office/drawing/2014/chart" uri="{C3380CC4-5D6E-409C-BE32-E72D297353CC}">
              <c16:uniqueId val="{00000001-E83B-4ED4-867D-68A2EEE47719}"/>
            </c:ext>
          </c:extLst>
        </c:ser>
        <c:ser>
          <c:idx val="2"/>
          <c:order val="2"/>
          <c:tx>
            <c:strRef>
              <c:f>doubleuphouseholds!$BN$19</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doubleuphouseholds!$BO$13:$BZ$13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doubleuphouseholds!$BO$19:$BZ$19</c:f>
              <c:numCache>
                <c:formatCode>0.0%</c:formatCode>
                <c:ptCount val="12"/>
                <c:pt idx="0">
                  <c:v>1.2767967398101099E-2</c:v>
                </c:pt>
                <c:pt idx="1">
                  <c:v>1.4982782152901967E-2</c:v>
                </c:pt>
                <c:pt idx="2">
                  <c:v>1.4892869169499149E-2</c:v>
                </c:pt>
                <c:pt idx="3">
                  <c:v>1.5822572209005917E-2</c:v>
                </c:pt>
                <c:pt idx="4">
                  <c:v>1.9030144944384753E-2</c:v>
                </c:pt>
                <c:pt idx="5">
                  <c:v>2.8286073201875764E-2</c:v>
                </c:pt>
                <c:pt idx="6">
                  <c:v>2.92217428788967E-2</c:v>
                </c:pt>
                <c:pt idx="7">
                  <c:v>3.2356711753587029E-2</c:v>
                </c:pt>
                <c:pt idx="8">
                  <c:v>3.9134490667483396E-2</c:v>
                </c:pt>
                <c:pt idx="9">
                  <c:v>3.1699458079438872E-2</c:v>
                </c:pt>
                <c:pt idx="10">
                  <c:v>4.4308780677560236E-2</c:v>
                </c:pt>
                <c:pt idx="11">
                  <c:v>5.4508972098633486E-2</c:v>
                </c:pt>
              </c:numCache>
            </c:numRef>
          </c:val>
          <c:smooth val="0"/>
          <c:extLst>
            <c:ext xmlns:c16="http://schemas.microsoft.com/office/drawing/2014/chart" uri="{C3380CC4-5D6E-409C-BE32-E72D297353CC}">
              <c16:uniqueId val="{00000002-E83B-4ED4-867D-68A2EEE47719}"/>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93963968"/>
        <c:axId val="1793959616"/>
      </c:stockChart>
      <c:catAx>
        <c:axId val="1793963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59616"/>
        <c:crosses val="autoZero"/>
        <c:auto val="1"/>
        <c:lblAlgn val="ctr"/>
        <c:lblOffset val="100"/>
        <c:noMultiLvlLbl val="0"/>
      </c:catAx>
      <c:valAx>
        <c:axId val="1793959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3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doubleuphouseholds!$BN$14</c:f>
              <c:strCache>
                <c:ptCount val="1"/>
                <c:pt idx="0">
                  <c:v>Max</c:v>
                </c:pt>
              </c:strCache>
            </c:strRef>
          </c:tx>
          <c:spPr>
            <a:ln w="28575" cap="rnd">
              <a:noFill/>
              <a:round/>
            </a:ln>
            <a:effectLst/>
          </c:spPr>
          <c:marker>
            <c:symbol val="none"/>
          </c:marker>
          <c:cat>
            <c:numRef>
              <c:f>doubleuphouseholds!$BO$13:$BZ$13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doubleuphouseholds!$BO$14:$BZ$14</c:f>
              <c:numCache>
                <c:formatCode>0.0%</c:formatCode>
                <c:ptCount val="12"/>
                <c:pt idx="0">
                  <c:v>3.5000000000000003E-2</c:v>
                </c:pt>
                <c:pt idx="1">
                  <c:v>2.7027027027027029E-2</c:v>
                </c:pt>
                <c:pt idx="2">
                  <c:v>3.1203566121842496E-2</c:v>
                </c:pt>
                <c:pt idx="3">
                  <c:v>3.5820895522388062E-2</c:v>
                </c:pt>
                <c:pt idx="4">
                  <c:v>3.8175046554934824E-2</c:v>
                </c:pt>
                <c:pt idx="5">
                  <c:v>4.2632066728452274E-2</c:v>
                </c:pt>
                <c:pt idx="6">
                  <c:v>4.0658276863504358E-2</c:v>
                </c:pt>
                <c:pt idx="7">
                  <c:v>3.8533834586466163E-2</c:v>
                </c:pt>
                <c:pt idx="8">
                  <c:v>5.0420168067226892E-2</c:v>
                </c:pt>
                <c:pt idx="9">
                  <c:v>5.2475247524752473E-2</c:v>
                </c:pt>
                <c:pt idx="10">
                  <c:v>4.7026279391424619E-2</c:v>
                </c:pt>
                <c:pt idx="11">
                  <c:v>5.5276381909547742E-2</c:v>
                </c:pt>
              </c:numCache>
            </c:numRef>
          </c:val>
          <c:smooth val="0"/>
          <c:extLst>
            <c:ext xmlns:c16="http://schemas.microsoft.com/office/drawing/2014/chart" uri="{C3380CC4-5D6E-409C-BE32-E72D297353CC}">
              <c16:uniqueId val="{00000000-378B-4B22-8B97-BCD441EE67FC}"/>
            </c:ext>
          </c:extLst>
        </c:ser>
        <c:ser>
          <c:idx val="1"/>
          <c:order val="1"/>
          <c:tx>
            <c:strRef>
              <c:f>doubleuphouseholds!$BN$15</c:f>
              <c:strCache>
                <c:ptCount val="1"/>
                <c:pt idx="0">
                  <c:v>Min</c:v>
                </c:pt>
              </c:strCache>
            </c:strRef>
          </c:tx>
          <c:spPr>
            <a:ln w="28575" cap="rnd">
              <a:noFill/>
              <a:round/>
            </a:ln>
            <a:effectLst/>
          </c:spPr>
          <c:marker>
            <c:symbol val="none"/>
          </c:marker>
          <c:cat>
            <c:numRef>
              <c:f>doubleuphouseholds!$BO$13:$BZ$13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doubleuphouseholds!$BO$15:$BZ$15</c:f>
              <c:numCache>
                <c:formatCode>0.0%</c:formatCode>
                <c:ptCount val="12"/>
                <c:pt idx="0">
                  <c:v>2.5329280648429583E-2</c:v>
                </c:pt>
                <c:pt idx="1">
                  <c:v>2.3703703703703703E-2</c:v>
                </c:pt>
                <c:pt idx="2">
                  <c:v>2.5590551181102362E-2</c:v>
                </c:pt>
                <c:pt idx="3">
                  <c:v>2.8598665395614873E-2</c:v>
                </c:pt>
                <c:pt idx="4">
                  <c:v>2.7829313543599257E-2</c:v>
                </c:pt>
                <c:pt idx="5">
                  <c:v>3.0658250676284943E-2</c:v>
                </c:pt>
                <c:pt idx="6">
                  <c:v>3.4676663542642927E-2</c:v>
                </c:pt>
                <c:pt idx="7">
                  <c:v>3.581526861451461E-2</c:v>
                </c:pt>
                <c:pt idx="8">
                  <c:v>4.653371320037987E-2</c:v>
                </c:pt>
                <c:pt idx="9">
                  <c:v>4.5801526717557252E-2</c:v>
                </c:pt>
                <c:pt idx="10">
                  <c:v>4.1076487252124649E-2</c:v>
                </c:pt>
                <c:pt idx="11">
                  <c:v>4.4194756554307116E-2</c:v>
                </c:pt>
              </c:numCache>
            </c:numRef>
          </c:val>
          <c:smooth val="0"/>
          <c:extLst>
            <c:ext xmlns:c16="http://schemas.microsoft.com/office/drawing/2014/chart" uri="{C3380CC4-5D6E-409C-BE32-E72D297353CC}">
              <c16:uniqueId val="{00000001-378B-4B22-8B97-BCD441EE67FC}"/>
            </c:ext>
          </c:extLst>
        </c:ser>
        <c:ser>
          <c:idx val="2"/>
          <c:order val="2"/>
          <c:tx>
            <c:strRef>
              <c:f>doubleuphouseholds!$BN$16</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doubleuphouseholds!$BO$13:$BZ$13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doubleuphouseholds!$BO$16:$BZ$16</c:f>
              <c:numCache>
                <c:formatCode>0.0%</c:formatCode>
                <c:ptCount val="12"/>
                <c:pt idx="0">
                  <c:v>3.0358050109248292E-2</c:v>
                </c:pt>
                <c:pt idx="1">
                  <c:v>2.5903899893235556E-2</c:v>
                </c:pt>
                <c:pt idx="2">
                  <c:v>2.8522285646295206E-2</c:v>
                </c:pt>
                <c:pt idx="3">
                  <c:v>3.2436815176572618E-2</c:v>
                </c:pt>
                <c:pt idx="4">
                  <c:v>3.477949628788933E-2</c:v>
                </c:pt>
                <c:pt idx="5">
                  <c:v>3.4477384562386339E-2</c:v>
                </c:pt>
                <c:pt idx="6">
                  <c:v>3.7434405264706982E-2</c:v>
                </c:pt>
                <c:pt idx="7">
                  <c:v>3.7217307284046271E-2</c:v>
                </c:pt>
                <c:pt idx="8">
                  <c:v>4.9262278312107985E-2</c:v>
                </c:pt>
                <c:pt idx="9">
                  <c:v>4.8147610779733792E-2</c:v>
                </c:pt>
                <c:pt idx="10">
                  <c:v>4.380645144676492E-2</c:v>
                </c:pt>
                <c:pt idx="11">
                  <c:v>4.9368086408144982E-2</c:v>
                </c:pt>
              </c:numCache>
            </c:numRef>
          </c:val>
          <c:smooth val="0"/>
          <c:extLst>
            <c:ext xmlns:c16="http://schemas.microsoft.com/office/drawing/2014/chart" uri="{C3380CC4-5D6E-409C-BE32-E72D297353CC}">
              <c16:uniqueId val="{00000002-378B-4B22-8B97-BCD441EE67FC}"/>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93962880"/>
        <c:axId val="1793966688"/>
      </c:stockChart>
      <c:catAx>
        <c:axId val="179396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6688"/>
        <c:crosses val="autoZero"/>
        <c:auto val="1"/>
        <c:lblAlgn val="ctr"/>
        <c:lblOffset val="100"/>
        <c:noMultiLvlLbl val="0"/>
      </c:catAx>
      <c:valAx>
        <c:axId val="1793966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a:t>
            </a:r>
          </a:p>
        </c:rich>
      </c:tx>
      <c:layout>
        <c:manualLayout>
          <c:xMode val="edge"/>
          <c:yMode val="edge"/>
          <c:x val="0.43310412285420846"/>
          <c:y val="3.96687400376322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134233220847393"/>
          <c:y val="0.2258143074581431"/>
          <c:w val="0.78553137379566684"/>
          <c:h val="0.42028212226896294"/>
        </c:manualLayout>
      </c:layout>
      <c:stockChart>
        <c:ser>
          <c:idx val="0"/>
          <c:order val="0"/>
          <c:tx>
            <c:strRef>
              <c:f>'Ownership '!$BN$48</c:f>
              <c:strCache>
                <c:ptCount val="1"/>
                <c:pt idx="0">
                  <c:v>Max</c:v>
                </c:pt>
              </c:strCache>
            </c:strRef>
          </c:tx>
          <c:spPr>
            <a:ln w="28575" cap="rnd">
              <a:noFill/>
              <a:round/>
            </a:ln>
            <a:effectLst/>
          </c:spPr>
          <c:marker>
            <c:symbol val="none"/>
          </c:marker>
          <c:cat>
            <c:numRef>
              <c:f>'Ownership '!$BO$29:$BZ$29</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'Ownership '!$BO$48:$BZ$48</c:f>
              <c:numCache>
                <c:formatCode>0.000%</c:formatCode>
                <c:ptCount val="12"/>
                <c:pt idx="0">
                  <c:v>1.7574692442882249E-3</c:v>
                </c:pt>
                <c:pt idx="1">
                  <c:v>6.0132291040288638E-4</c:v>
                </c:pt>
                <c:pt idx="2">
                  <c:v>1.456876456876457E-3</c:v>
                </c:pt>
                <c:pt idx="3">
                  <c:v>2.7413950654888823E-3</c:v>
                </c:pt>
                <c:pt idx="4">
                  <c:v>1.1976047904191617E-3</c:v>
                </c:pt>
                <c:pt idx="5">
                  <c:v>5.8927519151443723E-4</c:v>
                </c:pt>
                <c:pt idx="6">
                  <c:v>1.1627906976744186E-3</c:v>
                </c:pt>
                <c:pt idx="7">
                  <c:v>1.1695906432748538E-3</c:v>
                </c:pt>
                <c:pt idx="8">
                  <c:v>3.5650623885918001E-3</c:v>
                </c:pt>
                <c:pt idx="9">
                  <c:v>2.4009603841536613E-3</c:v>
                </c:pt>
                <c:pt idx="10">
                  <c:v>1.4461315979754157E-3</c:v>
                </c:pt>
                <c:pt idx="11">
                  <c:v>2.9717682020802376E-3</c:v>
                </c:pt>
              </c:numCache>
            </c:numRef>
          </c:val>
          <c:smooth val="0"/>
          <c:extLst>
            <c:ext xmlns:c16="http://schemas.microsoft.com/office/drawing/2014/chart" uri="{C3380CC4-5D6E-409C-BE32-E72D297353CC}">
              <c16:uniqueId val="{00000000-6ADD-42FD-B383-0B7037C5B537}"/>
            </c:ext>
          </c:extLst>
        </c:ser>
        <c:ser>
          <c:idx val="1"/>
          <c:order val="1"/>
          <c:tx>
            <c:strRef>
              <c:f>'Ownership '!$BN$49</c:f>
              <c:strCache>
                <c:ptCount val="1"/>
                <c:pt idx="0">
                  <c:v>Min</c:v>
                </c:pt>
              </c:strCache>
            </c:strRef>
          </c:tx>
          <c:spPr>
            <a:ln w="28575" cap="rnd">
              <a:noFill/>
              <a:round/>
            </a:ln>
            <a:effectLst/>
          </c:spPr>
          <c:marker>
            <c:symbol val="none"/>
          </c:marker>
          <c:cat>
            <c:numRef>
              <c:f>'Ownership '!$BO$29:$BZ$29</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'Ownership '!$BO$49:$BZ$49</c:f>
              <c:numCache>
                <c:formatCode>0.0%</c:formatCode>
                <c:ptCount val="12"/>
                <c:pt idx="0">
                  <c:v>0</c:v>
                </c:pt>
                <c:pt idx="1">
                  <c:v>0</c:v>
                </c:pt>
                <c:pt idx="2">
                  <c:v>8.9445438282647585E-4</c:v>
                </c:pt>
                <c:pt idx="3">
                  <c:v>2.0889286780065653E-3</c:v>
                </c:pt>
                <c:pt idx="4">
                  <c:v>5.6818181818181815E-4</c:v>
                </c:pt>
                <c:pt idx="5">
                  <c:v>5.7077625570776253E-4</c:v>
                </c:pt>
                <c:pt idx="6">
                  <c:v>5.7770075101097628E-4</c:v>
                </c:pt>
                <c:pt idx="7">
                  <c:v>0</c:v>
                </c:pt>
                <c:pt idx="8">
                  <c:v>5.9066745422327229E-4</c:v>
                </c:pt>
                <c:pt idx="9">
                  <c:v>1.1904761904761906E-3</c:v>
                </c:pt>
                <c:pt idx="10">
                  <c:v>0</c:v>
                </c:pt>
                <c:pt idx="11">
                  <c:v>7.2886297376093293E-4</c:v>
                </c:pt>
              </c:numCache>
            </c:numRef>
          </c:val>
          <c:smooth val="0"/>
          <c:extLst>
            <c:ext xmlns:c16="http://schemas.microsoft.com/office/drawing/2014/chart" uri="{C3380CC4-5D6E-409C-BE32-E72D297353CC}">
              <c16:uniqueId val="{00000001-6ADD-42FD-B383-0B7037C5B537}"/>
            </c:ext>
          </c:extLst>
        </c:ser>
        <c:ser>
          <c:idx val="2"/>
          <c:order val="2"/>
          <c:tx>
            <c:strRef>
              <c:f>'Ownership '!$BN$50</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'Ownership '!$BO$29:$BZ$29</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'Ownership '!$BO$50:$BZ$50</c:f>
              <c:numCache>
                <c:formatCode>0.000%</c:formatCode>
                <c:ptCount val="12"/>
                <c:pt idx="0">
                  <c:v>1.0250021234162379E-3</c:v>
                </c:pt>
                <c:pt idx="1">
                  <c:v>3.6877898001470226E-4</c:v>
                </c:pt>
                <c:pt idx="2">
                  <c:v>1.1834794158646395E-3</c:v>
                </c:pt>
                <c:pt idx="3">
                  <c:v>2.4903411950885166E-3</c:v>
                </c:pt>
                <c:pt idx="4">
                  <c:v>1.0208333749966115E-3</c:v>
                </c:pt>
                <c:pt idx="5">
                  <c:v>5.7995745876490625E-4</c:v>
                </c:pt>
                <c:pt idx="6">
                  <c:v>8.7219056000915711E-4</c:v>
                </c:pt>
                <c:pt idx="7">
                  <c:v>7.2830852485212269E-4</c:v>
                </c:pt>
                <c:pt idx="8">
                  <c:v>2.0760007889327257E-3</c:v>
                </c:pt>
                <c:pt idx="9">
                  <c:v>1.6453111949174613E-3</c:v>
                </c:pt>
                <c:pt idx="10">
                  <c:v>8.8711155128401117E-4</c:v>
                </c:pt>
                <c:pt idx="11">
                  <c:v>2.0244688010886943E-3</c:v>
                </c:pt>
              </c:numCache>
            </c:numRef>
          </c:val>
          <c:smooth val="0"/>
          <c:extLst>
            <c:ext xmlns:c16="http://schemas.microsoft.com/office/drawing/2014/chart" uri="{C3380CC4-5D6E-409C-BE32-E72D297353CC}">
              <c16:uniqueId val="{00000002-6ADD-42FD-B383-0B7037C5B537}"/>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93963424"/>
        <c:axId val="1793960160"/>
      </c:stockChart>
      <c:catAx>
        <c:axId val="179396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0160"/>
        <c:crosses val="autoZero"/>
        <c:auto val="1"/>
        <c:lblAlgn val="ctr"/>
        <c:lblOffset val="100"/>
        <c:noMultiLvlLbl val="0"/>
      </c:catAx>
      <c:valAx>
        <c:axId val="1793960160"/>
        <c:scaling>
          <c:orientation val="minMax"/>
          <c:max val="8.0000000000000016E-2"/>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3424"/>
        <c:crosses val="autoZero"/>
        <c:crossBetween val="between"/>
        <c:majorUnit val="2.0000000000000004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16985807808507"/>
          <c:y val="7.0661571715300298E-2"/>
          <c:w val="0.74357377741575403"/>
          <c:h val="0.71995831403427502"/>
        </c:manualLayout>
      </c:layout>
      <c:lineChart>
        <c:grouping val="standard"/>
        <c:varyColors val="0"/>
        <c:ser>
          <c:idx val="0"/>
          <c:order val="0"/>
          <c:tx>
            <c:strRef>
              <c:f>'poverty indicators'!$H$5</c:f>
              <c:strCache>
                <c:ptCount val="1"/>
                <c:pt idx="0">
                  <c:v>Absolute Poverty </c:v>
                </c:pt>
              </c:strCache>
            </c:strRef>
          </c:tx>
          <c:spPr>
            <a:ln w="28575" cap="rnd">
              <a:solidFill>
                <a:schemeClr val="accent1"/>
              </a:solidFill>
              <a:round/>
            </a:ln>
            <a:effectLst/>
          </c:spPr>
          <c:marker>
            <c:symbol val="none"/>
          </c:marker>
          <c:cat>
            <c:numRef>
              <c:f>'poverty indicators'!$G$7:$G$18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'poverty indicators'!$H$7:$H$18</c:f>
              <c:numCache>
                <c:formatCode>0%</c:formatCode>
                <c:ptCount val="12"/>
                <c:pt idx="0">
                  <c:v>0.3878542746071359</c:v>
                </c:pt>
                <c:pt idx="1">
                  <c:v>0.34924605851875884</c:v>
                </c:pt>
                <c:pt idx="2">
                  <c:v>0.34924707785136566</c:v>
                </c:pt>
                <c:pt idx="3">
                  <c:v>0.37331722636078424</c:v>
                </c:pt>
                <c:pt idx="4">
                  <c:v>0.34095881433734809</c:v>
                </c:pt>
                <c:pt idx="5">
                  <c:v>0.30037218761079748</c:v>
                </c:pt>
                <c:pt idx="6">
                  <c:v>0.26215324615115487</c:v>
                </c:pt>
                <c:pt idx="7">
                  <c:v>0.23476984084750613</c:v>
                </c:pt>
                <c:pt idx="8">
                  <c:v>0.21626422365141565</c:v>
                </c:pt>
                <c:pt idx="9">
                  <c:v>0.2198246685304725</c:v>
                </c:pt>
                <c:pt idx="10">
                  <c:v>0.21947739322035484</c:v>
                </c:pt>
                <c:pt idx="11">
                  <c:v>0.20099951405470751</c:v>
                </c:pt>
              </c:numCache>
            </c:numRef>
          </c:val>
          <c:smooth val="0"/>
          <c:extLst>
            <c:ext xmlns:c16="http://schemas.microsoft.com/office/drawing/2014/chart" uri="{C3380CC4-5D6E-409C-BE32-E72D297353CC}">
              <c16:uniqueId val="{00000000-FC88-413E-AF3E-3D6D62330595}"/>
            </c:ext>
          </c:extLst>
        </c:ser>
        <c:ser>
          <c:idx val="1"/>
          <c:order val="1"/>
          <c:tx>
            <c:strRef>
              <c:f>'poverty indicators'!$I$5</c:f>
              <c:strCache>
                <c:ptCount val="1"/>
                <c:pt idx="0">
                  <c:v>Relative Poverty </c:v>
                </c:pt>
              </c:strCache>
            </c:strRef>
          </c:tx>
          <c:spPr>
            <a:ln w="28575" cap="rnd">
              <a:solidFill>
                <a:schemeClr val="accent2"/>
              </a:solidFill>
              <a:round/>
            </a:ln>
            <a:effectLst/>
          </c:spPr>
          <c:marker>
            <c:symbol val="none"/>
          </c:marker>
          <c:cat>
            <c:numRef>
              <c:f>'poverty indicators'!$G$7:$G$18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'poverty indicators'!$I$7:$I$18</c:f>
              <c:numCache>
                <c:formatCode>0%</c:formatCode>
                <c:ptCount val="12"/>
                <c:pt idx="0">
                  <c:v>0.21060962549681761</c:v>
                </c:pt>
                <c:pt idx="1">
                  <c:v>0.22624970623346702</c:v>
                </c:pt>
                <c:pt idx="2">
                  <c:v>0.21639236607213186</c:v>
                </c:pt>
                <c:pt idx="3">
                  <c:v>0.22806174068546445</c:v>
                </c:pt>
                <c:pt idx="4">
                  <c:v>0.22963023768016513</c:v>
                </c:pt>
                <c:pt idx="5">
                  <c:v>0.2239976805778901</c:v>
                </c:pt>
                <c:pt idx="6">
                  <c:v>0.21538791642655297</c:v>
                </c:pt>
                <c:pt idx="7">
                  <c:v>0.21354660718485158</c:v>
                </c:pt>
                <c:pt idx="8">
                  <c:v>0.20246788964307283</c:v>
                </c:pt>
                <c:pt idx="9">
                  <c:v>0.20983874725103135</c:v>
                </c:pt>
                <c:pt idx="10">
                  <c:v>0.22304877809954896</c:v>
                </c:pt>
                <c:pt idx="11">
                  <c:v>0.20527342891550984</c:v>
                </c:pt>
              </c:numCache>
            </c:numRef>
          </c:val>
          <c:smooth val="0"/>
          <c:extLst>
            <c:ext xmlns:c16="http://schemas.microsoft.com/office/drawing/2014/chart" uri="{C3380CC4-5D6E-409C-BE32-E72D297353CC}">
              <c16:uniqueId val="{00000001-FC88-413E-AF3E-3D6D62330595}"/>
            </c:ext>
          </c:extLst>
        </c:ser>
        <c:dLbls>
          <c:showLegendKey val="0"/>
          <c:showVal val="0"/>
          <c:showCatName val="0"/>
          <c:showSerName val="0"/>
          <c:showPercent val="0"/>
          <c:showBubbleSize val="0"/>
        </c:dLbls>
        <c:marker val="1"/>
        <c:smooth val="0"/>
        <c:axId val="1804789440"/>
        <c:axId val="1804789984"/>
      </c:lineChart>
      <c:lineChart>
        <c:grouping val="standard"/>
        <c:varyColors val="0"/>
        <c:ser>
          <c:idx val="2"/>
          <c:order val="2"/>
          <c:tx>
            <c:strRef>
              <c:f>'poverty indicators'!$K$5</c:f>
              <c:strCache>
                <c:ptCount val="1"/>
                <c:pt idx="0">
                  <c:v>Gini Coefficient</c:v>
                </c:pt>
              </c:strCache>
            </c:strRef>
          </c:tx>
          <c:spPr>
            <a:ln w="28575" cap="rnd">
              <a:solidFill>
                <a:schemeClr val="accent3"/>
              </a:solidFill>
              <a:round/>
            </a:ln>
            <a:effectLst/>
          </c:spPr>
          <c:marker>
            <c:symbol val="none"/>
          </c:marker>
          <c:cat>
            <c:numRef>
              <c:f>'poverty indicators'!$G$7:$G$18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'poverty indicators'!$K$7:$K$18</c:f>
              <c:numCache>
                <c:formatCode>0.00</c:formatCode>
                <c:ptCount val="12"/>
                <c:pt idx="0">
                  <c:v>0.43830226243666098</c:v>
                </c:pt>
                <c:pt idx="1">
                  <c:v>0.429646698276057</c:v>
                </c:pt>
                <c:pt idx="2">
                  <c:v>0.43363452746199599</c:v>
                </c:pt>
                <c:pt idx="3">
                  <c:v>0.43534442577476801</c:v>
                </c:pt>
                <c:pt idx="4">
                  <c:v>0.432861875796479</c:v>
                </c:pt>
                <c:pt idx="5">
                  <c:v>0.41843300778514098</c:v>
                </c:pt>
                <c:pt idx="6">
                  <c:v>0.40193691429072498</c:v>
                </c:pt>
                <c:pt idx="7">
                  <c:v>0.39522830799943298</c:v>
                </c:pt>
                <c:pt idx="8">
                  <c:v>0.39555254897028003</c:v>
                </c:pt>
                <c:pt idx="9">
                  <c:v>0.40266571512695198</c:v>
                </c:pt>
                <c:pt idx="10">
                  <c:v>0.413923690439711</c:v>
                </c:pt>
                <c:pt idx="11">
                  <c:v>0.39085978457961901</c:v>
                </c:pt>
              </c:numCache>
            </c:numRef>
          </c:val>
          <c:smooth val="0"/>
          <c:extLst>
            <c:ext xmlns:c16="http://schemas.microsoft.com/office/drawing/2014/chart" uri="{C3380CC4-5D6E-409C-BE32-E72D297353CC}">
              <c16:uniqueId val="{00000002-FC88-413E-AF3E-3D6D62330595}"/>
            </c:ext>
          </c:extLst>
        </c:ser>
        <c:dLbls>
          <c:showLegendKey val="0"/>
          <c:showVal val="0"/>
          <c:showCatName val="0"/>
          <c:showSerName val="0"/>
          <c:showPercent val="0"/>
          <c:showBubbleSize val="0"/>
        </c:dLbls>
        <c:marker val="1"/>
        <c:smooth val="0"/>
        <c:axId val="1804788352"/>
        <c:axId val="1804778560"/>
      </c:lineChart>
      <c:catAx>
        <c:axId val="180478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1804789984"/>
        <c:crosses val="autoZero"/>
        <c:auto val="1"/>
        <c:lblAlgn val="ctr"/>
        <c:lblOffset val="100"/>
        <c:noMultiLvlLbl val="0"/>
      </c:catAx>
      <c:valAx>
        <c:axId val="1804789984"/>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Absoulute</a:t>
                </a:r>
                <a:r>
                  <a:rPr lang="en-US" baseline="0"/>
                  <a:t> and Relative Poverty</a:t>
                </a:r>
                <a:endParaRPr lang="en-US"/>
              </a:p>
            </c:rich>
          </c:tx>
          <c:layout>
            <c:manualLayout>
              <c:xMode val="edge"/>
              <c:yMode val="edge"/>
              <c:x val="2.1367521367521368E-2"/>
              <c:y val="5.532503457814660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1804789440"/>
        <c:crosses val="autoZero"/>
        <c:crossBetween val="between"/>
        <c:majorUnit val="0.1"/>
      </c:valAx>
      <c:valAx>
        <c:axId val="180477856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Gini Coefficient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1804788352"/>
        <c:crosses val="max"/>
        <c:crossBetween val="between"/>
        <c:majorUnit val="2.0000000000000004E-2"/>
      </c:valAx>
      <c:catAx>
        <c:axId val="1804788352"/>
        <c:scaling>
          <c:orientation val="minMax"/>
        </c:scaling>
        <c:delete val="1"/>
        <c:axPos val="b"/>
        <c:numFmt formatCode="General" sourceLinked="1"/>
        <c:majorTickMark val="out"/>
        <c:minorTickMark val="none"/>
        <c:tickLblPos val="nextTo"/>
        <c:crossAx val="1804778560"/>
        <c:crosses val="autoZero"/>
        <c:auto val="1"/>
        <c:lblAlgn val="ctr"/>
        <c:lblOffset val="100"/>
        <c:noMultiLvlLbl val="0"/>
      </c:catAx>
      <c:spPr>
        <a:noFill/>
        <a:ln>
          <a:noFill/>
        </a:ln>
        <a:effectLst/>
      </c:spPr>
    </c:plotArea>
    <c:legend>
      <c:legendPos val="b"/>
      <c:layout>
        <c:manualLayout>
          <c:xMode val="edge"/>
          <c:yMode val="edge"/>
          <c:x val="0.17360101621912646"/>
          <c:y val="0.90110584724627263"/>
          <c:w val="0.65279779931354731"/>
          <c:h val="9.336164929591270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'Ownership '!$BN$33</c:f>
              <c:strCache>
                <c:ptCount val="1"/>
                <c:pt idx="0">
                  <c:v>Max</c:v>
                </c:pt>
              </c:strCache>
            </c:strRef>
          </c:tx>
          <c:spPr>
            <a:ln w="28575" cap="rnd">
              <a:noFill/>
              <a:round/>
            </a:ln>
            <a:effectLst/>
          </c:spPr>
          <c:marker>
            <c:symbol val="none"/>
          </c:marker>
          <c:cat>
            <c:numRef>
              <c:f>'Ownership '!$BO$29:$BZ$29</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'Ownership '!$BO$33:$BZ$33</c:f>
              <c:numCache>
                <c:formatCode>0.0%</c:formatCode>
                <c:ptCount val="12"/>
                <c:pt idx="0">
                  <c:v>3.4930139720558882E-2</c:v>
                </c:pt>
                <c:pt idx="1">
                  <c:v>3.903903903903904E-2</c:v>
                </c:pt>
                <c:pt idx="2">
                  <c:v>4.0703052728954671E-2</c:v>
                </c:pt>
                <c:pt idx="3">
                  <c:v>4.3395326657129231E-2</c:v>
                </c:pt>
                <c:pt idx="4">
                  <c:v>4.5581395348837206E-2</c:v>
                </c:pt>
                <c:pt idx="5">
                  <c:v>3.9851714550509731E-2</c:v>
                </c:pt>
                <c:pt idx="6">
                  <c:v>5.2274927395934173E-2</c:v>
                </c:pt>
                <c:pt idx="7">
                  <c:v>4.8623853211009177E-2</c:v>
                </c:pt>
                <c:pt idx="8">
                  <c:v>5.128205128205128E-2</c:v>
                </c:pt>
                <c:pt idx="9">
                  <c:v>5.0572519083969467E-2</c:v>
                </c:pt>
                <c:pt idx="10">
                  <c:v>4.3909348441926344E-2</c:v>
                </c:pt>
                <c:pt idx="11">
                  <c:v>6.3202247191011238E-2</c:v>
                </c:pt>
              </c:numCache>
            </c:numRef>
          </c:val>
          <c:smooth val="0"/>
          <c:extLst>
            <c:ext xmlns:c16="http://schemas.microsoft.com/office/drawing/2014/chart" uri="{C3380CC4-5D6E-409C-BE32-E72D297353CC}">
              <c16:uniqueId val="{00000000-7CB3-4556-860F-F56FEB92FC7A}"/>
            </c:ext>
          </c:extLst>
        </c:ser>
        <c:ser>
          <c:idx val="1"/>
          <c:order val="1"/>
          <c:tx>
            <c:strRef>
              <c:f>'Ownership '!$BN$34</c:f>
              <c:strCache>
                <c:ptCount val="1"/>
                <c:pt idx="0">
                  <c:v>Min</c:v>
                </c:pt>
              </c:strCache>
            </c:strRef>
          </c:tx>
          <c:spPr>
            <a:ln w="28575" cap="rnd">
              <a:noFill/>
              <a:round/>
            </a:ln>
            <a:effectLst/>
          </c:spPr>
          <c:marker>
            <c:symbol val="none"/>
          </c:marker>
          <c:cat>
            <c:numRef>
              <c:f>'Ownership '!$BO$29:$BZ$29</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'Ownership '!$BO$34:$BZ$34</c:f>
              <c:numCache>
                <c:formatCode>0.0%</c:formatCode>
                <c:ptCount val="12"/>
                <c:pt idx="0">
                  <c:v>2.9000000000000001E-2</c:v>
                </c:pt>
                <c:pt idx="1">
                  <c:v>3.4026465028355386E-2</c:v>
                </c:pt>
                <c:pt idx="2">
                  <c:v>3.7642397226349676E-2</c:v>
                </c:pt>
                <c:pt idx="3">
                  <c:v>3.2470588235294119E-2</c:v>
                </c:pt>
                <c:pt idx="4">
                  <c:v>3.4141958670260555E-2</c:v>
                </c:pt>
                <c:pt idx="5">
                  <c:v>3.3363390441839495E-2</c:v>
                </c:pt>
                <c:pt idx="6">
                  <c:v>4.450757575757576E-2</c:v>
                </c:pt>
                <c:pt idx="7">
                  <c:v>4.1512915129151291E-2</c:v>
                </c:pt>
                <c:pt idx="8">
                  <c:v>3.5781544256120526E-2</c:v>
                </c:pt>
                <c:pt idx="9">
                  <c:v>3.7463976945244955E-2</c:v>
                </c:pt>
                <c:pt idx="10">
                  <c:v>3.8821954484605084E-2</c:v>
                </c:pt>
                <c:pt idx="11">
                  <c:v>3.5893754486719311E-2</c:v>
                </c:pt>
              </c:numCache>
            </c:numRef>
          </c:val>
          <c:smooth val="0"/>
          <c:extLst>
            <c:ext xmlns:c16="http://schemas.microsoft.com/office/drawing/2014/chart" uri="{C3380CC4-5D6E-409C-BE32-E72D297353CC}">
              <c16:uniqueId val="{00000001-7CB3-4556-860F-F56FEB92FC7A}"/>
            </c:ext>
          </c:extLst>
        </c:ser>
        <c:ser>
          <c:idx val="2"/>
          <c:order val="2"/>
          <c:tx>
            <c:strRef>
              <c:f>'Ownership '!$BN$35</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'Ownership '!$BO$29:$BZ$29</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'Ownership '!$BO$35:$BZ$35</c:f>
              <c:numCache>
                <c:formatCode>0.0%</c:formatCode>
                <c:ptCount val="12"/>
                <c:pt idx="0">
                  <c:v>3.0614458478988318E-2</c:v>
                </c:pt>
                <c:pt idx="1">
                  <c:v>3.7108107854928386E-2</c:v>
                </c:pt>
                <c:pt idx="2">
                  <c:v>3.9016260814642156E-2</c:v>
                </c:pt>
                <c:pt idx="3">
                  <c:v>3.9516325013357854E-2</c:v>
                </c:pt>
                <c:pt idx="4">
                  <c:v>3.9914047634033042E-2</c:v>
                </c:pt>
                <c:pt idx="5">
                  <c:v>3.7495950501929554E-2</c:v>
                </c:pt>
                <c:pt idx="6">
                  <c:v>4.8392466318980906E-2</c:v>
                </c:pt>
                <c:pt idx="7">
                  <c:v>4.4651883226182319E-2</c:v>
                </c:pt>
                <c:pt idx="8">
                  <c:v>4.3413573105746582E-2</c:v>
                </c:pt>
                <c:pt idx="9">
                  <c:v>4.3038433932625061E-2</c:v>
                </c:pt>
                <c:pt idx="10">
                  <c:v>4.129835171289159E-2</c:v>
                </c:pt>
                <c:pt idx="11">
                  <c:v>5.0518034220156938E-2</c:v>
                </c:pt>
              </c:numCache>
            </c:numRef>
          </c:val>
          <c:smooth val="0"/>
          <c:extLst>
            <c:ext xmlns:c16="http://schemas.microsoft.com/office/drawing/2014/chart" uri="{C3380CC4-5D6E-409C-BE32-E72D297353CC}">
              <c16:uniqueId val="{00000002-7CB3-4556-860F-F56FEB92FC7A}"/>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93960704"/>
        <c:axId val="1793957984"/>
      </c:stockChart>
      <c:catAx>
        <c:axId val="179396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57984"/>
        <c:crosses val="autoZero"/>
        <c:auto val="1"/>
        <c:lblAlgn val="ctr"/>
        <c:lblOffset val="100"/>
        <c:noMultiLvlLbl val="0"/>
      </c:catAx>
      <c:valAx>
        <c:axId val="17939579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60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'unaffrdable housholds'!$BN$44</c:f>
              <c:strCache>
                <c:ptCount val="1"/>
                <c:pt idx="0">
                  <c:v>Max</c:v>
                </c:pt>
              </c:strCache>
            </c:strRef>
          </c:tx>
          <c:spPr>
            <a:ln w="28575" cap="rnd">
              <a:noFill/>
              <a:round/>
            </a:ln>
            <a:effectLst/>
          </c:spPr>
          <c:marker>
            <c:symbol val="none"/>
          </c:marker>
          <c:cat>
            <c:numRef>
              <c:f>'unaffrdable housholds'!$BO$43:$BZ$43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housholds'!$BO$44:$BZ$44</c:f>
              <c:numCache>
                <c:formatCode>0.0%</c:formatCode>
                <c:ptCount val="12"/>
                <c:pt idx="0">
                  <c:v>2.4E-2</c:v>
                </c:pt>
                <c:pt idx="1">
                  <c:v>2.8148148148148148E-2</c:v>
                </c:pt>
                <c:pt idx="2">
                  <c:v>3.3184744923229322E-2</c:v>
                </c:pt>
                <c:pt idx="3">
                  <c:v>3.1935176358436609E-2</c:v>
                </c:pt>
                <c:pt idx="4">
                  <c:v>3.4322820037105753E-2</c:v>
                </c:pt>
                <c:pt idx="5">
                  <c:v>2.644003777148253E-2</c:v>
                </c:pt>
                <c:pt idx="6">
                  <c:v>2.462121212121212E-2</c:v>
                </c:pt>
                <c:pt idx="7">
                  <c:v>2.6752767527675275E-2</c:v>
                </c:pt>
                <c:pt idx="8">
                  <c:v>1.8993352326685659E-2</c:v>
                </c:pt>
                <c:pt idx="9">
                  <c:v>2.9580152671755726E-2</c:v>
                </c:pt>
                <c:pt idx="10">
                  <c:v>2.5495750708215296E-2</c:v>
                </c:pt>
                <c:pt idx="11">
                  <c:v>2.8089887640449437E-2</c:v>
                </c:pt>
              </c:numCache>
            </c:numRef>
          </c:val>
          <c:smooth val="0"/>
          <c:extLst>
            <c:ext xmlns:c16="http://schemas.microsoft.com/office/drawing/2014/chart" uri="{C3380CC4-5D6E-409C-BE32-E72D297353CC}">
              <c16:uniqueId val="{00000000-2BBA-440D-AD88-43BFB06FE1C3}"/>
            </c:ext>
          </c:extLst>
        </c:ser>
        <c:ser>
          <c:idx val="1"/>
          <c:order val="1"/>
          <c:tx>
            <c:strRef>
              <c:f>'unaffrdable housholds'!$BN$45</c:f>
              <c:strCache>
                <c:ptCount val="1"/>
                <c:pt idx="0">
                  <c:v>Min</c:v>
                </c:pt>
              </c:strCache>
            </c:strRef>
          </c:tx>
          <c:spPr>
            <a:ln w="28575" cap="rnd">
              <a:noFill/>
              <a:round/>
            </a:ln>
            <a:effectLst/>
          </c:spPr>
          <c:marker>
            <c:symbol val="none"/>
          </c:marker>
          <c:cat>
            <c:numRef>
              <c:f>'unaffrdable housholds'!$BO$43:$BZ$43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housholds'!$BO$45:$BZ$45</c:f>
              <c:numCache>
                <c:formatCode>0.0%</c:formatCode>
                <c:ptCount val="12"/>
                <c:pt idx="0">
                  <c:v>1.4970059880239521E-2</c:v>
                </c:pt>
                <c:pt idx="1">
                  <c:v>1.5015015015015015E-2</c:v>
                </c:pt>
                <c:pt idx="2">
                  <c:v>2.4271844660194174E-2</c:v>
                </c:pt>
                <c:pt idx="3">
                  <c:v>1.780693533270853E-2</c:v>
                </c:pt>
                <c:pt idx="4">
                  <c:v>2.605570530098832E-2</c:v>
                </c:pt>
                <c:pt idx="5">
                  <c:v>1.8535681186283594E-2</c:v>
                </c:pt>
                <c:pt idx="6">
                  <c:v>1.5488867376573089E-2</c:v>
                </c:pt>
                <c:pt idx="7">
                  <c:v>1.5977443609022556E-2</c:v>
                </c:pt>
                <c:pt idx="8">
                  <c:v>1.3071895424836602E-2</c:v>
                </c:pt>
                <c:pt idx="9">
                  <c:v>1.9848771266540641E-2</c:v>
                </c:pt>
                <c:pt idx="10">
                  <c:v>1.7402945113788489E-2</c:v>
                </c:pt>
                <c:pt idx="11">
                  <c:v>2.2254127781765973E-2</c:v>
                </c:pt>
              </c:numCache>
            </c:numRef>
          </c:val>
          <c:smooth val="0"/>
          <c:extLst>
            <c:ext xmlns:c16="http://schemas.microsoft.com/office/drawing/2014/chart" uri="{C3380CC4-5D6E-409C-BE32-E72D297353CC}">
              <c16:uniqueId val="{00000001-2BBA-440D-AD88-43BFB06FE1C3}"/>
            </c:ext>
          </c:extLst>
        </c:ser>
        <c:ser>
          <c:idx val="2"/>
          <c:order val="2"/>
          <c:tx>
            <c:strRef>
              <c:f>'unaffrdable housholds'!$BN$46</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'unaffrdable housholds'!$BO$43:$BZ$43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housholds'!$BO$46:$BZ$46</c:f>
              <c:numCache>
                <c:formatCode>0.0%</c:formatCode>
                <c:ptCount val="12"/>
                <c:pt idx="0">
                  <c:v>1.7562007569836884E-2</c:v>
                </c:pt>
                <c:pt idx="1">
                  <c:v>2.3376788953150804E-2</c:v>
                </c:pt>
                <c:pt idx="2">
                  <c:v>2.6759940515379211E-2</c:v>
                </c:pt>
                <c:pt idx="3">
                  <c:v>2.60627120795968E-2</c:v>
                </c:pt>
                <c:pt idx="4">
                  <c:v>3.1606057196222476E-2</c:v>
                </c:pt>
                <c:pt idx="5">
                  <c:v>2.3126953166404014E-2</c:v>
                </c:pt>
                <c:pt idx="6">
                  <c:v>2.1654295161015403E-2</c:v>
                </c:pt>
                <c:pt idx="7">
                  <c:v>2.2765882514652024E-2</c:v>
                </c:pt>
                <c:pt idx="8">
                  <c:v>1.5806073964930726E-2</c:v>
                </c:pt>
                <c:pt idx="9">
                  <c:v>2.4811459116320982E-2</c:v>
                </c:pt>
                <c:pt idx="10">
                  <c:v>1.9960667401827444E-2</c:v>
                </c:pt>
                <c:pt idx="11">
                  <c:v>2.5698100305239679E-2</c:v>
                </c:pt>
              </c:numCache>
            </c:numRef>
          </c:val>
          <c:smooth val="0"/>
          <c:extLst>
            <c:ext xmlns:c16="http://schemas.microsoft.com/office/drawing/2014/chart" uri="{C3380CC4-5D6E-409C-BE32-E72D297353CC}">
              <c16:uniqueId val="{00000002-2BBA-440D-AD88-43BFB06FE1C3}"/>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93970496"/>
        <c:axId val="1793959072"/>
      </c:stockChart>
      <c:catAx>
        <c:axId val="179397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59072"/>
        <c:crosses val="autoZero"/>
        <c:auto val="1"/>
        <c:lblAlgn val="ctr"/>
        <c:lblOffset val="100"/>
        <c:noMultiLvlLbl val="0"/>
      </c:catAx>
      <c:valAx>
        <c:axId val="1793959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3970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'unaffrdable housholds'!$BN$47</c:f>
              <c:strCache>
                <c:ptCount val="1"/>
                <c:pt idx="0">
                  <c:v>Max</c:v>
                </c:pt>
              </c:strCache>
            </c:strRef>
          </c:tx>
          <c:spPr>
            <a:ln w="28575" cap="rnd">
              <a:noFill/>
              <a:round/>
            </a:ln>
            <a:effectLst/>
          </c:spPr>
          <c:marker>
            <c:symbol val="none"/>
          </c:marker>
          <c:cat>
            <c:numRef>
              <c:f>'unaffrdable housholds'!$BO$43:$BZ$43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housholds'!$BO$47:$BZ$47</c:f>
              <c:numCache>
                <c:formatCode>0.0%</c:formatCode>
                <c:ptCount val="12"/>
                <c:pt idx="0">
                  <c:v>1.2773722627737226E-2</c:v>
                </c:pt>
                <c:pt idx="1">
                  <c:v>5.531295487627365E-3</c:v>
                </c:pt>
                <c:pt idx="2">
                  <c:v>7.4537865235539654E-3</c:v>
                </c:pt>
                <c:pt idx="3">
                  <c:v>5.3892215568862277E-3</c:v>
                </c:pt>
                <c:pt idx="4">
                  <c:v>2.3952095808383233E-3</c:v>
                </c:pt>
                <c:pt idx="5">
                  <c:v>1.7678255745433118E-3</c:v>
                </c:pt>
                <c:pt idx="6">
                  <c:v>5.8548009367681499E-4</c:v>
                </c:pt>
                <c:pt idx="7">
                  <c:v>1.1695906432748538E-3</c:v>
                </c:pt>
                <c:pt idx="8">
                  <c:v>1.7825311942959001E-3</c:v>
                </c:pt>
                <c:pt idx="9">
                  <c:v>1.8007202881152461E-3</c:v>
                </c:pt>
                <c:pt idx="10">
                  <c:v>4.2796005706134095E-3</c:v>
                </c:pt>
                <c:pt idx="11">
                  <c:v>1.4619883040935672E-3</c:v>
                </c:pt>
              </c:numCache>
            </c:numRef>
          </c:val>
          <c:smooth val="0"/>
          <c:extLst>
            <c:ext xmlns:c16="http://schemas.microsoft.com/office/drawing/2014/chart" uri="{C3380CC4-5D6E-409C-BE32-E72D297353CC}">
              <c16:uniqueId val="{00000000-E5F0-4305-A256-D658ACDC5086}"/>
            </c:ext>
          </c:extLst>
        </c:ser>
        <c:ser>
          <c:idx val="1"/>
          <c:order val="1"/>
          <c:tx>
            <c:strRef>
              <c:f>'unaffrdable housholds'!$BN$48</c:f>
              <c:strCache>
                <c:ptCount val="1"/>
                <c:pt idx="0">
                  <c:v>Min</c:v>
                </c:pt>
              </c:strCache>
            </c:strRef>
          </c:tx>
          <c:spPr>
            <a:ln w="28575" cap="rnd">
              <a:noFill/>
              <a:round/>
            </a:ln>
            <a:effectLst/>
          </c:spPr>
          <c:marker>
            <c:symbol val="none"/>
          </c:marker>
          <c:cat>
            <c:numRef>
              <c:f>'unaffrdable housholds'!$BO$43:$BZ$43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housholds'!$BO$48:$BZ$48</c:f>
              <c:numCache>
                <c:formatCode>0.0%</c:formatCode>
                <c:ptCount val="12"/>
                <c:pt idx="0">
                  <c:v>5.7870370370370367E-4</c:v>
                </c:pt>
                <c:pt idx="1">
                  <c:v>0</c:v>
                </c:pt>
                <c:pt idx="2">
                  <c:v>8.7412587412587413E-4</c:v>
                </c:pt>
                <c:pt idx="3">
                  <c:v>3.3475349969567863E-3</c:v>
                </c:pt>
                <c:pt idx="4">
                  <c:v>0</c:v>
                </c:pt>
                <c:pt idx="5">
                  <c:v>0</c:v>
                </c:pt>
                <c:pt idx="6">
                  <c:v>5.7770075101097628E-4</c:v>
                </c:pt>
                <c:pt idx="7">
                  <c:v>5.7405281285878302E-4</c:v>
                </c:pt>
                <c:pt idx="8">
                  <c:v>5.9066745422327229E-4</c:v>
                </c:pt>
                <c:pt idx="9">
                  <c:v>0</c:v>
                </c:pt>
                <c:pt idx="10">
                  <c:v>1.4461315979754157E-3</c:v>
                </c:pt>
                <c:pt idx="11">
                  <c:v>0</c:v>
                </c:pt>
              </c:numCache>
            </c:numRef>
          </c:val>
          <c:smooth val="0"/>
          <c:extLst>
            <c:ext xmlns:c16="http://schemas.microsoft.com/office/drawing/2014/chart" uri="{C3380CC4-5D6E-409C-BE32-E72D297353CC}">
              <c16:uniqueId val="{00000001-E5F0-4305-A256-D658ACDC5086}"/>
            </c:ext>
          </c:extLst>
        </c:ser>
        <c:ser>
          <c:idx val="2"/>
          <c:order val="2"/>
          <c:tx>
            <c:strRef>
              <c:f>'unaffrdable housholds'!$BN$49</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'unaffrdable housholds'!$BO$43:$BZ$43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housholds'!$BO$49:$BZ$49</c:f>
              <c:numCache>
                <c:formatCode>0.0%</c:formatCode>
                <c:ptCount val="12"/>
                <c:pt idx="0">
                  <c:v>7.2269067106761767E-3</c:v>
                </c:pt>
                <c:pt idx="1">
                  <c:v>3.2060140234656132E-3</c:v>
                </c:pt>
                <c:pt idx="2">
                  <c:v>4.5425683892079361E-3</c:v>
                </c:pt>
                <c:pt idx="3">
                  <c:v>4.289424771482489E-3</c:v>
                </c:pt>
                <c:pt idx="4">
                  <c:v>1.3154192558575833E-3</c:v>
                </c:pt>
                <c:pt idx="5">
                  <c:v>8.7750378616885936E-4</c:v>
                </c:pt>
                <c:pt idx="6">
                  <c:v>5.8149288559055246E-4</c:v>
                </c:pt>
                <c:pt idx="7">
                  <c:v>7.2908206363735736E-4</c:v>
                </c:pt>
                <c:pt idx="8">
                  <c:v>1.1866393319294904E-3</c:v>
                </c:pt>
                <c:pt idx="9">
                  <c:v>9.0001307566976219E-4</c:v>
                </c:pt>
                <c:pt idx="10">
                  <c:v>3.533011544753507E-3</c:v>
                </c:pt>
                <c:pt idx="11">
                  <c:v>9.1566407553387305E-4</c:v>
                </c:pt>
              </c:numCache>
            </c:numRef>
          </c:val>
          <c:smooth val="0"/>
          <c:extLst>
            <c:ext xmlns:c16="http://schemas.microsoft.com/office/drawing/2014/chart" uri="{C3380CC4-5D6E-409C-BE32-E72D297353CC}">
              <c16:uniqueId val="{00000002-E5F0-4305-A256-D658ACDC5086}"/>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89764128"/>
        <c:axId val="1689766848"/>
      </c:stockChart>
      <c:catAx>
        <c:axId val="168976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66848"/>
        <c:crosses val="autoZero"/>
        <c:auto val="1"/>
        <c:lblAlgn val="ctr"/>
        <c:lblOffset val="100"/>
        <c:noMultiLvlLbl val="0"/>
      </c:catAx>
      <c:valAx>
        <c:axId val="1689766848"/>
        <c:scaling>
          <c:orientation val="minMax"/>
          <c:max val="4.0000000000000008E-2"/>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64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a:t>
            </a:r>
          </a:p>
        </c:rich>
      </c:tx>
      <c:layout>
        <c:manualLayout>
          <c:xMode val="edge"/>
          <c:yMode val="edge"/>
          <c:x val="0.46269622237814334"/>
          <c:y val="5.983460610137301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'unaffrdable housholds'!$BN$58</c:f>
              <c:strCache>
                <c:ptCount val="1"/>
                <c:pt idx="0">
                  <c:v>Max</c:v>
                </c:pt>
              </c:strCache>
            </c:strRef>
          </c:tx>
          <c:spPr>
            <a:ln w="28575" cap="rnd">
              <a:noFill/>
              <a:round/>
            </a:ln>
            <a:effectLst/>
          </c:spPr>
          <c:marker>
            <c:symbol val="none"/>
          </c:marker>
          <c:cat>
            <c:numRef>
              <c:f>'unaffrdable housholds'!$BO$54:$BZ$54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housholds'!$BO$58:$BZ$58</c:f>
              <c:numCache>
                <c:formatCode>0.0%</c:formatCode>
                <c:ptCount val="12"/>
                <c:pt idx="0">
                  <c:v>0.11678832116788321</c:v>
                </c:pt>
                <c:pt idx="1">
                  <c:v>0.11798895669863411</c:v>
                </c:pt>
                <c:pt idx="2">
                  <c:v>8.5955710955710959E-2</c:v>
                </c:pt>
                <c:pt idx="3">
                  <c:v>8.2471089470480832E-2</c:v>
                </c:pt>
                <c:pt idx="4">
                  <c:v>9.880239520958084E-2</c:v>
                </c:pt>
                <c:pt idx="5">
                  <c:v>7.6605774896876838E-2</c:v>
                </c:pt>
                <c:pt idx="6">
                  <c:v>6.9767441860465115E-2</c:v>
                </c:pt>
                <c:pt idx="7">
                  <c:v>5.9964726631393295E-2</c:v>
                </c:pt>
                <c:pt idx="8">
                  <c:v>6.497341996455995E-2</c:v>
                </c:pt>
                <c:pt idx="9">
                  <c:v>6.0806742925948225E-2</c:v>
                </c:pt>
                <c:pt idx="10">
                  <c:v>0.11921458625525946</c:v>
                </c:pt>
                <c:pt idx="11">
                  <c:v>6.5393093313739895E-2</c:v>
                </c:pt>
              </c:numCache>
            </c:numRef>
          </c:val>
          <c:smooth val="0"/>
          <c:extLst>
            <c:ext xmlns:c16="http://schemas.microsoft.com/office/drawing/2014/chart" uri="{C3380CC4-5D6E-409C-BE32-E72D297353CC}">
              <c16:uniqueId val="{00000000-C1F6-4892-AF76-39043056D4FC}"/>
            </c:ext>
          </c:extLst>
        </c:ser>
        <c:ser>
          <c:idx val="1"/>
          <c:order val="1"/>
          <c:tx>
            <c:strRef>
              <c:f>'unaffrdable housholds'!$BN$59</c:f>
              <c:strCache>
                <c:ptCount val="1"/>
                <c:pt idx="0">
                  <c:v>Min</c:v>
                </c:pt>
              </c:strCache>
            </c:strRef>
          </c:tx>
          <c:spPr>
            <a:ln w="28575" cap="rnd">
              <a:noFill/>
              <a:round/>
            </a:ln>
            <a:effectLst/>
          </c:spPr>
          <c:marker>
            <c:symbol val="none"/>
          </c:marker>
          <c:cat>
            <c:numRef>
              <c:f>'unaffrdable housholds'!$BO$54:$BZ$54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housholds'!$BO$59:$BZ$59</c:f>
              <c:numCache>
                <c:formatCode>0.0%</c:formatCode>
                <c:ptCount val="12"/>
                <c:pt idx="0">
                  <c:v>5.2138254247217339E-2</c:v>
                </c:pt>
                <c:pt idx="1">
                  <c:v>4.9094097019286964E-2</c:v>
                </c:pt>
                <c:pt idx="2">
                  <c:v>2.8562838244137103E-2</c:v>
                </c:pt>
                <c:pt idx="3">
                  <c:v>3.3060357901122231E-2</c:v>
                </c:pt>
                <c:pt idx="4">
                  <c:v>2.9685681024447033E-2</c:v>
                </c:pt>
                <c:pt idx="5">
                  <c:v>3.1963470319634701E-2</c:v>
                </c:pt>
                <c:pt idx="6">
                  <c:v>1.3953488372093023E-2</c:v>
                </c:pt>
                <c:pt idx="7">
                  <c:v>1.8369690011481057E-2</c:v>
                </c:pt>
                <c:pt idx="8">
                  <c:v>1.8235294117647058E-2</c:v>
                </c:pt>
                <c:pt idx="9">
                  <c:v>8.9285714285714281E-3</c:v>
                </c:pt>
                <c:pt idx="10">
                  <c:v>1.6405135520684736E-2</c:v>
                </c:pt>
                <c:pt idx="11">
                  <c:v>9.5029239766081866E-3</c:v>
                </c:pt>
              </c:numCache>
            </c:numRef>
          </c:val>
          <c:smooth val="0"/>
          <c:extLst>
            <c:ext xmlns:c16="http://schemas.microsoft.com/office/drawing/2014/chart" uri="{C3380CC4-5D6E-409C-BE32-E72D297353CC}">
              <c16:uniqueId val="{00000001-C1F6-4892-AF76-39043056D4FC}"/>
            </c:ext>
          </c:extLst>
        </c:ser>
        <c:ser>
          <c:idx val="2"/>
          <c:order val="2"/>
          <c:tx>
            <c:strRef>
              <c:f>'unaffrdable housholds'!$BN$60</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'unaffrdable housholds'!$BO$54:$BZ$54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housholds'!$BO$60:$BZ$60</c:f>
              <c:numCache>
                <c:formatCode>0.0%</c:formatCode>
                <c:ptCount val="12"/>
                <c:pt idx="0">
                  <c:v>8.0800141328522604E-2</c:v>
                </c:pt>
                <c:pt idx="1">
                  <c:v>8.3188301226607753E-2</c:v>
                </c:pt>
                <c:pt idx="2">
                  <c:v>5.6204821599781019E-2</c:v>
                </c:pt>
                <c:pt idx="3">
                  <c:v>5.8126280901151142E-2</c:v>
                </c:pt>
                <c:pt idx="4">
                  <c:v>6.0805206905838412E-2</c:v>
                </c:pt>
                <c:pt idx="5">
                  <c:v>5.4932857815646309E-2</c:v>
                </c:pt>
                <c:pt idx="6">
                  <c:v>3.6978424571257537E-2</c:v>
                </c:pt>
                <c:pt idx="7">
                  <c:v>3.8443253283525602E-2</c:v>
                </c:pt>
                <c:pt idx="8">
                  <c:v>4.2599516137933724E-2</c:v>
                </c:pt>
                <c:pt idx="9">
                  <c:v>3.8088340393351801E-2</c:v>
                </c:pt>
                <c:pt idx="10">
                  <c:v>6.4123160708818377E-2</c:v>
                </c:pt>
                <c:pt idx="11">
                  <c:v>3.5688479562906036E-2</c:v>
                </c:pt>
              </c:numCache>
            </c:numRef>
          </c:val>
          <c:smooth val="0"/>
          <c:extLst>
            <c:ext xmlns:c16="http://schemas.microsoft.com/office/drawing/2014/chart" uri="{C3380CC4-5D6E-409C-BE32-E72D297353CC}">
              <c16:uniqueId val="{00000002-C1F6-4892-AF76-39043056D4FC}"/>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89761952"/>
        <c:axId val="1689751616"/>
      </c:stockChart>
      <c:catAx>
        <c:axId val="168976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51616"/>
        <c:crosses val="autoZero"/>
        <c:auto val="1"/>
        <c:lblAlgn val="ctr"/>
        <c:lblOffset val="100"/>
        <c:noMultiLvlLbl val="0"/>
      </c:catAx>
      <c:valAx>
        <c:axId val="1689751616"/>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61952"/>
        <c:crosses val="autoZero"/>
        <c:crossBetween val="between"/>
        <c:majorUnit val="5.000000000000001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layout>
        <c:manualLayout>
          <c:xMode val="edge"/>
          <c:yMode val="edge"/>
          <c:x val="0.4228584130566741"/>
          <c:y val="5.140754464515465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'unaffrdable housholds'!$BN$55</c:f>
              <c:strCache>
                <c:ptCount val="1"/>
                <c:pt idx="0">
                  <c:v>Max</c:v>
                </c:pt>
              </c:strCache>
            </c:strRef>
          </c:tx>
          <c:spPr>
            <a:ln w="28575" cap="rnd">
              <a:noFill/>
              <a:round/>
            </a:ln>
            <a:effectLst/>
          </c:spPr>
          <c:marker>
            <c:symbol val="none"/>
          </c:marker>
          <c:cat>
            <c:numRef>
              <c:f>'unaffrdable housholds'!$BO$54:$BZ$54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housholds'!$BO$55:$BZ$55</c:f>
              <c:numCache>
                <c:formatCode>0.0%</c:formatCode>
                <c:ptCount val="12"/>
                <c:pt idx="0">
                  <c:v>0.17399999999999999</c:v>
                </c:pt>
                <c:pt idx="1">
                  <c:v>0.1891891891891892</c:v>
                </c:pt>
                <c:pt idx="2">
                  <c:v>0.16929133858267717</c:v>
                </c:pt>
                <c:pt idx="3">
                  <c:v>0.14620431115276475</c:v>
                </c:pt>
                <c:pt idx="4">
                  <c:v>0.16635687732342008</c:v>
                </c:pt>
                <c:pt idx="5">
                  <c:v>0.20649233543733092</c:v>
                </c:pt>
                <c:pt idx="6">
                  <c:v>0.11519845111326234</c:v>
                </c:pt>
                <c:pt idx="7">
                  <c:v>0.10183486238532111</c:v>
                </c:pt>
                <c:pt idx="8">
                  <c:v>0.10731244064577398</c:v>
                </c:pt>
                <c:pt idx="9">
                  <c:v>8.9337175792507204E-2</c:v>
                </c:pt>
                <c:pt idx="10">
                  <c:v>0.14538558786346398</c:v>
                </c:pt>
                <c:pt idx="11">
                  <c:v>0.10606060606060606</c:v>
                </c:pt>
              </c:numCache>
            </c:numRef>
          </c:val>
          <c:smooth val="0"/>
          <c:extLst>
            <c:ext xmlns:c16="http://schemas.microsoft.com/office/drawing/2014/chart" uri="{C3380CC4-5D6E-409C-BE32-E72D297353CC}">
              <c16:uniqueId val="{00000000-8233-44DC-96B2-D8A22B17CD6B}"/>
            </c:ext>
          </c:extLst>
        </c:ser>
        <c:ser>
          <c:idx val="1"/>
          <c:order val="1"/>
          <c:tx>
            <c:strRef>
              <c:f>'unaffrdable housholds'!$BN$56</c:f>
              <c:strCache>
                <c:ptCount val="1"/>
                <c:pt idx="0">
                  <c:v>Min</c:v>
                </c:pt>
              </c:strCache>
            </c:strRef>
          </c:tx>
          <c:spPr>
            <a:ln w="28575" cap="rnd">
              <a:noFill/>
              <a:round/>
            </a:ln>
            <a:effectLst/>
          </c:spPr>
          <c:marker>
            <c:symbol val="none"/>
          </c:marker>
          <c:cat>
            <c:numRef>
              <c:f>'unaffrdable housholds'!$BO$54:$BZ$54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housholds'!$BO$56:$BZ$56</c:f>
              <c:numCache>
                <c:formatCode>0.0%</c:formatCode>
                <c:ptCount val="12"/>
                <c:pt idx="0">
                  <c:v>9.5238095238095233E-2</c:v>
                </c:pt>
                <c:pt idx="1">
                  <c:v>9.2131474103585659E-2</c:v>
                </c:pt>
                <c:pt idx="2">
                  <c:v>8.7378640776699032E-2</c:v>
                </c:pt>
                <c:pt idx="3">
                  <c:v>8.6069651741293537E-2</c:v>
                </c:pt>
                <c:pt idx="4">
                  <c:v>9.7402597402597407E-2</c:v>
                </c:pt>
                <c:pt idx="5">
                  <c:v>7.4598677998111429E-2</c:v>
                </c:pt>
                <c:pt idx="6">
                  <c:v>5.2884615384615384E-2</c:v>
                </c:pt>
                <c:pt idx="7">
                  <c:v>4.1470311027332708E-2</c:v>
                </c:pt>
                <c:pt idx="8">
                  <c:v>3.0131826741996232E-2</c:v>
                </c:pt>
                <c:pt idx="9">
                  <c:v>4.3564356435643561E-2</c:v>
                </c:pt>
                <c:pt idx="10">
                  <c:v>4.2492917847025496E-2</c:v>
                </c:pt>
                <c:pt idx="11">
                  <c:v>4.49438202247191E-2</c:v>
                </c:pt>
              </c:numCache>
            </c:numRef>
          </c:val>
          <c:smooth val="0"/>
          <c:extLst>
            <c:ext xmlns:c16="http://schemas.microsoft.com/office/drawing/2014/chart" uri="{C3380CC4-5D6E-409C-BE32-E72D297353CC}">
              <c16:uniqueId val="{00000001-8233-44DC-96B2-D8A22B17CD6B}"/>
            </c:ext>
          </c:extLst>
        </c:ser>
        <c:ser>
          <c:idx val="2"/>
          <c:order val="2"/>
          <c:tx>
            <c:strRef>
              <c:f>'unaffrdable housholds'!$BN$57</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'unaffrdable housholds'!$BO$54:$BZ$54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housholds'!$BO$57:$BZ$57</c:f>
              <c:numCache>
                <c:formatCode>0.0%</c:formatCode>
                <c:ptCount val="12"/>
                <c:pt idx="0">
                  <c:v>0.14018111730594804</c:v>
                </c:pt>
                <c:pt idx="1">
                  <c:v>0.14113351012527778</c:v>
                </c:pt>
                <c:pt idx="2">
                  <c:v>0.12608477329397477</c:v>
                </c:pt>
                <c:pt idx="3">
                  <c:v>0.1169879364290454</c:v>
                </c:pt>
                <c:pt idx="4">
                  <c:v>0.13480603641981292</c:v>
                </c:pt>
                <c:pt idx="5">
                  <c:v>0.1298883315920849</c:v>
                </c:pt>
                <c:pt idx="6">
                  <c:v>7.8796383619158583E-2</c:v>
                </c:pt>
                <c:pt idx="7">
                  <c:v>6.3713989993287742E-2</c:v>
                </c:pt>
                <c:pt idx="8">
                  <c:v>6.4488363977916158E-2</c:v>
                </c:pt>
                <c:pt idx="9">
                  <c:v>6.4819453678547384E-2</c:v>
                </c:pt>
                <c:pt idx="10">
                  <c:v>8.3670371315889128E-2</c:v>
                </c:pt>
                <c:pt idx="11">
                  <c:v>6.7323880150301579E-2</c:v>
                </c:pt>
              </c:numCache>
            </c:numRef>
          </c:val>
          <c:smooth val="0"/>
          <c:extLst>
            <c:ext xmlns:c16="http://schemas.microsoft.com/office/drawing/2014/chart" uri="{C3380CC4-5D6E-409C-BE32-E72D297353CC}">
              <c16:uniqueId val="{00000002-8233-44DC-96B2-D8A22B17CD6B}"/>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89763040"/>
        <c:axId val="1689763584"/>
      </c:stockChart>
      <c:catAx>
        <c:axId val="168976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63584"/>
        <c:crosses val="autoZero"/>
        <c:auto val="1"/>
        <c:lblAlgn val="ctr"/>
        <c:lblOffset val="100"/>
        <c:noMultiLvlLbl val="0"/>
      </c:catAx>
      <c:valAx>
        <c:axId val="1689763584"/>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63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layout>
        <c:manualLayout>
          <c:xMode val="edge"/>
          <c:yMode val="edge"/>
          <c:x val="0.4294171247461992"/>
          <c:y val="3.14960629921259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'unaffrdable housholds'!$BN$66</c:f>
              <c:strCache>
                <c:ptCount val="1"/>
                <c:pt idx="0">
                  <c:v>Max</c:v>
                </c:pt>
              </c:strCache>
            </c:strRef>
          </c:tx>
          <c:spPr>
            <a:ln w="28575" cap="rnd">
              <a:noFill/>
              <a:round/>
            </a:ln>
            <a:effectLst/>
          </c:spPr>
          <c:marker>
            <c:symbol val="none"/>
          </c:marker>
          <c:cat>
            <c:numRef>
              <c:f>'unaffrdable housholds'!$BO$65:$BZ$65</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housholds'!$BO$66:$BZ$66</c:f>
              <c:numCache>
                <c:formatCode>0.0%</c:formatCode>
                <c:ptCount val="12"/>
                <c:pt idx="0">
                  <c:v>0.19400000000000001</c:v>
                </c:pt>
                <c:pt idx="1">
                  <c:v>0.13234567901234567</c:v>
                </c:pt>
                <c:pt idx="2">
                  <c:v>0.13571074789499751</c:v>
                </c:pt>
                <c:pt idx="3">
                  <c:v>0.10295519542421354</c:v>
                </c:pt>
                <c:pt idx="4">
                  <c:v>0.11059479553903345</c:v>
                </c:pt>
                <c:pt idx="5">
                  <c:v>9.9150141643059492E-2</c:v>
                </c:pt>
                <c:pt idx="6">
                  <c:v>0.1162136832239925</c:v>
                </c:pt>
                <c:pt idx="7">
                  <c:v>0.12912346842601319</c:v>
                </c:pt>
                <c:pt idx="8">
                  <c:v>0.12060778727445394</c:v>
                </c:pt>
                <c:pt idx="9">
                  <c:v>0.12673267326732673</c:v>
                </c:pt>
                <c:pt idx="10">
                  <c:v>0.16666666666666666</c:v>
                </c:pt>
                <c:pt idx="11">
                  <c:v>0.15702479338842976</c:v>
                </c:pt>
              </c:numCache>
            </c:numRef>
          </c:val>
          <c:smooth val="0"/>
          <c:extLst>
            <c:ext xmlns:c16="http://schemas.microsoft.com/office/drawing/2014/chart" uri="{C3380CC4-5D6E-409C-BE32-E72D297353CC}">
              <c16:uniqueId val="{00000000-212F-49BA-97B8-0BBE374054DB}"/>
            </c:ext>
          </c:extLst>
        </c:ser>
        <c:ser>
          <c:idx val="1"/>
          <c:order val="1"/>
          <c:tx>
            <c:strRef>
              <c:f>'unaffrdable housholds'!$BN$67</c:f>
              <c:strCache>
                <c:ptCount val="1"/>
                <c:pt idx="0">
                  <c:v>Min</c:v>
                </c:pt>
              </c:strCache>
            </c:strRef>
          </c:tx>
          <c:spPr>
            <a:ln w="28575" cap="rnd">
              <a:noFill/>
              <a:round/>
            </a:ln>
            <a:effectLst/>
          </c:spPr>
          <c:marker>
            <c:symbol val="none"/>
          </c:marker>
          <c:cat>
            <c:numRef>
              <c:f>'unaffrdable housholds'!$BO$65:$BZ$65</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housholds'!$BO$67:$BZ$67</c:f>
              <c:numCache>
                <c:formatCode>0.0%</c:formatCode>
                <c:ptCount val="12"/>
                <c:pt idx="0">
                  <c:v>0.15469061876247506</c:v>
                </c:pt>
                <c:pt idx="1">
                  <c:v>0.12381852551984877</c:v>
                </c:pt>
                <c:pt idx="2">
                  <c:v>0.11054579093432007</c:v>
                </c:pt>
                <c:pt idx="3">
                  <c:v>9.7014925373134331E-2</c:v>
                </c:pt>
                <c:pt idx="4">
                  <c:v>9.5238095238095233E-2</c:v>
                </c:pt>
                <c:pt idx="5">
                  <c:v>8.72794800371402E-2</c:v>
                </c:pt>
                <c:pt idx="6">
                  <c:v>0.10067763794772508</c:v>
                </c:pt>
                <c:pt idx="7">
                  <c:v>0.12084870848708487</c:v>
                </c:pt>
                <c:pt idx="8">
                  <c:v>0.11017740429505135</c:v>
                </c:pt>
                <c:pt idx="9">
                  <c:v>0.10687022900763359</c:v>
                </c:pt>
                <c:pt idx="10">
                  <c:v>0.14384508990318118</c:v>
                </c:pt>
                <c:pt idx="11">
                  <c:v>0.13280689160086145</c:v>
                </c:pt>
              </c:numCache>
            </c:numRef>
          </c:val>
          <c:smooth val="0"/>
          <c:extLst>
            <c:ext xmlns:c16="http://schemas.microsoft.com/office/drawing/2014/chart" uri="{C3380CC4-5D6E-409C-BE32-E72D297353CC}">
              <c16:uniqueId val="{00000001-212F-49BA-97B8-0BBE374054DB}"/>
            </c:ext>
          </c:extLst>
        </c:ser>
        <c:ser>
          <c:idx val="2"/>
          <c:order val="2"/>
          <c:tx>
            <c:strRef>
              <c:f>'unaffrdable housholds'!$BN$68</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'unaffrdable housholds'!$BO$65:$BZ$65</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housholds'!$BO$68:$BZ$68</c:f>
              <c:numCache>
                <c:formatCode>0.0%</c:formatCode>
                <c:ptCount val="12"/>
                <c:pt idx="0">
                  <c:v>0.1724312679188674</c:v>
                </c:pt>
                <c:pt idx="1">
                  <c:v>0.12707158664864387</c:v>
                </c:pt>
                <c:pt idx="2">
                  <c:v>0.12108916146369358</c:v>
                </c:pt>
                <c:pt idx="3">
                  <c:v>0.10110929293503639</c:v>
                </c:pt>
                <c:pt idx="4">
                  <c:v>0.10280296069105528</c:v>
                </c:pt>
                <c:pt idx="5">
                  <c:v>9.3021194028043652E-2</c:v>
                </c:pt>
                <c:pt idx="6">
                  <c:v>0.11002848297358207</c:v>
                </c:pt>
                <c:pt idx="7">
                  <c:v>0.1235483487740426</c:v>
                </c:pt>
                <c:pt idx="8">
                  <c:v>0.1155323383820185</c:v>
                </c:pt>
                <c:pt idx="9">
                  <c:v>0.11889812065017442</c:v>
                </c:pt>
                <c:pt idx="10">
                  <c:v>0.15785727196962879</c:v>
                </c:pt>
                <c:pt idx="11">
                  <c:v>0.14572571150949509</c:v>
                </c:pt>
              </c:numCache>
            </c:numRef>
          </c:val>
          <c:smooth val="0"/>
          <c:extLst>
            <c:ext xmlns:c16="http://schemas.microsoft.com/office/drawing/2014/chart" uri="{C3380CC4-5D6E-409C-BE32-E72D297353CC}">
              <c16:uniqueId val="{00000002-212F-49BA-97B8-0BBE374054DB}"/>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89753248"/>
        <c:axId val="1689765760"/>
      </c:stockChart>
      <c:catAx>
        <c:axId val="168975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65760"/>
        <c:crosses val="autoZero"/>
        <c:auto val="1"/>
        <c:lblAlgn val="ctr"/>
        <c:lblOffset val="100"/>
        <c:noMultiLvlLbl val="0"/>
      </c:catAx>
      <c:valAx>
        <c:axId val="1689765760"/>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53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'unaffrdable housholds'!$BN$69</c:f>
              <c:strCache>
                <c:ptCount val="1"/>
                <c:pt idx="0">
                  <c:v>Max</c:v>
                </c:pt>
              </c:strCache>
            </c:strRef>
          </c:tx>
          <c:spPr>
            <a:ln w="28575" cap="rnd">
              <a:noFill/>
              <a:round/>
            </a:ln>
            <a:effectLst/>
          </c:spPr>
          <c:marker>
            <c:symbol val="none"/>
          </c:marker>
          <c:cat>
            <c:numRef>
              <c:f>'unaffrdable housholds'!$BO$65:$BZ$65</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housholds'!$BO$69:$BZ$69</c:f>
              <c:numCache>
                <c:formatCode>0.0%</c:formatCode>
                <c:ptCount val="12"/>
                <c:pt idx="0">
                  <c:v>5.8181818181818182E-2</c:v>
                </c:pt>
                <c:pt idx="1">
                  <c:v>5.4344667247893053E-2</c:v>
                </c:pt>
                <c:pt idx="2">
                  <c:v>6.2236921226698737E-2</c:v>
                </c:pt>
                <c:pt idx="3">
                  <c:v>4.6107784431137722E-2</c:v>
                </c:pt>
                <c:pt idx="4">
                  <c:v>3.4131736526946108E-2</c:v>
                </c:pt>
                <c:pt idx="5">
                  <c:v>2.5114155251141551E-2</c:v>
                </c:pt>
                <c:pt idx="6">
                  <c:v>1.9906323185011711E-2</c:v>
                </c:pt>
                <c:pt idx="7">
                  <c:v>1.4351320321469576E-2</c:v>
                </c:pt>
                <c:pt idx="8">
                  <c:v>1.7825311942959002E-2</c:v>
                </c:pt>
                <c:pt idx="9">
                  <c:v>1.5051173991571343E-2</c:v>
                </c:pt>
                <c:pt idx="10">
                  <c:v>8.6773967809657099E-2</c:v>
                </c:pt>
                <c:pt idx="11">
                  <c:v>7.4344023323615158E-2</c:v>
                </c:pt>
              </c:numCache>
            </c:numRef>
          </c:val>
          <c:smooth val="0"/>
          <c:extLst>
            <c:ext xmlns:c16="http://schemas.microsoft.com/office/drawing/2014/chart" uri="{C3380CC4-5D6E-409C-BE32-E72D297353CC}">
              <c16:uniqueId val="{00000000-35C3-47B6-BB48-13904C75BF62}"/>
            </c:ext>
          </c:extLst>
        </c:ser>
        <c:ser>
          <c:idx val="1"/>
          <c:order val="1"/>
          <c:tx>
            <c:strRef>
              <c:f>'unaffrdable housholds'!$BN$70</c:f>
              <c:strCache>
                <c:ptCount val="1"/>
                <c:pt idx="0">
                  <c:v>Min</c:v>
                </c:pt>
              </c:strCache>
            </c:strRef>
          </c:tx>
          <c:spPr>
            <a:ln w="28575" cap="rnd">
              <a:noFill/>
              <a:round/>
            </a:ln>
            <a:effectLst/>
          </c:spPr>
          <c:marker>
            <c:symbol val="none"/>
          </c:marker>
          <c:cat>
            <c:numRef>
              <c:f>'unaffrdable housholds'!$BO$65:$BZ$65</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housholds'!$BO$70:$BZ$70</c:f>
              <c:numCache>
                <c:formatCode>0.0%</c:formatCode>
                <c:ptCount val="12"/>
                <c:pt idx="0">
                  <c:v>2.9513888888888888E-2</c:v>
                </c:pt>
                <c:pt idx="1">
                  <c:v>2.5255562236921228E-2</c:v>
                </c:pt>
                <c:pt idx="2">
                  <c:v>3.7004662004662008E-2</c:v>
                </c:pt>
                <c:pt idx="3">
                  <c:v>3.7609948437973918E-2</c:v>
                </c:pt>
                <c:pt idx="4">
                  <c:v>1.9886363636363636E-2</c:v>
                </c:pt>
                <c:pt idx="5">
                  <c:v>1.7472335468841003E-2</c:v>
                </c:pt>
                <c:pt idx="6">
                  <c:v>1.0465116279069767E-2</c:v>
                </c:pt>
                <c:pt idx="7">
                  <c:v>8.1871345029239772E-3</c:v>
                </c:pt>
                <c:pt idx="8">
                  <c:v>1.2567324955116697E-2</c:v>
                </c:pt>
                <c:pt idx="9">
                  <c:v>1.4285714285714285E-2</c:v>
                </c:pt>
                <c:pt idx="10">
                  <c:v>5.7122198120028923E-2</c:v>
                </c:pt>
                <c:pt idx="11">
                  <c:v>3.9676708302718591E-2</c:v>
                </c:pt>
              </c:numCache>
            </c:numRef>
          </c:val>
          <c:smooth val="0"/>
          <c:extLst>
            <c:ext xmlns:c16="http://schemas.microsoft.com/office/drawing/2014/chart" uri="{C3380CC4-5D6E-409C-BE32-E72D297353CC}">
              <c16:uniqueId val="{00000001-35C3-47B6-BB48-13904C75BF62}"/>
            </c:ext>
          </c:extLst>
        </c:ser>
        <c:ser>
          <c:idx val="2"/>
          <c:order val="2"/>
          <c:tx>
            <c:strRef>
              <c:f>'unaffrdable housholds'!$BN$71</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'unaffrdable housholds'!$BO$65:$BZ$65</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housholds'!$BO$71:$BZ$71</c:f>
              <c:numCache>
                <c:formatCode>0.0%</c:formatCode>
                <c:ptCount val="12"/>
                <c:pt idx="0">
                  <c:v>4.8222091473760352E-2</c:v>
                </c:pt>
                <c:pt idx="1">
                  <c:v>4.455091656894538E-2</c:v>
                </c:pt>
                <c:pt idx="2">
                  <c:v>5.0833081703956833E-2</c:v>
                </c:pt>
                <c:pt idx="3">
                  <c:v>4.1765523084699642E-2</c:v>
                </c:pt>
                <c:pt idx="4">
                  <c:v>2.6109543080365376E-2</c:v>
                </c:pt>
                <c:pt idx="5">
                  <c:v>2.200947806533126E-2</c:v>
                </c:pt>
                <c:pt idx="6">
                  <c:v>1.6431429452091063E-2</c:v>
                </c:pt>
                <c:pt idx="7">
                  <c:v>1.2232126005365072E-2</c:v>
                </c:pt>
                <c:pt idx="8">
                  <c:v>1.4671575714564442E-2</c:v>
                </c:pt>
                <c:pt idx="9">
                  <c:v>1.4655900740789995E-2</c:v>
                </c:pt>
                <c:pt idx="10">
                  <c:v>7.2745794117907187E-2</c:v>
                </c:pt>
                <c:pt idx="11">
                  <c:v>5.7777262622962053E-2</c:v>
                </c:pt>
              </c:numCache>
            </c:numRef>
          </c:val>
          <c:smooth val="0"/>
          <c:extLst>
            <c:ext xmlns:c16="http://schemas.microsoft.com/office/drawing/2014/chart" uri="{C3380CC4-5D6E-409C-BE32-E72D297353CC}">
              <c16:uniqueId val="{00000002-35C3-47B6-BB48-13904C75BF62}"/>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89755968"/>
        <c:axId val="1689759776"/>
      </c:stockChart>
      <c:catAx>
        <c:axId val="168975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59776"/>
        <c:crosses val="autoZero"/>
        <c:auto val="1"/>
        <c:lblAlgn val="ctr"/>
        <c:lblOffset val="100"/>
        <c:noMultiLvlLbl val="0"/>
      </c:catAx>
      <c:valAx>
        <c:axId val="1689759776"/>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55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 </a:t>
            </a:r>
          </a:p>
        </c:rich>
      </c:tx>
      <c:layout>
        <c:manualLayout>
          <c:xMode val="edge"/>
          <c:yMode val="edge"/>
          <c:x val="0.43168341331070992"/>
          <c:y val="4.761904761904761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715678216990554"/>
          <c:y val="0.1920833333333333"/>
          <c:w val="0.7834605017807118"/>
          <c:h val="0.39896747281589806"/>
        </c:manualLayout>
      </c:layout>
      <c:stockChart>
        <c:ser>
          <c:idx val="0"/>
          <c:order val="0"/>
          <c:tx>
            <c:strRef>
              <c:f>'unaffrdable housholds'!$BN$80</c:f>
              <c:strCache>
                <c:ptCount val="1"/>
                <c:pt idx="0">
                  <c:v>Max</c:v>
                </c:pt>
              </c:strCache>
            </c:strRef>
          </c:tx>
          <c:spPr>
            <a:ln w="28575" cap="rnd">
              <a:noFill/>
              <a:round/>
            </a:ln>
            <a:effectLst/>
          </c:spPr>
          <c:marker>
            <c:symbol val="none"/>
          </c:marker>
          <c:cat>
            <c:numRef>
              <c:f>'unaffrdable housholds'!$BO$76:$BZ$76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housholds'!$BO$80:$BZ$80</c:f>
              <c:numCache>
                <c:formatCode>0.0%</c:formatCode>
                <c:ptCount val="12"/>
                <c:pt idx="0">
                  <c:v>0.17153284671532848</c:v>
                </c:pt>
                <c:pt idx="1">
                  <c:v>0.17756466143562918</c:v>
                </c:pt>
                <c:pt idx="2">
                  <c:v>0.13178294573643412</c:v>
                </c:pt>
                <c:pt idx="3">
                  <c:v>0.12294583079732198</c:v>
                </c:pt>
                <c:pt idx="4">
                  <c:v>0.13532934131736526</c:v>
                </c:pt>
                <c:pt idx="5">
                  <c:v>0.10681293302540416</c:v>
                </c:pt>
                <c:pt idx="6">
                  <c:v>8.895348837209302E-2</c:v>
                </c:pt>
                <c:pt idx="7">
                  <c:v>8.2304526748971193E-2</c:v>
                </c:pt>
                <c:pt idx="8">
                  <c:v>8.6828115770821029E-2</c:v>
                </c:pt>
                <c:pt idx="9">
                  <c:v>7.8266104756170976E-2</c:v>
                </c:pt>
                <c:pt idx="10">
                  <c:v>0.20967741935483872</c:v>
                </c:pt>
                <c:pt idx="11">
                  <c:v>0.1278471711976488</c:v>
                </c:pt>
              </c:numCache>
            </c:numRef>
          </c:val>
          <c:smooth val="0"/>
          <c:extLst>
            <c:ext xmlns:c16="http://schemas.microsoft.com/office/drawing/2014/chart" uri="{C3380CC4-5D6E-409C-BE32-E72D297353CC}">
              <c16:uniqueId val="{00000000-E55C-41EC-AD19-7D273253E50B}"/>
            </c:ext>
          </c:extLst>
        </c:ser>
        <c:ser>
          <c:idx val="1"/>
          <c:order val="1"/>
          <c:tx>
            <c:strRef>
              <c:f>'unaffrdable housholds'!$BN$81</c:f>
              <c:strCache>
                <c:ptCount val="1"/>
                <c:pt idx="0">
                  <c:v>Min</c:v>
                </c:pt>
              </c:strCache>
            </c:strRef>
          </c:tx>
          <c:spPr>
            <a:ln w="28575" cap="rnd">
              <a:noFill/>
              <a:round/>
            </a:ln>
            <a:effectLst/>
          </c:spPr>
          <c:marker>
            <c:symbol val="none"/>
          </c:marker>
          <c:cat>
            <c:numRef>
              <c:f>'unaffrdable housholds'!$BO$76:$BZ$76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housholds'!$BO$81:$BZ$81</c:f>
              <c:numCache>
                <c:formatCode>0.0%</c:formatCode>
                <c:ptCount val="12"/>
                <c:pt idx="0">
                  <c:v>0.1054481546572935</c:v>
                </c:pt>
                <c:pt idx="1">
                  <c:v>0.10374050263004091</c:v>
                </c:pt>
                <c:pt idx="2">
                  <c:v>8.5545722713864306E-2</c:v>
                </c:pt>
                <c:pt idx="3">
                  <c:v>7.2490142553836817E-2</c:v>
                </c:pt>
                <c:pt idx="4">
                  <c:v>5.7043073341094298E-2</c:v>
                </c:pt>
                <c:pt idx="5">
                  <c:v>6.0570762958648806E-2</c:v>
                </c:pt>
                <c:pt idx="6">
                  <c:v>3.6972848064702482E-2</c:v>
                </c:pt>
                <c:pt idx="7">
                  <c:v>3.1578947368421054E-2</c:v>
                </c:pt>
                <c:pt idx="8">
                  <c:v>3.7647058823529408E-2</c:v>
                </c:pt>
                <c:pt idx="9">
                  <c:v>2.6785714285714284E-2</c:v>
                </c:pt>
                <c:pt idx="10">
                  <c:v>0.10271041369472182</c:v>
                </c:pt>
                <c:pt idx="11">
                  <c:v>9.6491228070175433E-2</c:v>
                </c:pt>
              </c:numCache>
            </c:numRef>
          </c:val>
          <c:smooth val="0"/>
          <c:extLst>
            <c:ext xmlns:c16="http://schemas.microsoft.com/office/drawing/2014/chart" uri="{C3380CC4-5D6E-409C-BE32-E72D297353CC}">
              <c16:uniqueId val="{00000001-E55C-41EC-AD19-7D273253E50B}"/>
            </c:ext>
          </c:extLst>
        </c:ser>
        <c:ser>
          <c:idx val="2"/>
          <c:order val="2"/>
          <c:tx>
            <c:strRef>
              <c:f>'unaffrdable housholds'!$BN$82</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'unaffrdable housholds'!$BO$76:$BZ$76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housholds'!$BO$82:$BZ$82</c:f>
              <c:numCache>
                <c:formatCode>0.0%</c:formatCode>
                <c:ptCount val="12"/>
                <c:pt idx="0">
                  <c:v>0.13188045657211173</c:v>
                </c:pt>
                <c:pt idx="1">
                  <c:v>0.13151606134957844</c:v>
                </c:pt>
                <c:pt idx="2">
                  <c:v>0.10967078269622928</c:v>
                </c:pt>
                <c:pt idx="3">
                  <c:v>0.10041925875097761</c:v>
                </c:pt>
                <c:pt idx="4">
                  <c:v>9.0932505468117042E-2</c:v>
                </c:pt>
                <c:pt idx="5">
                  <c:v>8.4621181433930812E-2</c:v>
                </c:pt>
                <c:pt idx="6">
                  <c:v>6.0396471642557625E-2</c:v>
                </c:pt>
                <c:pt idx="7">
                  <c:v>5.41896095073192E-2</c:v>
                </c:pt>
                <c:pt idx="8">
                  <c:v>6.2901666201340828E-2</c:v>
                </c:pt>
                <c:pt idx="9">
                  <c:v>5.6177420546785845E-2</c:v>
                </c:pt>
                <c:pt idx="10">
                  <c:v>0.15396915321995494</c:v>
                </c:pt>
                <c:pt idx="11">
                  <c:v>0.1130994456618956</c:v>
                </c:pt>
              </c:numCache>
            </c:numRef>
          </c:val>
          <c:smooth val="0"/>
          <c:extLst>
            <c:ext xmlns:c16="http://schemas.microsoft.com/office/drawing/2014/chart" uri="{C3380CC4-5D6E-409C-BE32-E72D297353CC}">
              <c16:uniqueId val="{00000002-E55C-41EC-AD19-7D273253E50B}"/>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89761408"/>
        <c:axId val="1689764672"/>
      </c:stockChart>
      <c:catAx>
        <c:axId val="168976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64672"/>
        <c:crosses val="autoZero"/>
        <c:auto val="1"/>
        <c:lblAlgn val="ctr"/>
        <c:lblOffset val="100"/>
        <c:noMultiLvlLbl val="0"/>
      </c:catAx>
      <c:valAx>
        <c:axId val="1689764672"/>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61408"/>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layout>
        <c:manualLayout>
          <c:xMode val="edge"/>
          <c:yMode val="edge"/>
          <c:x val="0.43724569489789378"/>
          <c:y val="4.870624048706240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'unaffrdable housholds'!$BN$77</c:f>
              <c:strCache>
                <c:ptCount val="1"/>
                <c:pt idx="0">
                  <c:v>Max</c:v>
                </c:pt>
              </c:strCache>
            </c:strRef>
          </c:tx>
          <c:spPr>
            <a:ln w="28575" cap="rnd">
              <a:noFill/>
              <a:round/>
            </a:ln>
            <a:effectLst/>
          </c:spPr>
          <c:marker>
            <c:symbol val="none"/>
          </c:marker>
          <c:cat>
            <c:numRef>
              <c:f>'unaffrdable housholds'!$BO$76:$BZ$76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housholds'!$BO$77:$BZ$77</c:f>
              <c:numCache>
                <c:formatCode>0.0%</c:formatCode>
                <c:ptCount val="12"/>
                <c:pt idx="0">
                  <c:v>0.33900000000000002</c:v>
                </c:pt>
                <c:pt idx="1">
                  <c:v>0.30230230230230232</c:v>
                </c:pt>
                <c:pt idx="2">
                  <c:v>0.26771653543307089</c:v>
                </c:pt>
                <c:pt idx="3">
                  <c:v>0.23336457357075913</c:v>
                </c:pt>
                <c:pt idx="4">
                  <c:v>0.24814126394052044</c:v>
                </c:pt>
                <c:pt idx="5">
                  <c:v>0.27412082957619477</c:v>
                </c:pt>
                <c:pt idx="6">
                  <c:v>0.2158760890609874</c:v>
                </c:pt>
                <c:pt idx="7">
                  <c:v>0.21743119266055047</c:v>
                </c:pt>
                <c:pt idx="8">
                  <c:v>0.22981956315289648</c:v>
                </c:pt>
                <c:pt idx="9">
                  <c:v>0.22382324687800192</c:v>
                </c:pt>
                <c:pt idx="10">
                  <c:v>0.31479140328697852</c:v>
                </c:pt>
                <c:pt idx="11">
                  <c:v>0.28512396694214875</c:v>
                </c:pt>
              </c:numCache>
            </c:numRef>
          </c:val>
          <c:smooth val="0"/>
          <c:extLst>
            <c:ext xmlns:c16="http://schemas.microsoft.com/office/drawing/2014/chart" uri="{C3380CC4-5D6E-409C-BE32-E72D297353CC}">
              <c16:uniqueId val="{00000000-C2A0-41C8-9CD9-591D2BD04EBB}"/>
            </c:ext>
          </c:extLst>
        </c:ser>
        <c:ser>
          <c:idx val="1"/>
          <c:order val="1"/>
          <c:tx>
            <c:strRef>
              <c:f>'unaffrdable housholds'!$BN$78</c:f>
              <c:strCache>
                <c:ptCount val="1"/>
                <c:pt idx="0">
                  <c:v>Min</c:v>
                </c:pt>
              </c:strCache>
            </c:strRef>
          </c:tx>
          <c:spPr>
            <a:ln w="28575" cap="rnd">
              <a:noFill/>
              <a:round/>
            </a:ln>
            <a:effectLst/>
          </c:spPr>
          <c:marker>
            <c:symbol val="none"/>
          </c:marker>
          <c:cat>
            <c:numRef>
              <c:f>'unaffrdable housholds'!$BO$76:$BZ$76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housholds'!$BO$78:$BZ$78</c:f>
              <c:numCache>
                <c:formatCode>0.0%</c:formatCode>
                <c:ptCount val="12"/>
                <c:pt idx="0">
                  <c:v>0.26342451874366768</c:v>
                </c:pt>
                <c:pt idx="1">
                  <c:v>0.20916334661354583</c:v>
                </c:pt>
                <c:pt idx="2">
                  <c:v>0.18398058252427185</c:v>
                </c:pt>
                <c:pt idx="3">
                  <c:v>0.16815920398009951</c:v>
                </c:pt>
                <c:pt idx="4">
                  <c:v>0.17346938775510204</c:v>
                </c:pt>
                <c:pt idx="5">
                  <c:v>0.16241737488196412</c:v>
                </c:pt>
                <c:pt idx="6">
                  <c:v>0.16153846153846155</c:v>
                </c:pt>
                <c:pt idx="7">
                  <c:v>0.16965127238454289</c:v>
                </c:pt>
                <c:pt idx="8">
                  <c:v>0.1487758945386064</c:v>
                </c:pt>
                <c:pt idx="9">
                  <c:v>0.1603960396039604</c:v>
                </c:pt>
                <c:pt idx="10">
                  <c:v>0.21300138312586445</c:v>
                </c:pt>
                <c:pt idx="11">
                  <c:v>0.18576779026217227</c:v>
                </c:pt>
              </c:numCache>
            </c:numRef>
          </c:val>
          <c:smooth val="0"/>
          <c:extLst>
            <c:ext xmlns:c16="http://schemas.microsoft.com/office/drawing/2014/chart" uri="{C3380CC4-5D6E-409C-BE32-E72D297353CC}">
              <c16:uniqueId val="{00000001-C2A0-41C8-9CD9-591D2BD04EBB}"/>
            </c:ext>
          </c:extLst>
        </c:ser>
        <c:ser>
          <c:idx val="2"/>
          <c:order val="2"/>
          <c:tx>
            <c:strRef>
              <c:f>'unaffrdable housholds'!$BN$79</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'unaffrdable housholds'!$BO$76:$BZ$76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'unaffrdable housholds'!$BO$79:$BZ$79</c:f>
              <c:numCache>
                <c:formatCode>0.0%</c:formatCode>
                <c:ptCount val="12"/>
                <c:pt idx="0">
                  <c:v>0.30562298040658614</c:v>
                </c:pt>
                <c:pt idx="1">
                  <c:v>0.25524762299234038</c:v>
                </c:pt>
                <c:pt idx="2">
                  <c:v>0.2204622776648551</c:v>
                </c:pt>
                <c:pt idx="3">
                  <c:v>0.2000455133874271</c:v>
                </c:pt>
                <c:pt idx="4">
                  <c:v>0.21222427846798347</c:v>
                </c:pt>
                <c:pt idx="5">
                  <c:v>0.20770517816957798</c:v>
                </c:pt>
                <c:pt idx="6">
                  <c:v>0.18434504658457013</c:v>
                </c:pt>
                <c:pt idx="7">
                  <c:v>0.18474539638501442</c:v>
                </c:pt>
                <c:pt idx="8">
                  <c:v>0.18615146925268641</c:v>
                </c:pt>
                <c:pt idx="9">
                  <c:v>0.18578014233218917</c:v>
                </c:pt>
                <c:pt idx="10">
                  <c:v>0.25771732600087693</c:v>
                </c:pt>
                <c:pt idx="11">
                  <c:v>0.2262177357149312</c:v>
                </c:pt>
              </c:numCache>
            </c:numRef>
          </c:val>
          <c:smooth val="0"/>
          <c:extLst>
            <c:ext xmlns:c16="http://schemas.microsoft.com/office/drawing/2014/chart" uri="{C3380CC4-5D6E-409C-BE32-E72D297353CC}">
              <c16:uniqueId val="{00000002-C2A0-41C8-9CD9-591D2BD04EBB}"/>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89754336"/>
        <c:axId val="1689754880"/>
      </c:stockChart>
      <c:catAx>
        <c:axId val="1689754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54880"/>
        <c:crosses val="autoZero"/>
        <c:auto val="1"/>
        <c:lblAlgn val="ctr"/>
        <c:lblOffset val="100"/>
        <c:noMultiLvlLbl val="0"/>
      </c:catAx>
      <c:valAx>
        <c:axId val="16897548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9754336"/>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lineChart>
        <c:grouping val="stacked"/>
        <c:varyColors val="0"/>
        <c:ser>
          <c:idx val="0"/>
          <c:order val="0"/>
          <c:tx>
            <c:strRef>
              <c:f>Sheet1!$A$2</c:f>
              <c:strCache>
                <c:ptCount val="1"/>
                <c:pt idx="0">
                  <c:v>Cases</c:v>
                </c:pt>
              </c:strCache>
            </c:strRef>
          </c:tx>
          <c:spPr>
            <a:ln w="28575" cap="rnd">
              <a:solidFill>
                <a:schemeClr val="accent1">
                  <a:shade val="76000"/>
                </a:schemeClr>
              </a:solidFill>
              <a:round/>
            </a:ln>
            <a:effectLst/>
          </c:spPr>
          <c:marker>
            <c:symbol val="circle"/>
            <c:size val="5"/>
            <c:spPr>
              <a:solidFill>
                <a:schemeClr val="accent1">
                  <a:shade val="76000"/>
                </a:schemeClr>
              </a:solidFill>
              <a:ln w="9525">
                <a:solidFill>
                  <a:schemeClr val="accent1">
                    <a:shade val="76000"/>
                  </a:schemeClr>
                </a:solidFill>
              </a:ln>
              <a:effectLst/>
            </c:spPr>
          </c:marker>
          <c:cat>
            <c:numRef>
              <c:f>Sheet1!$B$1:$E$1</c:f>
              <c:numCache>
                <c:formatCode>General</c:formatCode>
                <c:ptCount val="4"/>
                <c:pt idx="0">
                  <c:v>2015</c:v>
                </c:pt>
                <c:pt idx="1">
                  <c:v>2016</c:v>
                </c:pt>
                <c:pt idx="2">
                  <c:v>2017</c:v>
                </c:pt>
                <c:pt idx="3">
                  <c:v>2018</c:v>
                </c:pt>
              </c:numCache>
            </c:numRef>
          </c:cat>
          <c:val>
            <c:numRef>
              <c:f>Sheet1!$B$2:$E$2</c:f>
              <c:numCache>
                <c:formatCode>General</c:formatCode>
                <c:ptCount val="4"/>
                <c:pt idx="0">
                  <c:v>2722</c:v>
                </c:pt>
                <c:pt idx="1">
                  <c:v>3089</c:v>
                </c:pt>
                <c:pt idx="2">
                  <c:v>4370</c:v>
                </c:pt>
                <c:pt idx="3">
                  <c:v>7646</c:v>
                </c:pt>
              </c:numCache>
            </c:numRef>
          </c:val>
          <c:smooth val="0"/>
          <c:extLst>
            <c:ext xmlns:c16="http://schemas.microsoft.com/office/drawing/2014/chart" uri="{C3380CC4-5D6E-409C-BE32-E72D297353CC}">
              <c16:uniqueId val="{00000000-1C3D-423E-8577-9E70D9CDD043}"/>
            </c:ext>
          </c:extLst>
        </c:ser>
        <c:dLbls>
          <c:showLegendKey val="0"/>
          <c:showVal val="0"/>
          <c:showCatName val="0"/>
          <c:showSerName val="0"/>
          <c:showPercent val="0"/>
          <c:showBubbleSize val="0"/>
        </c:dLbls>
        <c:marker val="1"/>
        <c:smooth val="0"/>
        <c:axId val="1718777968"/>
        <c:axId val="1718788304"/>
      </c:lineChart>
      <c:lineChart>
        <c:grouping val="stacked"/>
        <c:varyColors val="0"/>
        <c:ser>
          <c:idx val="1"/>
          <c:order val="1"/>
          <c:tx>
            <c:strRef>
              <c:f>Sheet1!$A$3</c:f>
              <c:strCache>
                <c:ptCount val="1"/>
                <c:pt idx="0">
                  <c:v>Victims</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cat>
            <c:numRef>
              <c:f>Sheet1!$B$1:$E$1</c:f>
              <c:numCache>
                <c:formatCode>General</c:formatCode>
                <c:ptCount val="4"/>
                <c:pt idx="0">
                  <c:v>2015</c:v>
                </c:pt>
                <c:pt idx="1">
                  <c:v>2016</c:v>
                </c:pt>
                <c:pt idx="2">
                  <c:v>2017</c:v>
                </c:pt>
                <c:pt idx="3">
                  <c:v>2018</c:v>
                </c:pt>
              </c:numCache>
            </c:numRef>
          </c:cat>
          <c:val>
            <c:numRef>
              <c:f>Sheet1!$B$3:$E$3</c:f>
              <c:numCache>
                <c:formatCode>General</c:formatCode>
                <c:ptCount val="4"/>
                <c:pt idx="0">
                  <c:v>2638</c:v>
                </c:pt>
                <c:pt idx="1">
                  <c:v>3002</c:v>
                </c:pt>
                <c:pt idx="2">
                  <c:v>4096</c:v>
                </c:pt>
                <c:pt idx="3">
                  <c:v>6893</c:v>
                </c:pt>
              </c:numCache>
            </c:numRef>
          </c:val>
          <c:smooth val="0"/>
          <c:extLst>
            <c:ext xmlns:c16="http://schemas.microsoft.com/office/drawing/2014/chart" uri="{C3380CC4-5D6E-409C-BE32-E72D297353CC}">
              <c16:uniqueId val="{00000001-1C3D-423E-8577-9E70D9CDD043}"/>
            </c:ext>
          </c:extLst>
        </c:ser>
        <c:dLbls>
          <c:showLegendKey val="0"/>
          <c:showVal val="0"/>
          <c:showCatName val="0"/>
          <c:showSerName val="0"/>
          <c:showPercent val="0"/>
          <c:showBubbleSize val="0"/>
        </c:dLbls>
        <c:marker val="1"/>
        <c:smooth val="0"/>
        <c:axId val="1718776336"/>
        <c:axId val="1718776880"/>
      </c:lineChart>
      <c:valAx>
        <c:axId val="1718788304"/>
        <c:scaling>
          <c:orientation val="minMax"/>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Victims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77968"/>
        <c:crosses val="max"/>
        <c:crossBetween val="between"/>
      </c:valAx>
      <c:catAx>
        <c:axId val="171877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8304"/>
        <c:crosses val="autoZero"/>
        <c:auto val="1"/>
        <c:lblAlgn val="ctr"/>
        <c:lblOffset val="100"/>
        <c:noMultiLvlLbl val="0"/>
      </c:catAx>
      <c:valAx>
        <c:axId val="17187768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Cases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76336"/>
        <c:crosses val="autoZero"/>
        <c:crossBetween val="between"/>
      </c:valAx>
      <c:catAx>
        <c:axId val="1718776336"/>
        <c:scaling>
          <c:orientation val="minMax"/>
        </c:scaling>
        <c:delete val="1"/>
        <c:axPos val="b"/>
        <c:numFmt formatCode="General" sourceLinked="1"/>
        <c:majorTickMark val="none"/>
        <c:minorTickMark val="none"/>
        <c:tickLblPos val="nextTo"/>
        <c:crossAx val="1718776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80201378336482"/>
          <c:y val="4.1374912881652508E-2"/>
          <c:w val="0.93201285184179561"/>
          <c:h val="0.64823155619479456"/>
        </c:manualLayout>
      </c:layout>
      <c:lineChart>
        <c:grouping val="standard"/>
        <c:varyColors val="0"/>
        <c:ser>
          <c:idx val="0"/>
          <c:order val="0"/>
          <c:tx>
            <c:strRef>
              <c:f>'Domestic and Foreign Mortga (2'!$B$15</c:f>
              <c:strCache>
                <c:ptCount val="1"/>
                <c:pt idx="0">
                  <c:v>National Currency (5-10 years)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'Domestic and Foreign Mortga (2'!$C$1:$AO$1</c:f>
              <c:numCache>
                <c:formatCode>[$-409]mmm\-yy;@</c:formatCode>
                <c:ptCount val="39"/>
                <c:pt idx="0">
                  <c:v>42308</c:v>
                </c:pt>
                <c:pt idx="1">
                  <c:v>42338</c:v>
                </c:pt>
                <c:pt idx="2">
                  <c:v>42353</c:v>
                </c:pt>
                <c:pt idx="3">
                  <c:v>42400</c:v>
                </c:pt>
                <c:pt idx="4">
                  <c:v>42429</c:v>
                </c:pt>
                <c:pt idx="5">
                  <c:v>42460</c:v>
                </c:pt>
                <c:pt idx="6">
                  <c:v>42490</c:v>
                </c:pt>
                <c:pt idx="7">
                  <c:v>42521</c:v>
                </c:pt>
                <c:pt idx="8">
                  <c:v>42551</c:v>
                </c:pt>
                <c:pt idx="9">
                  <c:v>42582</c:v>
                </c:pt>
                <c:pt idx="10">
                  <c:v>42613</c:v>
                </c:pt>
                <c:pt idx="11">
                  <c:v>42643</c:v>
                </c:pt>
                <c:pt idx="12">
                  <c:v>42674</c:v>
                </c:pt>
                <c:pt idx="13">
                  <c:v>42704</c:v>
                </c:pt>
                <c:pt idx="14">
                  <c:v>42735</c:v>
                </c:pt>
                <c:pt idx="15">
                  <c:v>42766</c:v>
                </c:pt>
                <c:pt idx="16">
                  <c:v>42794</c:v>
                </c:pt>
                <c:pt idx="17">
                  <c:v>42825</c:v>
                </c:pt>
                <c:pt idx="18">
                  <c:v>42855</c:v>
                </c:pt>
                <c:pt idx="19">
                  <c:v>42886</c:v>
                </c:pt>
                <c:pt idx="20">
                  <c:v>42916</c:v>
                </c:pt>
                <c:pt idx="21">
                  <c:v>42947</c:v>
                </c:pt>
                <c:pt idx="22">
                  <c:v>42978</c:v>
                </c:pt>
                <c:pt idx="23">
                  <c:v>43008</c:v>
                </c:pt>
                <c:pt idx="24">
                  <c:v>43039</c:v>
                </c:pt>
                <c:pt idx="25">
                  <c:v>43069</c:v>
                </c:pt>
                <c:pt idx="26">
                  <c:v>43100</c:v>
                </c:pt>
                <c:pt idx="27">
                  <c:v>43131</c:v>
                </c:pt>
                <c:pt idx="28">
                  <c:v>43159</c:v>
                </c:pt>
                <c:pt idx="29">
                  <c:v>43190</c:v>
                </c:pt>
                <c:pt idx="30">
                  <c:v>43220</c:v>
                </c:pt>
                <c:pt idx="31">
                  <c:v>43251</c:v>
                </c:pt>
                <c:pt idx="32">
                  <c:v>43281</c:v>
                </c:pt>
                <c:pt idx="33">
                  <c:v>43312</c:v>
                </c:pt>
                <c:pt idx="34">
                  <c:v>43343</c:v>
                </c:pt>
                <c:pt idx="35">
                  <c:v>43373</c:v>
                </c:pt>
                <c:pt idx="36">
                  <c:v>43404</c:v>
                </c:pt>
                <c:pt idx="37">
                  <c:v>43434</c:v>
                </c:pt>
                <c:pt idx="38">
                  <c:v>43465</c:v>
                </c:pt>
              </c:numCache>
            </c:numRef>
          </c:cat>
          <c:val>
            <c:numRef>
              <c:f>'Domestic and Foreign Mortga (2'!$C$15:$AO$15</c:f>
              <c:numCache>
                <c:formatCode>0%</c:formatCode>
                <c:ptCount val="39"/>
                <c:pt idx="0">
                  <c:v>0.14893400000000001</c:v>
                </c:pt>
                <c:pt idx="1">
                  <c:v>0.16010000000000002</c:v>
                </c:pt>
                <c:pt idx="2">
                  <c:v>0.1396</c:v>
                </c:pt>
                <c:pt idx="3">
                  <c:v>0.13009999999999999</c:v>
                </c:pt>
                <c:pt idx="4">
                  <c:v>0.1613</c:v>
                </c:pt>
                <c:pt idx="5">
                  <c:v>0.159</c:v>
                </c:pt>
                <c:pt idx="6">
                  <c:v>0.1656</c:v>
                </c:pt>
                <c:pt idx="7">
                  <c:v>0.15740000000000001</c:v>
                </c:pt>
                <c:pt idx="8">
                  <c:v>0.11800000000000001</c:v>
                </c:pt>
                <c:pt idx="9">
                  <c:v>0.1065</c:v>
                </c:pt>
                <c:pt idx="10">
                  <c:v>0.10589999999999999</c:v>
                </c:pt>
                <c:pt idx="11">
                  <c:v>0.10400000000000001</c:v>
                </c:pt>
                <c:pt idx="12">
                  <c:v>0.1007</c:v>
                </c:pt>
                <c:pt idx="13">
                  <c:v>9.9900000000000003E-2</c:v>
                </c:pt>
                <c:pt idx="14">
                  <c:v>9.7799999999999998E-2</c:v>
                </c:pt>
                <c:pt idx="15">
                  <c:v>0.10730000000000001</c:v>
                </c:pt>
                <c:pt idx="16">
                  <c:v>0.1082</c:v>
                </c:pt>
                <c:pt idx="17">
                  <c:v>0.1051</c:v>
                </c:pt>
                <c:pt idx="18">
                  <c:v>0.1099</c:v>
                </c:pt>
                <c:pt idx="19">
                  <c:v>0.1157</c:v>
                </c:pt>
                <c:pt idx="20">
                  <c:v>0.11939999999999999</c:v>
                </c:pt>
                <c:pt idx="21">
                  <c:v>0.11890000000000001</c:v>
                </c:pt>
                <c:pt idx="22">
                  <c:v>0.1208</c:v>
                </c:pt>
                <c:pt idx="23">
                  <c:v>0.1201</c:v>
                </c:pt>
                <c:pt idx="24">
                  <c:v>0.1216</c:v>
                </c:pt>
                <c:pt idx="25">
                  <c:v>0.1231</c:v>
                </c:pt>
                <c:pt idx="26">
                  <c:v>0.12609999999999999</c:v>
                </c:pt>
                <c:pt idx="27">
                  <c:v>0.12330000000000001</c:v>
                </c:pt>
                <c:pt idx="28">
                  <c:v>0.1244</c:v>
                </c:pt>
                <c:pt idx="29">
                  <c:v>0.12529999999999999</c:v>
                </c:pt>
                <c:pt idx="30">
                  <c:v>0.12560000000000002</c:v>
                </c:pt>
                <c:pt idx="31">
                  <c:v>0.128</c:v>
                </c:pt>
                <c:pt idx="32">
                  <c:v>0.12670000000000001</c:v>
                </c:pt>
                <c:pt idx="33">
                  <c:v>0.12720000000000001</c:v>
                </c:pt>
                <c:pt idx="34">
                  <c:v>0.12570000000000001</c:v>
                </c:pt>
                <c:pt idx="35">
                  <c:v>0.12590000000000001</c:v>
                </c:pt>
                <c:pt idx="36">
                  <c:v>0.1232</c:v>
                </c:pt>
                <c:pt idx="37">
                  <c:v>0.1234</c:v>
                </c:pt>
                <c:pt idx="38">
                  <c:v>0.12240000000000001</c:v>
                </c:pt>
              </c:numCache>
            </c:numRef>
          </c:val>
          <c:smooth val="0"/>
          <c:extLst>
            <c:ext xmlns:c16="http://schemas.microsoft.com/office/drawing/2014/chart" uri="{C3380CC4-5D6E-409C-BE32-E72D297353CC}">
              <c16:uniqueId val="{00000000-5F75-4D79-8A60-4093BB945912}"/>
            </c:ext>
          </c:extLst>
        </c:ser>
        <c:ser>
          <c:idx val="1"/>
          <c:order val="1"/>
          <c:tx>
            <c:strRef>
              <c:f>'Domestic and Foreign Mortga (2'!$B$16</c:f>
              <c:strCache>
                <c:ptCount val="1"/>
                <c:pt idx="0">
                  <c:v>National Currency ( 10 years)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cat>
            <c:numRef>
              <c:f>'Domestic and Foreign Mortga (2'!$C$1:$AO$1</c:f>
              <c:numCache>
                <c:formatCode>[$-409]mmm\-yy;@</c:formatCode>
                <c:ptCount val="39"/>
                <c:pt idx="0">
                  <c:v>42308</c:v>
                </c:pt>
                <c:pt idx="1">
                  <c:v>42338</c:v>
                </c:pt>
                <c:pt idx="2">
                  <c:v>42353</c:v>
                </c:pt>
                <c:pt idx="3">
                  <c:v>42400</c:v>
                </c:pt>
                <c:pt idx="4">
                  <c:v>42429</c:v>
                </c:pt>
                <c:pt idx="5">
                  <c:v>42460</c:v>
                </c:pt>
                <c:pt idx="6">
                  <c:v>42490</c:v>
                </c:pt>
                <c:pt idx="7">
                  <c:v>42521</c:v>
                </c:pt>
                <c:pt idx="8">
                  <c:v>42551</c:v>
                </c:pt>
                <c:pt idx="9">
                  <c:v>42582</c:v>
                </c:pt>
                <c:pt idx="10">
                  <c:v>42613</c:v>
                </c:pt>
                <c:pt idx="11">
                  <c:v>42643</c:v>
                </c:pt>
                <c:pt idx="12">
                  <c:v>42674</c:v>
                </c:pt>
                <c:pt idx="13">
                  <c:v>42704</c:v>
                </c:pt>
                <c:pt idx="14">
                  <c:v>42735</c:v>
                </c:pt>
                <c:pt idx="15">
                  <c:v>42766</c:v>
                </c:pt>
                <c:pt idx="16">
                  <c:v>42794</c:v>
                </c:pt>
                <c:pt idx="17">
                  <c:v>42825</c:v>
                </c:pt>
                <c:pt idx="18">
                  <c:v>42855</c:v>
                </c:pt>
                <c:pt idx="19">
                  <c:v>42886</c:v>
                </c:pt>
                <c:pt idx="20">
                  <c:v>42916</c:v>
                </c:pt>
                <c:pt idx="21">
                  <c:v>42947</c:v>
                </c:pt>
                <c:pt idx="22">
                  <c:v>42978</c:v>
                </c:pt>
                <c:pt idx="23">
                  <c:v>43008</c:v>
                </c:pt>
                <c:pt idx="24">
                  <c:v>43039</c:v>
                </c:pt>
                <c:pt idx="25">
                  <c:v>43069</c:v>
                </c:pt>
                <c:pt idx="26">
                  <c:v>43100</c:v>
                </c:pt>
                <c:pt idx="27">
                  <c:v>43131</c:v>
                </c:pt>
                <c:pt idx="28">
                  <c:v>43159</c:v>
                </c:pt>
                <c:pt idx="29">
                  <c:v>43190</c:v>
                </c:pt>
                <c:pt idx="30">
                  <c:v>43220</c:v>
                </c:pt>
                <c:pt idx="31">
                  <c:v>43251</c:v>
                </c:pt>
                <c:pt idx="32">
                  <c:v>43281</c:v>
                </c:pt>
                <c:pt idx="33">
                  <c:v>43312</c:v>
                </c:pt>
                <c:pt idx="34">
                  <c:v>43343</c:v>
                </c:pt>
                <c:pt idx="35">
                  <c:v>43373</c:v>
                </c:pt>
                <c:pt idx="36">
                  <c:v>43404</c:v>
                </c:pt>
                <c:pt idx="37">
                  <c:v>43434</c:v>
                </c:pt>
                <c:pt idx="38">
                  <c:v>43465</c:v>
                </c:pt>
              </c:numCache>
            </c:numRef>
          </c:cat>
          <c:val>
            <c:numRef>
              <c:f>'Domestic and Foreign Mortga (2'!$C$16:$AO$16</c:f>
              <c:numCache>
                <c:formatCode>0%</c:formatCode>
                <c:ptCount val="39"/>
                <c:pt idx="0">
                  <c:v>0.142267</c:v>
                </c:pt>
                <c:pt idx="1">
                  <c:v>0.1472</c:v>
                </c:pt>
                <c:pt idx="2">
                  <c:v>0.13669999999999999</c:v>
                </c:pt>
                <c:pt idx="3">
                  <c:v>0.15710000000000002</c:v>
                </c:pt>
                <c:pt idx="4">
                  <c:v>0.12509999999999999</c:v>
                </c:pt>
                <c:pt idx="5">
                  <c:v>0.1434</c:v>
                </c:pt>
                <c:pt idx="6">
                  <c:v>0.151</c:v>
                </c:pt>
                <c:pt idx="7">
                  <c:v>0.15789999999999998</c:v>
                </c:pt>
                <c:pt idx="8">
                  <c:v>0.1051</c:v>
                </c:pt>
                <c:pt idx="9">
                  <c:v>0.10060000000000001</c:v>
                </c:pt>
                <c:pt idx="10">
                  <c:v>9.5299999999999996E-2</c:v>
                </c:pt>
                <c:pt idx="11">
                  <c:v>0.1014</c:v>
                </c:pt>
                <c:pt idx="12">
                  <c:v>9.9000000000000005E-2</c:v>
                </c:pt>
                <c:pt idx="13">
                  <c:v>9.5700000000000007E-2</c:v>
                </c:pt>
                <c:pt idx="14">
                  <c:v>9.6600000000000005E-2</c:v>
                </c:pt>
                <c:pt idx="15">
                  <c:v>0.1047</c:v>
                </c:pt>
                <c:pt idx="16">
                  <c:v>0.1082</c:v>
                </c:pt>
                <c:pt idx="17">
                  <c:v>0.1051</c:v>
                </c:pt>
                <c:pt idx="18">
                  <c:v>0.1096</c:v>
                </c:pt>
                <c:pt idx="19">
                  <c:v>0.11470000000000001</c:v>
                </c:pt>
                <c:pt idx="20">
                  <c:v>0.11810000000000001</c:v>
                </c:pt>
                <c:pt idx="21">
                  <c:v>0.1166</c:v>
                </c:pt>
                <c:pt idx="22">
                  <c:v>0.11609999999999999</c:v>
                </c:pt>
                <c:pt idx="23">
                  <c:v>0.11650000000000001</c:v>
                </c:pt>
                <c:pt idx="24">
                  <c:v>0.1157</c:v>
                </c:pt>
                <c:pt idx="25">
                  <c:v>0.11810000000000001</c:v>
                </c:pt>
                <c:pt idx="26">
                  <c:v>0.1206</c:v>
                </c:pt>
                <c:pt idx="27">
                  <c:v>0.122</c:v>
                </c:pt>
                <c:pt idx="28">
                  <c:v>0.1216</c:v>
                </c:pt>
                <c:pt idx="29">
                  <c:v>0.12189999999999999</c:v>
                </c:pt>
                <c:pt idx="30">
                  <c:v>0.1232</c:v>
                </c:pt>
                <c:pt idx="31">
                  <c:v>0.12330000000000001</c:v>
                </c:pt>
                <c:pt idx="32">
                  <c:v>0.12509999999999999</c:v>
                </c:pt>
                <c:pt idx="33">
                  <c:v>0.12369999999999999</c:v>
                </c:pt>
                <c:pt idx="34">
                  <c:v>0.12210000000000001</c:v>
                </c:pt>
                <c:pt idx="35">
                  <c:v>0.1231</c:v>
                </c:pt>
                <c:pt idx="36">
                  <c:v>0.12240000000000001</c:v>
                </c:pt>
                <c:pt idx="37">
                  <c:v>0.12380000000000001</c:v>
                </c:pt>
                <c:pt idx="38">
                  <c:v>0.11849999999999999</c:v>
                </c:pt>
              </c:numCache>
            </c:numRef>
          </c:val>
          <c:smooth val="0"/>
          <c:extLst>
            <c:ext xmlns:c16="http://schemas.microsoft.com/office/drawing/2014/chart" uri="{C3380CC4-5D6E-409C-BE32-E72D297353CC}">
              <c16:uniqueId val="{00000002-5F75-4D79-8A60-4093BB945912}"/>
            </c:ext>
          </c:extLst>
        </c:ser>
        <c:dLbls>
          <c:showLegendKey val="0"/>
          <c:showVal val="0"/>
          <c:showCatName val="0"/>
          <c:showSerName val="0"/>
          <c:showPercent val="0"/>
          <c:showBubbleSize val="0"/>
        </c:dLbls>
        <c:marker val="1"/>
        <c:smooth val="0"/>
        <c:axId val="1804775840"/>
        <c:axId val="1804798144"/>
      </c:lineChart>
      <c:dateAx>
        <c:axId val="1804775840"/>
        <c:scaling>
          <c:orientation val="minMax"/>
        </c:scaling>
        <c:delete val="0"/>
        <c:axPos val="b"/>
        <c:numFmt formatCode="[$-409]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8144"/>
        <c:crosses val="autoZero"/>
        <c:auto val="1"/>
        <c:lblOffset val="100"/>
        <c:baseTimeUnit val="days"/>
      </c:dateAx>
      <c:valAx>
        <c:axId val="1804798144"/>
        <c:scaling>
          <c:orientation val="minMax"/>
          <c:max val="0.18000000000000002"/>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75840"/>
        <c:crosses val="autoZero"/>
        <c:crossBetween val="between"/>
      </c:valAx>
      <c:spPr>
        <a:noFill/>
        <a:ln>
          <a:noFill/>
        </a:ln>
        <a:effectLst/>
      </c:spPr>
    </c:plotArea>
    <c:legend>
      <c:legendPos val="b"/>
      <c:layout>
        <c:manualLayout>
          <c:xMode val="edge"/>
          <c:yMode val="edge"/>
          <c:x val="0"/>
          <c:y val="0.83885403039353623"/>
          <c:w val="1"/>
          <c:h val="0.1563645396060508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'Unfitfit housholds'!$BN$77</c:f>
              <c:strCache>
                <c:ptCount val="1"/>
                <c:pt idx="0">
                  <c:v>Max</c:v>
                </c:pt>
              </c:strCache>
            </c:strRef>
          </c:tx>
          <c:spPr>
            <a:ln w="28575" cap="rnd">
              <a:noFill/>
              <a:round/>
            </a:ln>
            <a:effectLst/>
          </c:spPr>
          <c:marker>
            <c:symbol val="none"/>
          </c:marker>
          <c:cat>
            <c:numRef>
              <c:f>'Unfitfit housholds'!$BO$73:$BZ$73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'Unfitfit housholds'!$BO$77:$BZ$77</c:f>
              <c:numCache>
                <c:formatCode>0.0%</c:formatCode>
                <c:ptCount val="12"/>
                <c:pt idx="0">
                  <c:v>3.2220269478617461E-2</c:v>
                </c:pt>
                <c:pt idx="1">
                  <c:v>3.2471437161755864E-2</c:v>
                </c:pt>
                <c:pt idx="2">
                  <c:v>2.5368731563421829E-2</c:v>
                </c:pt>
                <c:pt idx="3">
                  <c:v>4.5343883140596467E-2</c:v>
                </c:pt>
                <c:pt idx="4">
                  <c:v>4.8502994011976046E-2</c:v>
                </c:pt>
                <c:pt idx="5">
                  <c:v>2.7136258660508082E-2</c:v>
                </c:pt>
                <c:pt idx="6">
                  <c:v>1.6393442622950821E-2</c:v>
                </c:pt>
                <c:pt idx="7">
                  <c:v>4.0935672514619886E-3</c:v>
                </c:pt>
                <c:pt idx="8">
                  <c:v>4.7058823529411761E-3</c:v>
                </c:pt>
                <c:pt idx="9">
                  <c:v>6.6225165562913907E-3</c:v>
                </c:pt>
                <c:pt idx="10">
                  <c:v>9.0972708187543744E-3</c:v>
                </c:pt>
                <c:pt idx="11">
                  <c:v>1.4858841010401188E-2</c:v>
                </c:pt>
              </c:numCache>
            </c:numRef>
          </c:val>
          <c:smooth val="0"/>
          <c:extLst>
            <c:ext xmlns:c16="http://schemas.microsoft.com/office/drawing/2014/chart" uri="{C3380CC4-5D6E-409C-BE32-E72D297353CC}">
              <c16:uniqueId val="{00000000-D432-4632-88D9-5D2FD664CDD2}"/>
            </c:ext>
          </c:extLst>
        </c:ser>
        <c:ser>
          <c:idx val="1"/>
          <c:order val="1"/>
          <c:tx>
            <c:strRef>
              <c:f>'Unfitfit housholds'!$BN$78</c:f>
              <c:strCache>
                <c:ptCount val="1"/>
                <c:pt idx="0">
                  <c:v>Min</c:v>
                </c:pt>
              </c:strCache>
            </c:strRef>
          </c:tx>
          <c:spPr>
            <a:ln w="28575" cap="rnd">
              <a:noFill/>
              <a:round/>
            </a:ln>
            <a:effectLst/>
          </c:spPr>
          <c:marker>
            <c:symbol val="none"/>
          </c:marker>
          <c:cat>
            <c:numRef>
              <c:f>'Unfitfit housholds'!$BO$73:$BZ$73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'Unfitfit housholds'!$BO$78:$BZ$78</c:f>
              <c:numCache>
                <c:formatCode>0.0%</c:formatCode>
                <c:ptCount val="12"/>
                <c:pt idx="0">
                  <c:v>1.0948905109489052E-2</c:v>
                </c:pt>
                <c:pt idx="1">
                  <c:v>2.4411508282476024E-2</c:v>
                </c:pt>
                <c:pt idx="2">
                  <c:v>2.2850270595309682E-2</c:v>
                </c:pt>
                <c:pt idx="3">
                  <c:v>3.1268612269207859E-2</c:v>
                </c:pt>
                <c:pt idx="4">
                  <c:v>3.125E-2</c:v>
                </c:pt>
                <c:pt idx="5">
                  <c:v>1.8264840182648401E-2</c:v>
                </c:pt>
                <c:pt idx="6">
                  <c:v>6.3953488372093022E-3</c:v>
                </c:pt>
                <c:pt idx="7">
                  <c:v>1.722158438576349E-3</c:v>
                </c:pt>
                <c:pt idx="8">
                  <c:v>1.7720023626698169E-3</c:v>
                </c:pt>
                <c:pt idx="9">
                  <c:v>5.9523809523809521E-3</c:v>
                </c:pt>
                <c:pt idx="10">
                  <c:v>7.7138849929873771E-3</c:v>
                </c:pt>
                <c:pt idx="11">
                  <c:v>1.0286554004408524E-2</c:v>
                </c:pt>
              </c:numCache>
            </c:numRef>
          </c:val>
          <c:smooth val="0"/>
          <c:extLst>
            <c:ext xmlns:c16="http://schemas.microsoft.com/office/drawing/2014/chart" uri="{C3380CC4-5D6E-409C-BE32-E72D297353CC}">
              <c16:uniqueId val="{00000001-D432-4632-88D9-5D2FD664CDD2}"/>
            </c:ext>
          </c:extLst>
        </c:ser>
        <c:ser>
          <c:idx val="2"/>
          <c:order val="2"/>
          <c:tx>
            <c:strRef>
              <c:f>'Unfitfit housholds'!$BN$79</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'Unfitfit housholds'!$BO$73:$BZ$73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'Unfitfit housholds'!$BO$79:$BZ$79</c:f>
              <c:numCache>
                <c:formatCode>0.0%</c:formatCode>
                <c:ptCount val="12"/>
                <c:pt idx="0">
                  <c:v>2.3914663175646157E-2</c:v>
                </c:pt>
                <c:pt idx="1">
                  <c:v>2.6981326497490018E-2</c:v>
                </c:pt>
                <c:pt idx="2">
                  <c:v>2.4063817054563348E-2</c:v>
                </c:pt>
                <c:pt idx="3">
                  <c:v>3.7079759207764115E-2</c:v>
                </c:pt>
                <c:pt idx="4">
                  <c:v>4.0800198706618565E-2</c:v>
                </c:pt>
                <c:pt idx="5">
                  <c:v>2.1158858085678307E-2</c:v>
                </c:pt>
                <c:pt idx="6">
                  <c:v>1.2793428703512213E-2</c:v>
                </c:pt>
                <c:pt idx="7">
                  <c:v>2.333445021321429E-3</c:v>
                </c:pt>
                <c:pt idx="8">
                  <c:v>3.4094695894524314E-3</c:v>
                </c:pt>
                <c:pt idx="9">
                  <c:v>6.2812293791688857E-3</c:v>
                </c:pt>
                <c:pt idx="10">
                  <c:v>8.5117866352052655E-3</c:v>
                </c:pt>
                <c:pt idx="11">
                  <c:v>1.2491274332956687E-2</c:v>
                </c:pt>
              </c:numCache>
            </c:numRef>
          </c:val>
          <c:smooth val="0"/>
          <c:extLst>
            <c:ext xmlns:c16="http://schemas.microsoft.com/office/drawing/2014/chart" uri="{C3380CC4-5D6E-409C-BE32-E72D297353CC}">
              <c16:uniqueId val="{00000002-D432-4632-88D9-5D2FD664CDD2}"/>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18786128"/>
        <c:axId val="1718782864"/>
      </c:stockChart>
      <c:catAx>
        <c:axId val="171878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2864"/>
        <c:crosses val="autoZero"/>
        <c:auto val="1"/>
        <c:lblAlgn val="ctr"/>
        <c:lblOffset val="100"/>
        <c:noMultiLvlLbl val="0"/>
      </c:catAx>
      <c:valAx>
        <c:axId val="1718782864"/>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906320533462729"/>
          <c:y val="0.20320261437908499"/>
          <c:w val="0.81985369475874337"/>
          <c:h val="0.39517317688230147"/>
        </c:manualLayout>
      </c:layout>
      <c:stockChart>
        <c:ser>
          <c:idx val="0"/>
          <c:order val="0"/>
          <c:tx>
            <c:strRef>
              <c:f>'Unfitfit housholds'!$BN$74</c:f>
              <c:strCache>
                <c:ptCount val="1"/>
                <c:pt idx="0">
                  <c:v>Max</c:v>
                </c:pt>
              </c:strCache>
            </c:strRef>
          </c:tx>
          <c:spPr>
            <a:ln w="28575" cap="rnd">
              <a:noFill/>
              <a:round/>
            </a:ln>
            <a:effectLst/>
          </c:spPr>
          <c:marker>
            <c:symbol val="none"/>
          </c:marker>
          <c:cat>
            <c:numRef>
              <c:f>'Unfitfit housholds'!$BO$73:$BZ$73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'Unfitfit housholds'!$BO$74:$BZ$74</c:f>
              <c:numCache>
                <c:formatCode>0.0%</c:formatCode>
                <c:ptCount val="12"/>
                <c:pt idx="0">
                  <c:v>6.2874251497005984E-2</c:v>
                </c:pt>
                <c:pt idx="1">
                  <c:v>5.6056056056056056E-2</c:v>
                </c:pt>
                <c:pt idx="2">
                  <c:v>5.1510648836057452E-2</c:v>
                </c:pt>
                <c:pt idx="3">
                  <c:v>0.40299906279287723</c:v>
                </c:pt>
                <c:pt idx="4">
                  <c:v>0.16356877323420074</c:v>
                </c:pt>
                <c:pt idx="5">
                  <c:v>4.077849860982391E-2</c:v>
                </c:pt>
                <c:pt idx="6">
                  <c:v>4.5498547918683449E-2</c:v>
                </c:pt>
                <c:pt idx="7">
                  <c:v>1.9792648444863337E-2</c:v>
                </c:pt>
                <c:pt idx="8">
                  <c:v>2.7306967984934087E-2</c:v>
                </c:pt>
                <c:pt idx="9">
                  <c:v>2.8818443804034581E-2</c:v>
                </c:pt>
                <c:pt idx="10">
                  <c:v>2.4765729585006693E-2</c:v>
                </c:pt>
                <c:pt idx="11">
                  <c:v>2.6170798898071626E-2</c:v>
                </c:pt>
              </c:numCache>
            </c:numRef>
          </c:val>
          <c:smooth val="0"/>
          <c:extLst>
            <c:ext xmlns:c16="http://schemas.microsoft.com/office/drawing/2014/chart" uri="{C3380CC4-5D6E-409C-BE32-E72D297353CC}">
              <c16:uniqueId val="{00000000-35D8-411E-AFB0-52E787735AC5}"/>
            </c:ext>
          </c:extLst>
        </c:ser>
        <c:ser>
          <c:idx val="1"/>
          <c:order val="1"/>
          <c:tx>
            <c:strRef>
              <c:f>'Unfitfit housholds'!$BN$75</c:f>
              <c:strCache>
                <c:ptCount val="1"/>
                <c:pt idx="0">
                  <c:v>Min</c:v>
                </c:pt>
              </c:strCache>
            </c:strRef>
          </c:tx>
          <c:spPr>
            <a:ln w="28575" cap="rnd">
              <a:noFill/>
              <a:round/>
            </a:ln>
            <a:effectLst/>
          </c:spPr>
          <c:marker>
            <c:symbol val="none"/>
          </c:marker>
          <c:cat>
            <c:numRef>
              <c:f>'Unfitfit housholds'!$BO$73:$BZ$73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'Unfitfit housholds'!$BO$75:$BZ$75</c:f>
              <c:numCache>
                <c:formatCode>0.0%</c:formatCode>
                <c:ptCount val="12"/>
                <c:pt idx="0">
                  <c:v>3.1E-2</c:v>
                </c:pt>
                <c:pt idx="1">
                  <c:v>4.0642722117202268E-2</c:v>
                </c:pt>
                <c:pt idx="2">
                  <c:v>4.7641073080481038E-2</c:v>
                </c:pt>
                <c:pt idx="3">
                  <c:v>0.26549094375595805</c:v>
                </c:pt>
                <c:pt idx="4">
                  <c:v>2.7852650494159928E-2</c:v>
                </c:pt>
                <c:pt idx="5">
                  <c:v>3.4265103697024346E-2</c:v>
                </c:pt>
                <c:pt idx="6">
                  <c:v>3.2196969696969696E-2</c:v>
                </c:pt>
                <c:pt idx="7">
                  <c:v>1.743119266055046E-2</c:v>
                </c:pt>
                <c:pt idx="8">
                  <c:v>1.5151515151515152E-2</c:v>
                </c:pt>
                <c:pt idx="9">
                  <c:v>1.089108910891089E-2</c:v>
                </c:pt>
                <c:pt idx="10">
                  <c:v>1.7705382436260624E-2</c:v>
                </c:pt>
                <c:pt idx="11">
                  <c:v>1.9382627422828428E-2</c:v>
                </c:pt>
              </c:numCache>
            </c:numRef>
          </c:val>
          <c:smooth val="0"/>
          <c:extLst>
            <c:ext xmlns:c16="http://schemas.microsoft.com/office/drawing/2014/chart" uri="{C3380CC4-5D6E-409C-BE32-E72D297353CC}">
              <c16:uniqueId val="{00000001-35D8-411E-AFB0-52E787735AC5}"/>
            </c:ext>
          </c:extLst>
        </c:ser>
        <c:ser>
          <c:idx val="2"/>
          <c:order val="2"/>
          <c:tx>
            <c:strRef>
              <c:f>'Unfitfit housholds'!$BN$76</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'Unfitfit housholds'!$BO$73:$BZ$73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'Unfitfit housholds'!$BO$76:$BZ$76</c:f>
              <c:numCache>
                <c:formatCode>0.0%</c:formatCode>
                <c:ptCount val="12"/>
                <c:pt idx="0">
                  <c:v>4.9470151363811762E-2</c:v>
                </c:pt>
                <c:pt idx="1">
                  <c:v>4.6487849331568971E-2</c:v>
                </c:pt>
                <c:pt idx="2">
                  <c:v>4.9592752358195859E-2</c:v>
                </c:pt>
                <c:pt idx="3">
                  <c:v>0.35360208239491397</c:v>
                </c:pt>
                <c:pt idx="4">
                  <c:v>7.2031964107102164E-2</c:v>
                </c:pt>
                <c:pt idx="5">
                  <c:v>3.7028515212898509E-2</c:v>
                </c:pt>
                <c:pt idx="6">
                  <c:v>3.5797518651263877E-2</c:v>
                </c:pt>
                <c:pt idx="7">
                  <c:v>1.8848381828388518E-2</c:v>
                </c:pt>
                <c:pt idx="8">
                  <c:v>2.1190646066019947E-2</c:v>
                </c:pt>
                <c:pt idx="9">
                  <c:v>1.8470075041971054E-2</c:v>
                </c:pt>
                <c:pt idx="10">
                  <c:v>2.2313366166039204E-2</c:v>
                </c:pt>
                <c:pt idx="11">
                  <c:v>2.188695208584299E-2</c:v>
                </c:pt>
              </c:numCache>
            </c:numRef>
          </c:val>
          <c:smooth val="0"/>
          <c:extLst>
            <c:ext xmlns:c16="http://schemas.microsoft.com/office/drawing/2014/chart" uri="{C3380CC4-5D6E-409C-BE32-E72D297353CC}">
              <c16:uniqueId val="{00000002-35D8-411E-AFB0-52E787735AC5}"/>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18781776"/>
        <c:axId val="1718785040"/>
      </c:stockChart>
      <c:catAx>
        <c:axId val="171878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5040"/>
        <c:crosses val="autoZero"/>
        <c:auto val="1"/>
        <c:lblAlgn val="ctr"/>
        <c:lblOffset val="100"/>
        <c:noMultiLvlLbl val="0"/>
      </c:catAx>
      <c:valAx>
        <c:axId val="1718785040"/>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1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'Unfitfit housholds'!$BN$123</c:f>
              <c:strCache>
                <c:ptCount val="1"/>
                <c:pt idx="0">
                  <c:v>Max</c:v>
                </c:pt>
              </c:strCache>
            </c:strRef>
          </c:tx>
          <c:spPr>
            <a:ln w="28575" cap="rnd">
              <a:noFill/>
              <a:round/>
            </a:ln>
            <a:effectLst/>
          </c:spPr>
          <c:marker>
            <c:symbol val="none"/>
          </c:marker>
          <c:cat>
            <c:numRef>
              <c:f>'Unfitfit housholds'!$BT$119:$BZ$119</c:f>
              <c:numCache>
                <c:formatCode>General</c:formatCode>
                <c:ptCount val="7"/>
                <c:pt idx="0">
                  <c:v>2012</c:v>
                </c:pt>
                <c:pt idx="1">
                  <c:v>2013</c:v>
                </c:pt>
                <c:pt idx="2">
                  <c:v>2014</c:v>
                </c:pt>
                <c:pt idx="3">
                  <c:v>2015</c:v>
                </c:pt>
                <c:pt idx="4">
                  <c:v>2016</c:v>
                </c:pt>
                <c:pt idx="5">
                  <c:v>2017</c:v>
                </c:pt>
                <c:pt idx="6">
                  <c:v>2018</c:v>
                </c:pt>
              </c:numCache>
            </c:numRef>
          </c:cat>
          <c:val>
            <c:numRef>
              <c:f>'Unfitfit housholds'!$BT$123:$BZ$123</c:f>
              <c:numCache>
                <c:formatCode>0.0%</c:formatCode>
                <c:ptCount val="7"/>
                <c:pt idx="0">
                  <c:v>0.60400707130229814</c:v>
                </c:pt>
                <c:pt idx="1">
                  <c:v>0.61124121779859486</c:v>
                </c:pt>
                <c:pt idx="2">
                  <c:v>0.56608187134502919</c:v>
                </c:pt>
                <c:pt idx="3">
                  <c:v>0.52451269935026579</c:v>
                </c:pt>
                <c:pt idx="4">
                  <c:v>0.53521974714027698</c:v>
                </c:pt>
                <c:pt idx="5">
                  <c:v>0.57082748948106588</c:v>
                </c:pt>
                <c:pt idx="6">
                  <c:v>0.52902277736958114</c:v>
                </c:pt>
              </c:numCache>
            </c:numRef>
          </c:val>
          <c:smooth val="0"/>
          <c:extLst>
            <c:ext xmlns:c16="http://schemas.microsoft.com/office/drawing/2014/chart" uri="{C3380CC4-5D6E-409C-BE32-E72D297353CC}">
              <c16:uniqueId val="{00000000-9CE8-42F3-BEC7-F104269C004E}"/>
            </c:ext>
          </c:extLst>
        </c:ser>
        <c:ser>
          <c:idx val="1"/>
          <c:order val="1"/>
          <c:tx>
            <c:strRef>
              <c:f>'Unfitfit housholds'!$BN$124</c:f>
              <c:strCache>
                <c:ptCount val="1"/>
                <c:pt idx="0">
                  <c:v>Min</c:v>
                </c:pt>
              </c:strCache>
            </c:strRef>
          </c:tx>
          <c:spPr>
            <a:ln w="28575" cap="rnd">
              <a:noFill/>
              <a:round/>
            </a:ln>
            <a:effectLst/>
          </c:spPr>
          <c:marker>
            <c:symbol val="none"/>
          </c:marker>
          <c:cat>
            <c:numRef>
              <c:f>'Unfitfit housholds'!$BT$119:$BZ$119</c:f>
              <c:numCache>
                <c:formatCode>General</c:formatCode>
                <c:ptCount val="7"/>
                <c:pt idx="0">
                  <c:v>2012</c:v>
                </c:pt>
                <c:pt idx="1">
                  <c:v>2013</c:v>
                </c:pt>
                <c:pt idx="2">
                  <c:v>2014</c:v>
                </c:pt>
                <c:pt idx="3">
                  <c:v>2015</c:v>
                </c:pt>
                <c:pt idx="4">
                  <c:v>2016</c:v>
                </c:pt>
                <c:pt idx="5">
                  <c:v>2017</c:v>
                </c:pt>
                <c:pt idx="6">
                  <c:v>2018</c:v>
                </c:pt>
              </c:numCache>
            </c:numRef>
          </c:cat>
          <c:val>
            <c:numRef>
              <c:f>'Unfitfit housholds'!$BT$124:$BZ$124</c:f>
              <c:numCache>
                <c:formatCode>0.0%</c:formatCode>
                <c:ptCount val="7"/>
                <c:pt idx="0">
                  <c:v>0.57134703196347036</c:v>
                </c:pt>
                <c:pt idx="1">
                  <c:v>0.57499999999999996</c:v>
                </c:pt>
                <c:pt idx="2">
                  <c:v>0.53791887125220461</c:v>
                </c:pt>
                <c:pt idx="3">
                  <c:v>0.50117647058823533</c:v>
                </c:pt>
                <c:pt idx="4">
                  <c:v>0.50960384153661464</c:v>
                </c:pt>
                <c:pt idx="5">
                  <c:v>0.54013015184381774</c:v>
                </c:pt>
                <c:pt idx="6">
                  <c:v>0.50146198830409361</c:v>
                </c:pt>
              </c:numCache>
            </c:numRef>
          </c:val>
          <c:smooth val="0"/>
          <c:extLst>
            <c:ext xmlns:c16="http://schemas.microsoft.com/office/drawing/2014/chart" uri="{C3380CC4-5D6E-409C-BE32-E72D297353CC}">
              <c16:uniqueId val="{00000001-9CE8-42F3-BEC7-F104269C004E}"/>
            </c:ext>
          </c:extLst>
        </c:ser>
        <c:ser>
          <c:idx val="2"/>
          <c:order val="2"/>
          <c:tx>
            <c:strRef>
              <c:f>'Unfitfit housholds'!$BN$125</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'Unfitfit housholds'!$BT$119:$BZ$119</c:f>
              <c:numCache>
                <c:formatCode>General</c:formatCode>
                <c:ptCount val="7"/>
                <c:pt idx="0">
                  <c:v>2012</c:v>
                </c:pt>
                <c:pt idx="1">
                  <c:v>2013</c:v>
                </c:pt>
                <c:pt idx="2">
                  <c:v>2014</c:v>
                </c:pt>
                <c:pt idx="3">
                  <c:v>2015</c:v>
                </c:pt>
                <c:pt idx="4">
                  <c:v>2016</c:v>
                </c:pt>
                <c:pt idx="5">
                  <c:v>2017</c:v>
                </c:pt>
                <c:pt idx="6">
                  <c:v>2018</c:v>
                </c:pt>
              </c:numCache>
            </c:numRef>
          </c:cat>
          <c:val>
            <c:numRef>
              <c:f>'Unfitfit housholds'!$BT$125:$BZ$125</c:f>
              <c:numCache>
                <c:formatCode>0.0%</c:formatCode>
                <c:ptCount val="7"/>
                <c:pt idx="0">
                  <c:v>0.58320449457606771</c:v>
                </c:pt>
                <c:pt idx="1">
                  <c:v>0.59675603416630663</c:v>
                </c:pt>
                <c:pt idx="2">
                  <c:v>0.55437316555410299</c:v>
                </c:pt>
                <c:pt idx="3">
                  <c:v>0.50985747864766018</c:v>
                </c:pt>
                <c:pt idx="4">
                  <c:v>0.5225154209787467</c:v>
                </c:pt>
                <c:pt idx="5">
                  <c:v>0.56049540022469513</c:v>
                </c:pt>
                <c:pt idx="6">
                  <c:v>0.51719848338381447</c:v>
                </c:pt>
              </c:numCache>
            </c:numRef>
          </c:val>
          <c:smooth val="0"/>
          <c:extLst>
            <c:ext xmlns:c16="http://schemas.microsoft.com/office/drawing/2014/chart" uri="{C3380CC4-5D6E-409C-BE32-E72D297353CC}">
              <c16:uniqueId val="{00000002-9CE8-42F3-BEC7-F104269C004E}"/>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18775792"/>
        <c:axId val="1718779600"/>
      </c:stockChart>
      <c:catAx>
        <c:axId val="171877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79600"/>
        <c:crosses val="autoZero"/>
        <c:auto val="1"/>
        <c:lblAlgn val="ctr"/>
        <c:lblOffset val="100"/>
        <c:noMultiLvlLbl val="0"/>
      </c:catAx>
      <c:valAx>
        <c:axId val="1718779600"/>
        <c:scaling>
          <c:orientation val="minMax"/>
          <c:max val="0.60000000000000009"/>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7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'Unfitfit housholds'!$BN$120</c:f>
              <c:strCache>
                <c:ptCount val="1"/>
                <c:pt idx="0">
                  <c:v>Max</c:v>
                </c:pt>
              </c:strCache>
            </c:strRef>
          </c:tx>
          <c:spPr>
            <a:ln w="28575" cap="rnd">
              <a:noFill/>
              <a:round/>
            </a:ln>
            <a:effectLst/>
          </c:spPr>
          <c:marker>
            <c:symbol val="none"/>
          </c:marker>
          <c:cat>
            <c:numRef>
              <c:f>'Unfitfit housholds'!$BT$119:$BZ$119</c:f>
              <c:numCache>
                <c:formatCode>General</c:formatCode>
                <c:ptCount val="7"/>
                <c:pt idx="0">
                  <c:v>2012</c:v>
                </c:pt>
                <c:pt idx="1">
                  <c:v>2013</c:v>
                </c:pt>
                <c:pt idx="2">
                  <c:v>2014</c:v>
                </c:pt>
                <c:pt idx="3">
                  <c:v>2015</c:v>
                </c:pt>
                <c:pt idx="4">
                  <c:v>2016</c:v>
                </c:pt>
                <c:pt idx="5">
                  <c:v>2017</c:v>
                </c:pt>
                <c:pt idx="6">
                  <c:v>2018</c:v>
                </c:pt>
              </c:numCache>
            </c:numRef>
          </c:cat>
          <c:val>
            <c:numRef>
              <c:f>'Unfitfit housholds'!$BT$120:$BZ$120</c:f>
              <c:numCache>
                <c:formatCode>0.0%</c:formatCode>
                <c:ptCount val="7"/>
                <c:pt idx="0">
                  <c:v>0.52030217186024552</c:v>
                </c:pt>
                <c:pt idx="1">
                  <c:v>0.4878993223620523</c:v>
                </c:pt>
                <c:pt idx="2">
                  <c:v>0.4718045112781955</c:v>
                </c:pt>
                <c:pt idx="3">
                  <c:v>0.47821969696969696</c:v>
                </c:pt>
                <c:pt idx="4">
                  <c:v>0.44188280499519694</c:v>
                </c:pt>
                <c:pt idx="5">
                  <c:v>0.46317280453257792</c:v>
                </c:pt>
                <c:pt idx="6">
                  <c:v>0.4508426966292135</c:v>
                </c:pt>
              </c:numCache>
            </c:numRef>
          </c:val>
          <c:smooth val="0"/>
          <c:extLst>
            <c:ext xmlns:c16="http://schemas.microsoft.com/office/drawing/2014/chart" uri="{C3380CC4-5D6E-409C-BE32-E72D297353CC}">
              <c16:uniqueId val="{00000000-C3DD-479A-9EC3-E1C37488F522}"/>
            </c:ext>
          </c:extLst>
        </c:ser>
        <c:ser>
          <c:idx val="1"/>
          <c:order val="1"/>
          <c:tx>
            <c:strRef>
              <c:f>'Unfitfit housholds'!$BN$121</c:f>
              <c:strCache>
                <c:ptCount val="1"/>
                <c:pt idx="0">
                  <c:v>Min</c:v>
                </c:pt>
              </c:strCache>
            </c:strRef>
          </c:tx>
          <c:spPr>
            <a:ln w="28575" cap="rnd">
              <a:noFill/>
              <a:round/>
            </a:ln>
            <a:effectLst/>
          </c:spPr>
          <c:marker>
            <c:symbol val="none"/>
          </c:marker>
          <c:cat>
            <c:numRef>
              <c:f>'Unfitfit housholds'!$BT$119:$BZ$119</c:f>
              <c:numCache>
                <c:formatCode>General</c:formatCode>
                <c:ptCount val="7"/>
                <c:pt idx="0">
                  <c:v>2012</c:v>
                </c:pt>
                <c:pt idx="1">
                  <c:v>2013</c:v>
                </c:pt>
                <c:pt idx="2">
                  <c:v>2014</c:v>
                </c:pt>
                <c:pt idx="3">
                  <c:v>2015</c:v>
                </c:pt>
                <c:pt idx="4">
                  <c:v>2016</c:v>
                </c:pt>
                <c:pt idx="5">
                  <c:v>2017</c:v>
                </c:pt>
                <c:pt idx="6">
                  <c:v>2018</c:v>
                </c:pt>
              </c:numCache>
            </c:numRef>
          </c:cat>
          <c:val>
            <c:numRef>
              <c:f>'Unfitfit housholds'!$BT$121:$BZ$121</c:f>
              <c:numCache>
                <c:formatCode>0.0%</c:formatCode>
                <c:ptCount val="7"/>
                <c:pt idx="0">
                  <c:v>0.49594229035166815</c:v>
                </c:pt>
                <c:pt idx="1">
                  <c:v>0.43767572633552015</c:v>
                </c:pt>
                <c:pt idx="2">
                  <c:v>0.44557195571955721</c:v>
                </c:pt>
                <c:pt idx="3">
                  <c:v>0.44164332399626516</c:v>
                </c:pt>
                <c:pt idx="4">
                  <c:v>0.41587901701323249</c:v>
                </c:pt>
                <c:pt idx="5">
                  <c:v>0.45228215767634855</c:v>
                </c:pt>
                <c:pt idx="6">
                  <c:v>0.43144292893036612</c:v>
                </c:pt>
              </c:numCache>
            </c:numRef>
          </c:val>
          <c:smooth val="0"/>
          <c:extLst>
            <c:ext xmlns:c16="http://schemas.microsoft.com/office/drawing/2014/chart" uri="{C3380CC4-5D6E-409C-BE32-E72D297353CC}">
              <c16:uniqueId val="{00000001-C3DD-479A-9EC3-E1C37488F522}"/>
            </c:ext>
          </c:extLst>
        </c:ser>
        <c:ser>
          <c:idx val="2"/>
          <c:order val="2"/>
          <c:tx>
            <c:strRef>
              <c:f>'Unfitfit housholds'!$BN$122</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'Unfitfit housholds'!$BT$119:$BZ$119</c:f>
              <c:numCache>
                <c:formatCode>General</c:formatCode>
                <c:ptCount val="7"/>
                <c:pt idx="0">
                  <c:v>2012</c:v>
                </c:pt>
                <c:pt idx="1">
                  <c:v>2013</c:v>
                </c:pt>
                <c:pt idx="2">
                  <c:v>2014</c:v>
                </c:pt>
                <c:pt idx="3">
                  <c:v>2015</c:v>
                </c:pt>
                <c:pt idx="4">
                  <c:v>2016</c:v>
                </c:pt>
                <c:pt idx="5">
                  <c:v>2017</c:v>
                </c:pt>
                <c:pt idx="6">
                  <c:v>2018</c:v>
                </c:pt>
              </c:numCache>
            </c:numRef>
          </c:cat>
          <c:val>
            <c:numRef>
              <c:f>'Unfitfit housholds'!$BT$122:$BZ$122</c:f>
              <c:numCache>
                <c:formatCode>0.0%</c:formatCode>
                <c:ptCount val="7"/>
                <c:pt idx="0">
                  <c:v>0.50730550515337702</c:v>
                </c:pt>
                <c:pt idx="1">
                  <c:v>0.46106305121868218</c:v>
                </c:pt>
                <c:pt idx="2">
                  <c:v>0.45837722555280008</c:v>
                </c:pt>
                <c:pt idx="3">
                  <c:v>0.46353368866818107</c:v>
                </c:pt>
                <c:pt idx="4">
                  <c:v>0.42338960900524392</c:v>
                </c:pt>
                <c:pt idx="5">
                  <c:v>0.45626491710843536</c:v>
                </c:pt>
                <c:pt idx="6">
                  <c:v>0.44281581162714995</c:v>
                </c:pt>
              </c:numCache>
            </c:numRef>
          </c:val>
          <c:smooth val="0"/>
          <c:extLst>
            <c:ext xmlns:c16="http://schemas.microsoft.com/office/drawing/2014/chart" uri="{C3380CC4-5D6E-409C-BE32-E72D297353CC}">
              <c16:uniqueId val="{00000002-C3DD-479A-9EC3-E1C37488F522}"/>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18783952"/>
        <c:axId val="1718786672"/>
      </c:stockChart>
      <c:catAx>
        <c:axId val="171878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6672"/>
        <c:crosses val="autoZero"/>
        <c:auto val="1"/>
        <c:lblAlgn val="ctr"/>
        <c:lblOffset val="100"/>
        <c:noMultiLvlLbl val="0"/>
      </c:catAx>
      <c:valAx>
        <c:axId val="17187866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'Unfitfit housholds'!$BN$135</c:f>
              <c:strCache>
                <c:ptCount val="1"/>
                <c:pt idx="0">
                  <c:v>Max</c:v>
                </c:pt>
              </c:strCache>
            </c:strRef>
          </c:tx>
          <c:spPr>
            <a:ln w="28575" cap="rnd">
              <a:noFill/>
              <a:round/>
            </a:ln>
            <a:effectLst/>
          </c:spPr>
          <c:marker>
            <c:symbol val="none"/>
          </c:marker>
          <c:cat>
            <c:numRef>
              <c:f>'Unfitfit housholds'!$BT$131:$BZ$131</c:f>
              <c:numCache>
                <c:formatCode>General</c:formatCode>
                <c:ptCount val="7"/>
                <c:pt idx="0">
                  <c:v>2012</c:v>
                </c:pt>
                <c:pt idx="1">
                  <c:v>2013</c:v>
                </c:pt>
                <c:pt idx="2">
                  <c:v>2014</c:v>
                </c:pt>
                <c:pt idx="3">
                  <c:v>2015</c:v>
                </c:pt>
                <c:pt idx="4">
                  <c:v>2016</c:v>
                </c:pt>
                <c:pt idx="5">
                  <c:v>2017</c:v>
                </c:pt>
                <c:pt idx="6">
                  <c:v>2018</c:v>
                </c:pt>
              </c:numCache>
            </c:numRef>
          </c:cat>
          <c:val>
            <c:numRef>
              <c:f>'Unfitfit housholds'!$BT$135:$BZ$135</c:f>
              <c:numCache>
                <c:formatCode>0.0%</c:formatCode>
                <c:ptCount val="7"/>
                <c:pt idx="0">
                  <c:v>6.4665127020785224E-2</c:v>
                </c:pt>
                <c:pt idx="1">
                  <c:v>5.9302325581395351E-2</c:v>
                </c:pt>
                <c:pt idx="2">
                  <c:v>5.6140350877192984E-2</c:v>
                </c:pt>
                <c:pt idx="3">
                  <c:v>4.4563279857397504E-2</c:v>
                </c:pt>
                <c:pt idx="4">
                  <c:v>3.9615846338535411E-2</c:v>
                </c:pt>
                <c:pt idx="5">
                  <c:v>6.2054208273894434E-2</c:v>
                </c:pt>
                <c:pt idx="6">
                  <c:v>5.9435364041604752E-2</c:v>
                </c:pt>
              </c:numCache>
            </c:numRef>
          </c:val>
          <c:smooth val="0"/>
          <c:extLst>
            <c:ext xmlns:c16="http://schemas.microsoft.com/office/drawing/2014/chart" uri="{C3380CC4-5D6E-409C-BE32-E72D297353CC}">
              <c16:uniqueId val="{00000000-C28B-41A9-AA81-30E5E52DBEBF}"/>
            </c:ext>
          </c:extLst>
        </c:ser>
        <c:ser>
          <c:idx val="1"/>
          <c:order val="1"/>
          <c:tx>
            <c:strRef>
              <c:f>'Unfitfit housholds'!$BN$136</c:f>
              <c:strCache>
                <c:ptCount val="1"/>
                <c:pt idx="0">
                  <c:v>Min</c:v>
                </c:pt>
              </c:strCache>
            </c:strRef>
          </c:tx>
          <c:spPr>
            <a:ln w="28575" cap="rnd">
              <a:noFill/>
              <a:round/>
            </a:ln>
            <a:effectLst/>
          </c:spPr>
          <c:marker>
            <c:symbol val="none"/>
          </c:marker>
          <c:cat>
            <c:numRef>
              <c:f>'Unfitfit housholds'!$BT$131:$BZ$131</c:f>
              <c:numCache>
                <c:formatCode>General</c:formatCode>
                <c:ptCount val="7"/>
                <c:pt idx="0">
                  <c:v>2012</c:v>
                </c:pt>
                <c:pt idx="1">
                  <c:v>2013</c:v>
                </c:pt>
                <c:pt idx="2">
                  <c:v>2014</c:v>
                </c:pt>
                <c:pt idx="3">
                  <c:v>2015</c:v>
                </c:pt>
                <c:pt idx="4">
                  <c:v>2016</c:v>
                </c:pt>
                <c:pt idx="5">
                  <c:v>2017</c:v>
                </c:pt>
                <c:pt idx="6">
                  <c:v>2018</c:v>
                </c:pt>
              </c:numCache>
            </c:numRef>
          </c:cat>
          <c:val>
            <c:numRef>
              <c:f>'Unfitfit housholds'!$BT$136:$BZ$136</c:f>
              <c:numCache>
                <c:formatCode>0.0%</c:formatCode>
                <c:ptCount val="7"/>
                <c:pt idx="0">
                  <c:v>5.4802592810842661E-2</c:v>
                </c:pt>
                <c:pt idx="1">
                  <c:v>4.6216060080878106E-2</c:v>
                </c:pt>
                <c:pt idx="2">
                  <c:v>4.1740152851263965E-2</c:v>
                </c:pt>
                <c:pt idx="3">
                  <c:v>3.7701974865350089E-2</c:v>
                </c:pt>
                <c:pt idx="4">
                  <c:v>3.4316676700782658E-2</c:v>
                </c:pt>
                <c:pt idx="5">
                  <c:v>5.2783803326102677E-2</c:v>
                </c:pt>
                <c:pt idx="6">
                  <c:v>4.4085231447465102E-2</c:v>
                </c:pt>
              </c:numCache>
            </c:numRef>
          </c:val>
          <c:smooth val="0"/>
          <c:extLst>
            <c:ext xmlns:c16="http://schemas.microsoft.com/office/drawing/2014/chart" uri="{C3380CC4-5D6E-409C-BE32-E72D297353CC}">
              <c16:uniqueId val="{00000001-C28B-41A9-AA81-30E5E52DBEBF}"/>
            </c:ext>
          </c:extLst>
        </c:ser>
        <c:ser>
          <c:idx val="2"/>
          <c:order val="2"/>
          <c:tx>
            <c:strRef>
              <c:f>'Unfitfit housholds'!$BN$137</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'Unfitfit housholds'!$BT$131:$BZ$131</c:f>
              <c:numCache>
                <c:formatCode>General</c:formatCode>
                <c:ptCount val="7"/>
                <c:pt idx="0">
                  <c:v>2012</c:v>
                </c:pt>
                <c:pt idx="1">
                  <c:v>2013</c:v>
                </c:pt>
                <c:pt idx="2">
                  <c:v>2014</c:v>
                </c:pt>
                <c:pt idx="3">
                  <c:v>2015</c:v>
                </c:pt>
                <c:pt idx="4">
                  <c:v>2016</c:v>
                </c:pt>
                <c:pt idx="5">
                  <c:v>2017</c:v>
                </c:pt>
                <c:pt idx="6">
                  <c:v>2018</c:v>
                </c:pt>
              </c:numCache>
            </c:numRef>
          </c:cat>
          <c:val>
            <c:numRef>
              <c:f>'Unfitfit housholds'!$BT$137:$BZ$137</c:f>
              <c:numCache>
                <c:formatCode>0.0%</c:formatCode>
                <c:ptCount val="7"/>
                <c:pt idx="0">
                  <c:v>5.7971510661746897E-2</c:v>
                </c:pt>
                <c:pt idx="1">
                  <c:v>5.3653778105018826E-2</c:v>
                </c:pt>
                <c:pt idx="2">
                  <c:v>5.0701150297466968E-2</c:v>
                </c:pt>
                <c:pt idx="3">
                  <c:v>4.060766040248253E-2</c:v>
                </c:pt>
                <c:pt idx="4">
                  <c:v>3.5893845045543805E-2</c:v>
                </c:pt>
                <c:pt idx="5">
                  <c:v>5.7606023284697327E-2</c:v>
                </c:pt>
                <c:pt idx="6">
                  <c:v>5.0518168240415717E-2</c:v>
                </c:pt>
              </c:numCache>
            </c:numRef>
          </c:val>
          <c:smooth val="0"/>
          <c:extLst>
            <c:ext xmlns:c16="http://schemas.microsoft.com/office/drawing/2014/chart" uri="{C3380CC4-5D6E-409C-BE32-E72D297353CC}">
              <c16:uniqueId val="{00000002-C28B-41A9-AA81-30E5E52DBEBF}"/>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18784496"/>
        <c:axId val="1718785584"/>
      </c:stockChart>
      <c:catAx>
        <c:axId val="171878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5584"/>
        <c:crosses val="autoZero"/>
        <c:auto val="1"/>
        <c:lblAlgn val="ctr"/>
        <c:lblOffset val="100"/>
        <c:noMultiLvlLbl val="0"/>
      </c:catAx>
      <c:valAx>
        <c:axId val="17187855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'Unfitfit housholds'!$BN$132</c:f>
              <c:strCache>
                <c:ptCount val="1"/>
                <c:pt idx="0">
                  <c:v>Max</c:v>
                </c:pt>
              </c:strCache>
            </c:strRef>
          </c:tx>
          <c:spPr>
            <a:ln w="28575" cap="rnd">
              <a:noFill/>
              <a:round/>
            </a:ln>
            <a:effectLst/>
          </c:spPr>
          <c:marker>
            <c:symbol val="none"/>
          </c:marker>
          <c:cat>
            <c:numRef>
              <c:f>'Unfitfit housholds'!$BT$131:$BZ$131</c:f>
              <c:numCache>
                <c:formatCode>General</c:formatCode>
                <c:ptCount val="7"/>
                <c:pt idx="0">
                  <c:v>2012</c:v>
                </c:pt>
                <c:pt idx="1">
                  <c:v>2013</c:v>
                </c:pt>
                <c:pt idx="2">
                  <c:v>2014</c:v>
                </c:pt>
                <c:pt idx="3">
                  <c:v>2015</c:v>
                </c:pt>
                <c:pt idx="4">
                  <c:v>2016</c:v>
                </c:pt>
                <c:pt idx="5">
                  <c:v>2017</c:v>
                </c:pt>
                <c:pt idx="6">
                  <c:v>2018</c:v>
                </c:pt>
              </c:numCache>
            </c:numRef>
          </c:cat>
          <c:val>
            <c:numRef>
              <c:f>'Unfitfit housholds'!$BT$132:$BZ$132</c:f>
              <c:numCache>
                <c:formatCode>0.0%</c:formatCode>
                <c:ptCount val="7"/>
                <c:pt idx="0">
                  <c:v>2.9657089898053754E-2</c:v>
                </c:pt>
                <c:pt idx="1">
                  <c:v>3.2913843175217811E-2</c:v>
                </c:pt>
                <c:pt idx="2">
                  <c:v>2.5447690857681431E-2</c:v>
                </c:pt>
                <c:pt idx="3">
                  <c:v>1.9943019943019943E-2</c:v>
                </c:pt>
                <c:pt idx="4">
                  <c:v>2.3054755043227664E-2</c:v>
                </c:pt>
                <c:pt idx="5">
                  <c:v>3.2237673830594185E-2</c:v>
                </c:pt>
                <c:pt idx="6">
                  <c:v>3.3057851239669422E-2</c:v>
                </c:pt>
              </c:numCache>
            </c:numRef>
          </c:val>
          <c:smooth val="0"/>
          <c:extLst>
            <c:ext xmlns:c16="http://schemas.microsoft.com/office/drawing/2014/chart" uri="{C3380CC4-5D6E-409C-BE32-E72D297353CC}">
              <c16:uniqueId val="{00000000-3253-4DF9-AD93-98895D88AB06}"/>
            </c:ext>
          </c:extLst>
        </c:ser>
        <c:ser>
          <c:idx val="1"/>
          <c:order val="1"/>
          <c:tx>
            <c:strRef>
              <c:f>'Unfitfit housholds'!$BN$133</c:f>
              <c:strCache>
                <c:ptCount val="1"/>
                <c:pt idx="0">
                  <c:v>Min</c:v>
                </c:pt>
              </c:strCache>
            </c:strRef>
          </c:tx>
          <c:spPr>
            <a:ln w="28575" cap="rnd">
              <a:noFill/>
              <a:round/>
            </a:ln>
            <a:effectLst/>
          </c:spPr>
          <c:marker>
            <c:symbol val="none"/>
          </c:marker>
          <c:cat>
            <c:numRef>
              <c:f>'Unfitfit housholds'!$BT$131:$BZ$131</c:f>
              <c:numCache>
                <c:formatCode>General</c:formatCode>
                <c:ptCount val="7"/>
                <c:pt idx="0">
                  <c:v>2012</c:v>
                </c:pt>
                <c:pt idx="1">
                  <c:v>2013</c:v>
                </c:pt>
                <c:pt idx="2">
                  <c:v>2014</c:v>
                </c:pt>
                <c:pt idx="3">
                  <c:v>2015</c:v>
                </c:pt>
                <c:pt idx="4">
                  <c:v>2016</c:v>
                </c:pt>
                <c:pt idx="5">
                  <c:v>2017</c:v>
                </c:pt>
                <c:pt idx="6">
                  <c:v>2018</c:v>
                </c:pt>
              </c:numCache>
            </c:numRef>
          </c:cat>
          <c:val>
            <c:numRef>
              <c:f>'Unfitfit housholds'!$BT$133:$BZ$133</c:f>
              <c:numCache>
                <c:formatCode>0.0%</c:formatCode>
                <c:ptCount val="7"/>
                <c:pt idx="0">
                  <c:v>2.2284122562674095E-2</c:v>
                </c:pt>
                <c:pt idx="1">
                  <c:v>1.9681349578256794E-2</c:v>
                </c:pt>
                <c:pt idx="2">
                  <c:v>1.743119266055046E-2</c:v>
                </c:pt>
                <c:pt idx="3">
                  <c:v>1.5873015873015872E-2</c:v>
                </c:pt>
                <c:pt idx="4">
                  <c:v>1.3861386138613862E-2</c:v>
                </c:pt>
                <c:pt idx="5">
                  <c:v>1.4872521246458924E-2</c:v>
                </c:pt>
                <c:pt idx="6">
                  <c:v>1.4981273408239701E-2</c:v>
                </c:pt>
              </c:numCache>
            </c:numRef>
          </c:val>
          <c:smooth val="0"/>
          <c:extLst>
            <c:ext xmlns:c16="http://schemas.microsoft.com/office/drawing/2014/chart" uri="{C3380CC4-5D6E-409C-BE32-E72D297353CC}">
              <c16:uniqueId val="{00000001-3253-4DF9-AD93-98895D88AB06}"/>
            </c:ext>
          </c:extLst>
        </c:ser>
        <c:ser>
          <c:idx val="2"/>
          <c:order val="2"/>
          <c:tx>
            <c:strRef>
              <c:f>'Unfitfit housholds'!$BN$134</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'Unfitfit housholds'!$BT$131:$BZ$131</c:f>
              <c:numCache>
                <c:formatCode>General</c:formatCode>
                <c:ptCount val="7"/>
                <c:pt idx="0">
                  <c:v>2012</c:v>
                </c:pt>
                <c:pt idx="1">
                  <c:v>2013</c:v>
                </c:pt>
                <c:pt idx="2">
                  <c:v>2014</c:v>
                </c:pt>
                <c:pt idx="3">
                  <c:v>2015</c:v>
                </c:pt>
                <c:pt idx="4">
                  <c:v>2016</c:v>
                </c:pt>
                <c:pt idx="5">
                  <c:v>2017</c:v>
                </c:pt>
                <c:pt idx="6">
                  <c:v>2018</c:v>
                </c:pt>
              </c:numCache>
            </c:numRef>
          </c:cat>
          <c:val>
            <c:numRef>
              <c:f>'Unfitfit housholds'!$BT$134:$BZ$134</c:f>
              <c:numCache>
                <c:formatCode>0.0%</c:formatCode>
                <c:ptCount val="7"/>
                <c:pt idx="0">
                  <c:v>2.6830305503572596E-2</c:v>
                </c:pt>
                <c:pt idx="1">
                  <c:v>2.6249759726830191E-2</c:v>
                </c:pt>
                <c:pt idx="2">
                  <c:v>2.1906879273698304E-2</c:v>
                </c:pt>
                <c:pt idx="3">
                  <c:v>1.8160212943051927E-2</c:v>
                </c:pt>
                <c:pt idx="4">
                  <c:v>1.6351703010723227E-2</c:v>
                </c:pt>
                <c:pt idx="5">
                  <c:v>2.5213727786855083E-2</c:v>
                </c:pt>
                <c:pt idx="6">
                  <c:v>2.2110571026226294E-2</c:v>
                </c:pt>
              </c:numCache>
            </c:numRef>
          </c:val>
          <c:smooth val="0"/>
          <c:extLst>
            <c:ext xmlns:c16="http://schemas.microsoft.com/office/drawing/2014/chart" uri="{C3380CC4-5D6E-409C-BE32-E72D297353CC}">
              <c16:uniqueId val="{00000002-3253-4DF9-AD93-98895D88AB06}"/>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718789936"/>
        <c:axId val="1718774704"/>
      </c:stockChart>
      <c:catAx>
        <c:axId val="171878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74704"/>
        <c:crosses val="autoZero"/>
        <c:auto val="1"/>
        <c:lblAlgn val="ctr"/>
        <c:lblOffset val="100"/>
        <c:noMultiLvlLbl val="0"/>
      </c:catAx>
      <c:valAx>
        <c:axId val="1718774704"/>
        <c:scaling>
          <c:orientation val="minMax"/>
          <c:max val="0.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8789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'Overcrowded Househods '!$BM$57</c:f>
              <c:strCache>
                <c:ptCount val="1"/>
                <c:pt idx="0">
                  <c:v>Max</c:v>
                </c:pt>
              </c:strCache>
            </c:strRef>
          </c:tx>
          <c:spPr>
            <a:ln w="28575" cap="rnd">
              <a:noFill/>
              <a:round/>
            </a:ln>
            <a:effectLst/>
          </c:spPr>
          <c:marker>
            <c:symbol val="none"/>
          </c:marker>
          <c:cat>
            <c:numRef>
              <c:f>'Overcrowded Househods '!$BN$56:$BY$56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'!$BN$57:$BY$57</c:f>
              <c:numCache>
                <c:formatCode>0.0%</c:formatCode>
                <c:ptCount val="12"/>
                <c:pt idx="0">
                  <c:v>1.3939393939393939E-2</c:v>
                </c:pt>
                <c:pt idx="1">
                  <c:v>1.5983725661145014E-2</c:v>
                </c:pt>
                <c:pt idx="2">
                  <c:v>1.520572450805009E-2</c:v>
                </c:pt>
                <c:pt idx="3">
                  <c:v>1.4911746804625686E-2</c:v>
                </c:pt>
                <c:pt idx="4">
                  <c:v>1.3173652694610778E-2</c:v>
                </c:pt>
                <c:pt idx="5">
                  <c:v>1.0392609699769052E-2</c:v>
                </c:pt>
                <c:pt idx="6">
                  <c:v>6.9767441860465115E-3</c:v>
                </c:pt>
                <c:pt idx="7">
                  <c:v>5.8479532163742687E-3</c:v>
                </c:pt>
                <c:pt idx="8">
                  <c:v>6.4705882352941177E-3</c:v>
                </c:pt>
                <c:pt idx="9">
                  <c:v>6.0024009603841539E-3</c:v>
                </c:pt>
                <c:pt idx="10">
                  <c:v>5.7061340941512127E-3</c:v>
                </c:pt>
                <c:pt idx="11">
                  <c:v>5.9435364041604752E-3</c:v>
                </c:pt>
              </c:numCache>
            </c:numRef>
          </c:val>
          <c:smooth val="0"/>
          <c:extLst>
            <c:ext xmlns:c16="http://schemas.microsoft.com/office/drawing/2014/chart" uri="{C3380CC4-5D6E-409C-BE32-E72D297353CC}">
              <c16:uniqueId val="{00000000-ED35-472F-900E-697755AB6A14}"/>
            </c:ext>
          </c:extLst>
        </c:ser>
        <c:ser>
          <c:idx val="1"/>
          <c:order val="1"/>
          <c:tx>
            <c:strRef>
              <c:f>'Overcrowded Househods '!$BM$58</c:f>
              <c:strCache>
                <c:ptCount val="1"/>
                <c:pt idx="0">
                  <c:v>Min</c:v>
                </c:pt>
              </c:strCache>
            </c:strRef>
          </c:tx>
          <c:spPr>
            <a:ln w="28575" cap="rnd">
              <a:noFill/>
              <a:round/>
            </a:ln>
            <a:effectLst/>
          </c:spPr>
          <c:marker>
            <c:symbol val="none"/>
          </c:marker>
          <c:cat>
            <c:numRef>
              <c:f>'Overcrowded Househods '!$BN$56:$BY$56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'!$BN$58:$BY$58</c:f>
              <c:numCache>
                <c:formatCode>0.0%</c:formatCode>
                <c:ptCount val="12"/>
                <c:pt idx="0">
                  <c:v>1.1130638547158758E-2</c:v>
                </c:pt>
                <c:pt idx="1">
                  <c:v>1.32291040288635E-2</c:v>
                </c:pt>
                <c:pt idx="2">
                  <c:v>1.0198135198135198E-2</c:v>
                </c:pt>
                <c:pt idx="3">
                  <c:v>1.2209648600357356E-2</c:v>
                </c:pt>
                <c:pt idx="4">
                  <c:v>8.5227272727272721E-3</c:v>
                </c:pt>
                <c:pt idx="5">
                  <c:v>7.6605774896876845E-3</c:v>
                </c:pt>
                <c:pt idx="6">
                  <c:v>5.7770075101097633E-3</c:v>
                </c:pt>
                <c:pt idx="7">
                  <c:v>4.11522633744856E-3</c:v>
                </c:pt>
                <c:pt idx="8">
                  <c:v>4.7253396337861783E-3</c:v>
                </c:pt>
                <c:pt idx="9">
                  <c:v>4.7619047619047623E-3</c:v>
                </c:pt>
                <c:pt idx="10">
                  <c:v>3.5063113604488078E-3</c:v>
                </c:pt>
                <c:pt idx="11">
                  <c:v>4.3731778425655978E-3</c:v>
                </c:pt>
              </c:numCache>
            </c:numRef>
          </c:val>
          <c:smooth val="0"/>
          <c:extLst>
            <c:ext xmlns:c16="http://schemas.microsoft.com/office/drawing/2014/chart" uri="{C3380CC4-5D6E-409C-BE32-E72D297353CC}">
              <c16:uniqueId val="{00000001-ED35-472F-900E-697755AB6A14}"/>
            </c:ext>
          </c:extLst>
        </c:ser>
        <c:ser>
          <c:idx val="2"/>
          <c:order val="2"/>
          <c:tx>
            <c:strRef>
              <c:f>'Overcrowded Househods '!$BM$59</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'Overcrowded Househods '!$BN$56:$BY$56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'!$BN$59:$BY$59</c:f>
              <c:numCache>
                <c:formatCode>0.0%</c:formatCode>
                <c:ptCount val="12"/>
                <c:pt idx="0">
                  <c:v>1.2629024747753339E-2</c:v>
                </c:pt>
                <c:pt idx="1">
                  <c:v>1.4522548495803832E-2</c:v>
                </c:pt>
                <c:pt idx="2">
                  <c:v>1.2310270088167376E-2</c:v>
                </c:pt>
                <c:pt idx="3">
                  <c:v>1.3633703107246951E-2</c:v>
                </c:pt>
                <c:pt idx="4">
                  <c:v>1.0348882136028628E-2</c:v>
                </c:pt>
                <c:pt idx="5">
                  <c:v>8.983352485447094E-3</c:v>
                </c:pt>
                <c:pt idx="6">
                  <c:v>6.3963242047427342E-3</c:v>
                </c:pt>
                <c:pt idx="7">
                  <c:v>4.9546899878574833E-3</c:v>
                </c:pt>
                <c:pt idx="8">
                  <c:v>5.3338351991346067E-3</c:v>
                </c:pt>
                <c:pt idx="9">
                  <c:v>5.5337773279088886E-3</c:v>
                </c:pt>
                <c:pt idx="10">
                  <c:v>4.7931091220954286E-3</c:v>
                </c:pt>
                <c:pt idx="11">
                  <c:v>5.1451775046671968E-3</c:v>
                </c:pt>
              </c:numCache>
            </c:numRef>
          </c:val>
          <c:smooth val="0"/>
          <c:extLst>
            <c:ext xmlns:c16="http://schemas.microsoft.com/office/drawing/2014/chart" uri="{C3380CC4-5D6E-409C-BE32-E72D297353CC}">
              <c16:uniqueId val="{00000003-ED35-472F-900E-697755AB6A14}"/>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18501136"/>
        <c:axId val="1618495696"/>
      </c:stockChart>
      <c:catAx>
        <c:axId val="161850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8495696"/>
        <c:crosses val="autoZero"/>
        <c:auto val="1"/>
        <c:lblAlgn val="ctr"/>
        <c:lblOffset val="100"/>
        <c:noMultiLvlLbl val="0"/>
      </c:catAx>
      <c:valAx>
        <c:axId val="1618495696"/>
        <c:scaling>
          <c:orientation val="minMax"/>
          <c:max val="5.000000000000001E-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8501136"/>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'Overcrowded Househods '!$BM$60</c:f>
              <c:strCache>
                <c:ptCount val="1"/>
                <c:pt idx="0">
                  <c:v>Max</c:v>
                </c:pt>
              </c:strCache>
            </c:strRef>
          </c:tx>
          <c:spPr>
            <a:ln w="28575" cap="rnd">
              <a:noFill/>
              <a:round/>
            </a:ln>
            <a:effectLst/>
          </c:spPr>
          <c:marker>
            <c:symbol val="none"/>
          </c:marker>
          <c:cat>
            <c:numRef>
              <c:f>'Overcrowded Househods '!$BN$56:$BY$56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'!$BN$60:$BY$60</c:f>
              <c:numCache>
                <c:formatCode>0.0%</c:formatCode>
                <c:ptCount val="12"/>
                <c:pt idx="0">
                  <c:v>4.7E-2</c:v>
                </c:pt>
                <c:pt idx="1">
                  <c:v>4.1041041041041039E-2</c:v>
                </c:pt>
                <c:pt idx="2">
                  <c:v>3.9315448658649402E-2</c:v>
                </c:pt>
                <c:pt idx="3">
                  <c:v>4.4048734770384255E-2</c:v>
                </c:pt>
                <c:pt idx="4">
                  <c:v>3.5938903863432167E-2</c:v>
                </c:pt>
                <c:pt idx="5">
                  <c:v>3.588290840415486E-2</c:v>
                </c:pt>
                <c:pt idx="6">
                  <c:v>3.5818005808325268E-2</c:v>
                </c:pt>
                <c:pt idx="7">
                  <c:v>2.7522935779816515E-2</c:v>
                </c:pt>
                <c:pt idx="8">
                  <c:v>2.1475256769374416E-2</c:v>
                </c:pt>
                <c:pt idx="9">
                  <c:v>2.835538752362949E-2</c:v>
                </c:pt>
                <c:pt idx="10">
                  <c:v>1.7289073305670817E-2</c:v>
                </c:pt>
                <c:pt idx="11">
                  <c:v>1.859504132231405E-2</c:v>
                </c:pt>
              </c:numCache>
            </c:numRef>
          </c:val>
          <c:smooth val="0"/>
          <c:extLst>
            <c:ext xmlns:c16="http://schemas.microsoft.com/office/drawing/2014/chart" uri="{C3380CC4-5D6E-409C-BE32-E72D297353CC}">
              <c16:uniqueId val="{00000000-20FF-4919-A34C-F43B21D10846}"/>
            </c:ext>
          </c:extLst>
        </c:ser>
        <c:ser>
          <c:idx val="1"/>
          <c:order val="1"/>
          <c:tx>
            <c:strRef>
              <c:f>'Overcrowded Househods '!$BM$61</c:f>
              <c:strCache>
                <c:ptCount val="1"/>
                <c:pt idx="0">
                  <c:v>Min</c:v>
                </c:pt>
              </c:strCache>
            </c:strRef>
          </c:tx>
          <c:spPr>
            <a:ln w="28575" cap="rnd">
              <a:noFill/>
              <a:round/>
            </a:ln>
            <a:effectLst/>
          </c:spPr>
          <c:marker>
            <c:symbol val="none"/>
          </c:marker>
          <c:cat>
            <c:numRef>
              <c:f>'Overcrowded Househods '!$BN$56:$BY$56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'!$BN$61:$BY$61</c:f>
              <c:numCache>
                <c:formatCode>0.0%</c:formatCode>
                <c:ptCount val="12"/>
                <c:pt idx="0">
                  <c:v>3.3434650455927049E-2</c:v>
                </c:pt>
                <c:pt idx="1">
                  <c:v>3.3553875236294897E-2</c:v>
                </c:pt>
                <c:pt idx="2">
                  <c:v>3.0019685039370077E-2</c:v>
                </c:pt>
                <c:pt idx="3">
                  <c:v>3.098188751191611E-2</c:v>
                </c:pt>
                <c:pt idx="4">
                  <c:v>2.5974025974025976E-2</c:v>
                </c:pt>
                <c:pt idx="5">
                  <c:v>3.0583873957367932E-2</c:v>
                </c:pt>
                <c:pt idx="6">
                  <c:v>2.1780303030303032E-2</c:v>
                </c:pt>
                <c:pt idx="7">
                  <c:v>1.6917293233082706E-2</c:v>
                </c:pt>
                <c:pt idx="8">
                  <c:v>1.4245014245014245E-2</c:v>
                </c:pt>
                <c:pt idx="9">
                  <c:v>1.717557251908397E-2</c:v>
                </c:pt>
                <c:pt idx="10">
                  <c:v>1.0623229461756374E-2</c:v>
                </c:pt>
                <c:pt idx="11">
                  <c:v>1.507537688442211E-2</c:v>
                </c:pt>
              </c:numCache>
            </c:numRef>
          </c:val>
          <c:smooth val="0"/>
          <c:extLst>
            <c:ext xmlns:c16="http://schemas.microsoft.com/office/drawing/2014/chart" uri="{C3380CC4-5D6E-409C-BE32-E72D297353CC}">
              <c16:uniqueId val="{00000001-20FF-4919-A34C-F43B21D10846}"/>
            </c:ext>
          </c:extLst>
        </c:ser>
        <c:ser>
          <c:idx val="2"/>
          <c:order val="2"/>
          <c:tx>
            <c:strRef>
              <c:f>'Overcrowded Househods '!$BM$62</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'Overcrowded Househods '!$BN$56:$BY$56</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'!$BN$62:$BY$62</c:f>
              <c:numCache>
                <c:formatCode>0.0%</c:formatCode>
                <c:ptCount val="12"/>
                <c:pt idx="0">
                  <c:v>4.1145734199454033E-2</c:v>
                </c:pt>
                <c:pt idx="1">
                  <c:v>3.6255893006179193E-2</c:v>
                </c:pt>
                <c:pt idx="2">
                  <c:v>3.4365369281196392E-2</c:v>
                </c:pt>
                <c:pt idx="3">
                  <c:v>3.6678478227416975E-2</c:v>
                </c:pt>
                <c:pt idx="4">
                  <c:v>3.0361533602296837E-2</c:v>
                </c:pt>
                <c:pt idx="5">
                  <c:v>3.3546215438537877E-2</c:v>
                </c:pt>
                <c:pt idx="6">
                  <c:v>2.6488873222922159E-2</c:v>
                </c:pt>
                <c:pt idx="7">
                  <c:v>2.1583275793138762E-2</c:v>
                </c:pt>
                <c:pt idx="8">
                  <c:v>1.671982978064733E-2</c:v>
                </c:pt>
                <c:pt idx="9">
                  <c:v>2.4055008678467334E-2</c:v>
                </c:pt>
                <c:pt idx="10">
                  <c:v>1.4442827239133134E-2</c:v>
                </c:pt>
                <c:pt idx="11">
                  <c:v>1.6762642004867562E-2</c:v>
                </c:pt>
              </c:numCache>
            </c:numRef>
          </c:val>
          <c:smooth val="0"/>
          <c:extLst>
            <c:ext xmlns:c16="http://schemas.microsoft.com/office/drawing/2014/chart" uri="{C3380CC4-5D6E-409C-BE32-E72D297353CC}">
              <c16:uniqueId val="{00000003-20FF-4919-A34C-F43B21D10846}"/>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18507664"/>
        <c:axId val="1618518000"/>
      </c:stockChart>
      <c:catAx>
        <c:axId val="161850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8518000"/>
        <c:crosses val="autoZero"/>
        <c:auto val="1"/>
        <c:lblAlgn val="ctr"/>
        <c:lblOffset val="100"/>
        <c:noMultiLvlLbl val="0"/>
      </c:catAx>
      <c:valAx>
        <c:axId val="1618518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850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Rural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'Overcrowded Househods '!$BM$79</c:f>
              <c:strCache>
                <c:ptCount val="1"/>
                <c:pt idx="0">
                  <c:v>Max</c:v>
                </c:pt>
              </c:strCache>
            </c:strRef>
          </c:tx>
          <c:spPr>
            <a:ln w="28575" cap="rnd">
              <a:noFill/>
              <a:round/>
            </a:ln>
            <a:effectLst/>
          </c:spPr>
          <c:marker>
            <c:symbol val="none"/>
          </c:marker>
          <c:cat>
            <c:numRef>
              <c:f>'Overcrowded Househods '!$BN$78:$BY$78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'!$BN$79:$BY$79</c:f>
              <c:numCache>
                <c:formatCode>0.00%</c:formatCode>
                <c:ptCount val="12"/>
                <c:pt idx="0">
                  <c:v>1.8248175182481751E-3</c:v>
                </c:pt>
                <c:pt idx="1">
                  <c:v>1.455604075691412E-3</c:v>
                </c:pt>
                <c:pt idx="2">
                  <c:v>2.0648967551622419E-3</c:v>
                </c:pt>
                <c:pt idx="3">
                  <c:v>1.2172854534388314E-3</c:v>
                </c:pt>
                <c:pt idx="4">
                  <c:v>1.1976047904191617E-3</c:v>
                </c:pt>
                <c:pt idx="5">
                  <c:v>0</c:v>
                </c:pt>
                <c:pt idx="6">
                  <c:v>5.8548009367681499E-4</c:v>
                </c:pt>
                <c:pt idx="7">
                  <c:v>0</c:v>
                </c:pt>
                <c:pt idx="8">
                  <c:v>0</c:v>
                </c:pt>
                <c:pt idx="9">
                  <c:v>0</c:v>
                </c:pt>
                <c:pt idx="10">
                  <c:v>0</c:v>
                </c:pt>
                <c:pt idx="11">
                  <c:v>0</c:v>
                </c:pt>
              </c:numCache>
            </c:numRef>
          </c:val>
          <c:smooth val="0"/>
          <c:extLst>
            <c:ext xmlns:c16="http://schemas.microsoft.com/office/drawing/2014/chart" uri="{C3380CC4-5D6E-409C-BE32-E72D297353CC}">
              <c16:uniqueId val="{00000000-BFFD-447D-BC62-56C90C43071A}"/>
            </c:ext>
          </c:extLst>
        </c:ser>
        <c:ser>
          <c:idx val="1"/>
          <c:order val="1"/>
          <c:tx>
            <c:strRef>
              <c:f>'Overcrowded Househods '!$BM$80</c:f>
              <c:strCache>
                <c:ptCount val="1"/>
                <c:pt idx="0">
                  <c:v>Min</c:v>
                </c:pt>
              </c:strCache>
            </c:strRef>
          </c:tx>
          <c:spPr>
            <a:ln w="28575" cap="rnd">
              <a:noFill/>
              <a:round/>
            </a:ln>
            <a:effectLst/>
          </c:spPr>
          <c:marker>
            <c:symbol val="none"/>
          </c:marker>
          <c:cat>
            <c:numRef>
              <c:f>'Overcrowded Househods '!$BN$78:$BY$78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'!$BN$80:$BY$80</c:f>
              <c:numCache>
                <c:formatCode>0.00%</c:formatCode>
                <c:ptCount val="12"/>
                <c:pt idx="0">
                  <c:v>0</c:v>
                </c:pt>
                <c:pt idx="1">
                  <c:v>6.0132291040288638E-4</c:v>
                </c:pt>
                <c:pt idx="2">
                  <c:v>1.1926058437686344E-3</c:v>
                </c:pt>
                <c:pt idx="3">
                  <c:v>8.9338892197736745E-4</c:v>
                </c:pt>
                <c:pt idx="4">
                  <c:v>0</c:v>
                </c:pt>
                <c:pt idx="5">
                  <c:v>0</c:v>
                </c:pt>
                <c:pt idx="6">
                  <c:v>5.7770075101097628E-4</c:v>
                </c:pt>
                <c:pt idx="7">
                  <c:v>0</c:v>
                </c:pt>
                <c:pt idx="8">
                  <c:v>0</c:v>
                </c:pt>
                <c:pt idx="9">
                  <c:v>0</c:v>
                </c:pt>
                <c:pt idx="10">
                  <c:v>0</c:v>
                </c:pt>
                <c:pt idx="11">
                  <c:v>0</c:v>
                </c:pt>
              </c:numCache>
            </c:numRef>
          </c:val>
          <c:smooth val="0"/>
          <c:extLst>
            <c:ext xmlns:c16="http://schemas.microsoft.com/office/drawing/2014/chart" uri="{C3380CC4-5D6E-409C-BE32-E72D297353CC}">
              <c16:uniqueId val="{00000001-BFFD-447D-BC62-56C90C43071A}"/>
            </c:ext>
          </c:extLst>
        </c:ser>
        <c:ser>
          <c:idx val="2"/>
          <c:order val="2"/>
          <c:tx>
            <c:strRef>
              <c:f>'Overcrowded Househods '!$BM$81</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'Overcrowded Househods '!$BN$78:$BY$78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'!$BN$81:$BY$81</c:f>
              <c:numCache>
                <c:formatCode>0.00%</c:formatCode>
                <c:ptCount val="12"/>
                <c:pt idx="0">
                  <c:v>1.2036613748222025E-3</c:v>
                </c:pt>
                <c:pt idx="1">
                  <c:v>1.0970717083345211E-3</c:v>
                </c:pt>
                <c:pt idx="2">
                  <c:v>1.5544215829536372E-3</c:v>
                </c:pt>
                <c:pt idx="3">
                  <c:v>1.1303758272489524E-3</c:v>
                </c:pt>
                <c:pt idx="4">
                  <c:v>7.3461260326545912E-4</c:v>
                </c:pt>
                <c:pt idx="5">
                  <c:v>0</c:v>
                </c:pt>
                <c:pt idx="6">
                  <c:v>5.8149288559055246E-4</c:v>
                </c:pt>
                <c:pt idx="7">
                  <c:v>0</c:v>
                </c:pt>
                <c:pt idx="8">
                  <c:v>0</c:v>
                </c:pt>
                <c:pt idx="9">
                  <c:v>0</c:v>
                </c:pt>
                <c:pt idx="10">
                  <c:v>0</c:v>
                </c:pt>
                <c:pt idx="11">
                  <c:v>0</c:v>
                </c:pt>
              </c:numCache>
            </c:numRef>
          </c:val>
          <c:smooth val="0"/>
          <c:extLst>
            <c:ext xmlns:c16="http://schemas.microsoft.com/office/drawing/2014/chart" uri="{C3380CC4-5D6E-409C-BE32-E72D297353CC}">
              <c16:uniqueId val="{00000003-BFFD-447D-BC62-56C90C43071A}"/>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18511472"/>
        <c:axId val="1618486448"/>
      </c:stockChart>
      <c:catAx>
        <c:axId val="161851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8486448"/>
        <c:crosses val="autoZero"/>
        <c:auto val="1"/>
        <c:lblAlgn val="ctr"/>
        <c:lblOffset val="100"/>
        <c:noMultiLvlLbl val="0"/>
      </c:catAx>
      <c:valAx>
        <c:axId val="1618486448"/>
        <c:scaling>
          <c:orientation val="minMax"/>
          <c:max val="1.0000000000000002E-2"/>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8511472"/>
        <c:crosses val="autoZero"/>
        <c:crossBetween val="between"/>
        <c:majorUnit val="2.0000000000000005E-3"/>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Urban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tockChart>
        <c:ser>
          <c:idx val="0"/>
          <c:order val="0"/>
          <c:tx>
            <c:strRef>
              <c:f>'Overcrowded Househods '!$BM$82</c:f>
              <c:strCache>
                <c:ptCount val="1"/>
                <c:pt idx="0">
                  <c:v>Max</c:v>
                </c:pt>
              </c:strCache>
            </c:strRef>
          </c:tx>
          <c:spPr>
            <a:ln w="28575" cap="rnd">
              <a:noFill/>
              <a:round/>
            </a:ln>
            <a:effectLst/>
          </c:spPr>
          <c:marker>
            <c:symbol val="none"/>
          </c:marker>
          <c:cat>
            <c:numRef>
              <c:f>'Overcrowded Househods '!$BN$78:$BY$78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'!$BN$82:$BY$82</c:f>
              <c:numCache>
                <c:formatCode>0.00%</c:formatCode>
                <c:ptCount val="12"/>
                <c:pt idx="0">
                  <c:v>8.0000000000000002E-3</c:v>
                </c:pt>
                <c:pt idx="1">
                  <c:v>5.9760956175298804E-3</c:v>
                </c:pt>
                <c:pt idx="2">
                  <c:v>5.8252427184466021E-3</c:v>
                </c:pt>
                <c:pt idx="3">
                  <c:v>4.849660523763337E-3</c:v>
                </c:pt>
                <c:pt idx="4">
                  <c:v>2.7881040892193307E-3</c:v>
                </c:pt>
                <c:pt idx="5">
                  <c:v>4.721435316336166E-3</c:v>
                </c:pt>
                <c:pt idx="6">
                  <c:v>2.9041626331074541E-3</c:v>
                </c:pt>
                <c:pt idx="7">
                  <c:v>9.42507068803016E-4</c:v>
                </c:pt>
                <c:pt idx="8">
                  <c:v>9.4966761633428305E-4</c:v>
                </c:pt>
                <c:pt idx="9">
                  <c:v>9.9009900990099011E-4</c:v>
                </c:pt>
                <c:pt idx="10">
                  <c:v>1.3831258644536654E-3</c:v>
                </c:pt>
                <c:pt idx="11">
                  <c:v>1.4357501794687725E-3</c:v>
                </c:pt>
              </c:numCache>
            </c:numRef>
          </c:val>
          <c:smooth val="0"/>
          <c:extLst>
            <c:ext xmlns:c16="http://schemas.microsoft.com/office/drawing/2014/chart" uri="{C3380CC4-5D6E-409C-BE32-E72D297353CC}">
              <c16:uniqueId val="{00000000-4491-439E-923B-27D0DD2CD0B4}"/>
            </c:ext>
          </c:extLst>
        </c:ser>
        <c:ser>
          <c:idx val="1"/>
          <c:order val="1"/>
          <c:tx>
            <c:strRef>
              <c:f>'Overcrowded Househods '!$BM$83</c:f>
              <c:strCache>
                <c:ptCount val="1"/>
                <c:pt idx="0">
                  <c:v>Min</c:v>
                </c:pt>
              </c:strCache>
            </c:strRef>
          </c:tx>
          <c:spPr>
            <a:ln w="28575" cap="rnd">
              <a:noFill/>
              <a:round/>
            </a:ln>
            <a:effectLst/>
          </c:spPr>
          <c:marker>
            <c:symbol val="none"/>
          </c:marker>
          <c:cat>
            <c:numRef>
              <c:f>'Overcrowded Househods '!$BN$78:$BY$78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'!$BN$83:$BY$83</c:f>
              <c:numCache>
                <c:formatCode>0.00%</c:formatCode>
                <c:ptCount val="12"/>
                <c:pt idx="0">
                  <c:v>3.0395136778115501E-3</c:v>
                </c:pt>
                <c:pt idx="1">
                  <c:v>3.9506172839506174E-3</c:v>
                </c:pt>
                <c:pt idx="2">
                  <c:v>1.968503937007874E-3</c:v>
                </c:pt>
                <c:pt idx="3">
                  <c:v>3.482587064676617E-3</c:v>
                </c:pt>
                <c:pt idx="4">
                  <c:v>1.8552875695732839E-3</c:v>
                </c:pt>
                <c:pt idx="5">
                  <c:v>3.6068530207394047E-3</c:v>
                </c:pt>
                <c:pt idx="6">
                  <c:v>0</c:v>
                </c:pt>
                <c:pt idx="7">
                  <c:v>9.1743119266055051E-4</c:v>
                </c:pt>
                <c:pt idx="8">
                  <c:v>9.3370681605975728E-4</c:v>
                </c:pt>
                <c:pt idx="9">
                  <c:v>0</c:v>
                </c:pt>
                <c:pt idx="10">
                  <c:v>0</c:v>
                </c:pt>
                <c:pt idx="11">
                  <c:v>0</c:v>
                </c:pt>
              </c:numCache>
            </c:numRef>
          </c:val>
          <c:smooth val="0"/>
          <c:extLst>
            <c:ext xmlns:c16="http://schemas.microsoft.com/office/drawing/2014/chart" uri="{C3380CC4-5D6E-409C-BE32-E72D297353CC}">
              <c16:uniqueId val="{00000001-4491-439E-923B-27D0DD2CD0B4}"/>
            </c:ext>
          </c:extLst>
        </c:ser>
        <c:ser>
          <c:idx val="2"/>
          <c:order val="2"/>
          <c:tx>
            <c:strRef>
              <c:f>'Overcrowded Househods '!$BM$84</c:f>
              <c:strCache>
                <c:ptCount val="1"/>
                <c:pt idx="0">
                  <c:v>Average</c:v>
                </c:pt>
              </c:strCache>
            </c:strRef>
          </c:tx>
          <c:spPr>
            <a:ln w="28575"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'Overcrowded Househods '!$BN$78:$BY$78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'Overcrowded Househods '!$BN$84:$BY$84</c:f>
              <c:numCache>
                <c:formatCode>0.00%</c:formatCode>
                <c:ptCount val="12"/>
                <c:pt idx="0">
                  <c:v>5.2654200999110671E-3</c:v>
                </c:pt>
                <c:pt idx="1">
                  <c:v>5.0325514047877273E-3</c:v>
                </c:pt>
                <c:pt idx="2">
                  <c:v>4.0953627898114254E-3</c:v>
                </c:pt>
                <c:pt idx="3">
                  <c:v>4.209869862566446E-3</c:v>
                </c:pt>
                <c:pt idx="4">
                  <c:v>2.3002517103684192E-3</c:v>
                </c:pt>
                <c:pt idx="5">
                  <c:v>4.4011835418842262E-3</c:v>
                </c:pt>
                <c:pt idx="6">
                  <c:v>1.4399101221463273E-3</c:v>
                </c:pt>
                <c:pt idx="7">
                  <c:v>9.3057427765399201E-4</c:v>
                </c:pt>
                <c:pt idx="8">
                  <c:v>9.429909287627799E-4</c:v>
                </c:pt>
                <c:pt idx="9">
                  <c:v>7.223692668261039E-4</c:v>
                </c:pt>
                <c:pt idx="10">
                  <c:v>6.7114528971799065E-4</c:v>
                </c:pt>
                <c:pt idx="11">
                  <c:v>5.3111385340713808E-4</c:v>
                </c:pt>
              </c:numCache>
            </c:numRef>
          </c:val>
          <c:smooth val="0"/>
          <c:extLst>
            <c:ext xmlns:c16="http://schemas.microsoft.com/office/drawing/2014/chart" uri="{C3380CC4-5D6E-409C-BE32-E72D297353CC}">
              <c16:uniqueId val="{00000003-4491-439E-923B-27D0DD2CD0B4}"/>
            </c:ext>
          </c:extLst>
        </c:ser>
        <c:dLbls>
          <c:showLegendKey val="0"/>
          <c:showVal val="0"/>
          <c:showCatName val="0"/>
          <c:showSerName val="0"/>
          <c:showPercent val="0"/>
          <c:showBubbleSize val="0"/>
        </c:dLbls>
        <c:hiLowLines>
          <c:spPr>
            <a:ln w="25400" cap="flat" cmpd="dbl" algn="ctr">
              <a:solidFill>
                <a:sysClr val="windowText" lastClr="000000">
                  <a:lumMod val="75000"/>
                  <a:lumOff val="25000"/>
                </a:sysClr>
              </a:solidFill>
              <a:round/>
            </a:ln>
            <a:effectLst/>
          </c:spPr>
        </c:hiLowLines>
        <c:axId val="1618498960"/>
        <c:axId val="1618513648"/>
      </c:stockChart>
      <c:catAx>
        <c:axId val="161849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8513648"/>
        <c:crosses val="autoZero"/>
        <c:auto val="1"/>
        <c:lblAlgn val="ctr"/>
        <c:lblOffset val="100"/>
        <c:noMultiLvlLbl val="0"/>
      </c:catAx>
      <c:valAx>
        <c:axId val="161851364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8498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'Domestic and Foreign loans10-15'!$A$7</c:f>
              <c:strCache>
                <c:ptCount val="1"/>
                <c:pt idx="0">
                  <c:v>National Currency</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'Domestic and Foreign loans10-15'!$B$1:$BS$1</c:f>
              <c:strCache>
                <c:ptCount val="69"/>
                <c:pt idx="0">
                  <c:v>Jan-10</c:v>
                </c:pt>
                <c:pt idx="1">
                  <c:v>Feb-10</c:v>
                </c:pt>
                <c:pt idx="2">
                  <c:v>Mar-10</c:v>
                </c:pt>
                <c:pt idx="3">
                  <c:v>Apr-10</c:v>
                </c:pt>
                <c:pt idx="4">
                  <c:v>May-10</c:v>
                </c:pt>
                <c:pt idx="5">
                  <c:v>Jun-10</c:v>
                </c:pt>
                <c:pt idx="6">
                  <c:v>0/31/2010</c:v>
                </c:pt>
                <c:pt idx="7">
                  <c:v>Aug-10</c:v>
                </c:pt>
                <c:pt idx="8">
                  <c:v>Sep-10</c:v>
                </c:pt>
                <c:pt idx="9">
                  <c:v>Oct-10</c:v>
                </c:pt>
                <c:pt idx="10">
                  <c:v>Nov-10</c:v>
                </c:pt>
                <c:pt idx="11">
                  <c:v>Dec-10</c:v>
                </c:pt>
                <c:pt idx="12">
                  <c:v>Jan-11</c:v>
                </c:pt>
                <c:pt idx="13">
                  <c:v>Feb-11</c:v>
                </c:pt>
                <c:pt idx="14">
                  <c:v>Mar-11</c:v>
                </c:pt>
                <c:pt idx="15">
                  <c:v>Apr-11</c:v>
                </c:pt>
                <c:pt idx="16">
                  <c:v>May-11</c:v>
                </c:pt>
                <c:pt idx="17">
                  <c:v>Jun-11</c:v>
                </c:pt>
                <c:pt idx="18">
                  <c:v>Jul-11</c:v>
                </c:pt>
                <c:pt idx="19">
                  <c:v>Aug-11</c:v>
                </c:pt>
                <c:pt idx="20">
                  <c:v>Sep-11</c:v>
                </c:pt>
                <c:pt idx="21">
                  <c:v>Oct-11</c:v>
                </c:pt>
                <c:pt idx="22">
                  <c:v>Nov-11</c:v>
                </c:pt>
                <c:pt idx="23">
                  <c:v>Dec-11</c:v>
                </c:pt>
                <c:pt idx="24">
                  <c:v>Jan-12</c:v>
                </c:pt>
                <c:pt idx="25">
                  <c:v>Feb-12</c:v>
                </c:pt>
                <c:pt idx="26">
                  <c:v>Mar-12</c:v>
                </c:pt>
                <c:pt idx="27">
                  <c:v>Apr-12</c:v>
                </c:pt>
                <c:pt idx="28">
                  <c:v>May-12</c:v>
                </c:pt>
                <c:pt idx="29">
                  <c:v>Jun-12</c:v>
                </c:pt>
                <c:pt idx="30">
                  <c:v>Jul-12</c:v>
                </c:pt>
                <c:pt idx="31">
                  <c:v>Aug-12</c:v>
                </c:pt>
                <c:pt idx="32">
                  <c:v>Sep-12</c:v>
                </c:pt>
                <c:pt idx="33">
                  <c:v>Oct-12</c:v>
                </c:pt>
                <c:pt idx="34">
                  <c:v>Nov-12</c:v>
                </c:pt>
                <c:pt idx="35">
                  <c:v>Dec-12</c:v>
                </c:pt>
                <c:pt idx="36">
                  <c:v>Jan-13</c:v>
                </c:pt>
                <c:pt idx="37">
                  <c:v>Feb-13</c:v>
                </c:pt>
                <c:pt idx="38">
                  <c:v>Mar-13</c:v>
                </c:pt>
                <c:pt idx="39">
                  <c:v>Apr-13</c:v>
                </c:pt>
                <c:pt idx="40">
                  <c:v>May-13</c:v>
                </c:pt>
                <c:pt idx="41">
                  <c:v>Jun-13</c:v>
                </c:pt>
                <c:pt idx="42">
                  <c:v>Jul-13</c:v>
                </c:pt>
                <c:pt idx="43">
                  <c:v>Aug-13</c:v>
                </c:pt>
                <c:pt idx="44">
                  <c:v>Sep-13</c:v>
                </c:pt>
                <c:pt idx="45">
                  <c:v>Oct-13</c:v>
                </c:pt>
                <c:pt idx="46">
                  <c:v>Nov-13</c:v>
                </c:pt>
                <c:pt idx="47">
                  <c:v>Dec-13</c:v>
                </c:pt>
                <c:pt idx="48">
                  <c:v>Jan-14</c:v>
                </c:pt>
                <c:pt idx="49">
                  <c:v>Feb-14</c:v>
                </c:pt>
                <c:pt idx="50">
                  <c:v>Mar-14</c:v>
                </c:pt>
                <c:pt idx="51">
                  <c:v>Apr-14</c:v>
                </c:pt>
                <c:pt idx="52">
                  <c:v>May-14</c:v>
                </c:pt>
                <c:pt idx="53">
                  <c:v>Jun-14</c:v>
                </c:pt>
                <c:pt idx="54">
                  <c:v>Jul-14</c:v>
                </c:pt>
                <c:pt idx="55">
                  <c:v>Aug-14</c:v>
                </c:pt>
                <c:pt idx="56">
                  <c:v>Sep-14</c:v>
                </c:pt>
                <c:pt idx="57">
                  <c:v>Oct-14</c:v>
                </c:pt>
                <c:pt idx="58">
                  <c:v>Nov-14</c:v>
                </c:pt>
                <c:pt idx="59">
                  <c:v>Dec-14</c:v>
                </c:pt>
                <c:pt idx="60">
                  <c:v>Jan-15</c:v>
                </c:pt>
                <c:pt idx="61">
                  <c:v>Feb-15</c:v>
                </c:pt>
                <c:pt idx="62">
                  <c:v>Mar-15</c:v>
                </c:pt>
                <c:pt idx="63">
                  <c:v>Apr-15</c:v>
                </c:pt>
                <c:pt idx="64">
                  <c:v>May-15</c:v>
                </c:pt>
                <c:pt idx="65">
                  <c:v>Jun-15</c:v>
                </c:pt>
                <c:pt idx="66">
                  <c:v>Jul-15</c:v>
                </c:pt>
                <c:pt idx="67">
                  <c:v>Aug-15</c:v>
                </c:pt>
                <c:pt idx="68">
                  <c:v>Sep-15</c:v>
                </c:pt>
              </c:strCache>
            </c:strRef>
          </c:cat>
          <c:val>
            <c:numRef>
              <c:f>'Domestic and Foreign loans10-15'!$B$2:$BS$2</c:f>
              <c:numCache>
                <c:formatCode>0.0%</c:formatCode>
                <c:ptCount val="70"/>
                <c:pt idx="0">
                  <c:v>0.17</c:v>
                </c:pt>
                <c:pt idx="1">
                  <c:v>0.15057183417196393</c:v>
                </c:pt>
                <c:pt idx="2">
                  <c:v>0.1496440378151013</c:v>
                </c:pt>
                <c:pt idx="3">
                  <c:v>0.1513765586672704</c:v>
                </c:pt>
                <c:pt idx="4">
                  <c:v>0.15182125367882046</c:v>
                </c:pt>
                <c:pt idx="5">
                  <c:v>0.15184325464674686</c:v>
                </c:pt>
                <c:pt idx="6">
                  <c:v>0.15071431626647561</c:v>
                </c:pt>
                <c:pt idx="7">
                  <c:v>0.15289318838313595</c:v>
                </c:pt>
                <c:pt idx="8">
                  <c:v>0.15090107922414206</c:v>
                </c:pt>
                <c:pt idx="9">
                  <c:v>0.15012986313370405</c:v>
                </c:pt>
                <c:pt idx="10">
                  <c:v>0.15504369594467787</c:v>
                </c:pt>
                <c:pt idx="11">
                  <c:v>0.15738987748186806</c:v>
                </c:pt>
                <c:pt idx="12">
                  <c:v>0.17003264027933782</c:v>
                </c:pt>
                <c:pt idx="13">
                  <c:v>0.14180153830930597</c:v>
                </c:pt>
                <c:pt idx="14">
                  <c:v>0.15292000095634234</c:v>
                </c:pt>
                <c:pt idx="15">
                  <c:v>0.14652289230830554</c:v>
                </c:pt>
                <c:pt idx="16">
                  <c:v>0.14463125603526245</c:v>
                </c:pt>
                <c:pt idx="17">
                  <c:v>0.14680364000597051</c:v>
                </c:pt>
                <c:pt idx="18">
                  <c:v>0.14563711371672663</c:v>
                </c:pt>
                <c:pt idx="19">
                  <c:v>0.14101648471401554</c:v>
                </c:pt>
                <c:pt idx="20">
                  <c:v>0.13634514842073425</c:v>
                </c:pt>
                <c:pt idx="21">
                  <c:v>0.13869129292810328</c:v>
                </c:pt>
                <c:pt idx="22">
                  <c:v>0.13637960302951163</c:v>
                </c:pt>
                <c:pt idx="23">
                  <c:v>0.14418489994891751</c:v>
                </c:pt>
                <c:pt idx="24">
                  <c:v>0.14107380893606516</c:v>
                </c:pt>
                <c:pt idx="25">
                  <c:v>0.15354205219931549</c:v>
                </c:pt>
                <c:pt idx="26">
                  <c:v>0.155999547920434</c:v>
                </c:pt>
                <c:pt idx="27">
                  <c:v>0.15305873717537891</c:v>
                </c:pt>
                <c:pt idx="28">
                  <c:v>0.14764944655212692</c:v>
                </c:pt>
                <c:pt idx="29">
                  <c:v>0.14501872988859874</c:v>
                </c:pt>
                <c:pt idx="30">
                  <c:v>0.15023719518224352</c:v>
                </c:pt>
                <c:pt idx="31">
                  <c:v>0.14382290016610774</c:v>
                </c:pt>
                <c:pt idx="32">
                  <c:v>0.14682217718783824</c:v>
                </c:pt>
                <c:pt idx="33">
                  <c:v>0.13613327693816771</c:v>
                </c:pt>
                <c:pt idx="34">
                  <c:v>0.14002564102564102</c:v>
                </c:pt>
                <c:pt idx="35">
                  <c:v>0.14394201896948361</c:v>
                </c:pt>
                <c:pt idx="36">
                  <c:v>0.15431102427992174</c:v>
                </c:pt>
                <c:pt idx="37">
                  <c:v>0.16146664588528678</c:v>
                </c:pt>
                <c:pt idx="38">
                  <c:v>0.14395862639780402</c:v>
                </c:pt>
                <c:pt idx="39">
                  <c:v>0.12937442713107242</c:v>
                </c:pt>
                <c:pt idx="40">
                  <c:v>0.11432884038165406</c:v>
                </c:pt>
                <c:pt idx="41">
                  <c:v>0.10881095413693469</c:v>
                </c:pt>
                <c:pt idx="42">
                  <c:v>0.10266572071914111</c:v>
                </c:pt>
                <c:pt idx="43">
                  <c:v>0.10976451829731547</c:v>
                </c:pt>
                <c:pt idx="44">
                  <c:v>0.10556788244559275</c:v>
                </c:pt>
                <c:pt idx="45">
                  <c:v>8.957364271439916E-2</c:v>
                </c:pt>
                <c:pt idx="46">
                  <c:v>8.1091197702324647E-2</c:v>
                </c:pt>
                <c:pt idx="47">
                  <c:v>8.437282158328345E-2</c:v>
                </c:pt>
                <c:pt idx="48">
                  <c:v>8.6309145088900419E-2</c:v>
                </c:pt>
                <c:pt idx="49">
                  <c:v>9.8117618234842996E-2</c:v>
                </c:pt>
                <c:pt idx="50">
                  <c:v>0.10985063782897199</c:v>
                </c:pt>
                <c:pt idx="51">
                  <c:v>0.10638229158483634</c:v>
                </c:pt>
                <c:pt idx="52">
                  <c:v>0.1106592022893363</c:v>
                </c:pt>
                <c:pt idx="53">
                  <c:v>0.11522071960871785</c:v>
                </c:pt>
                <c:pt idx="54">
                  <c:v>0.1117080242741857</c:v>
                </c:pt>
                <c:pt idx="55">
                  <c:v>0.11985456270674957</c:v>
                </c:pt>
                <c:pt idx="56">
                  <c:v>9.9435276629028665E-2</c:v>
                </c:pt>
                <c:pt idx="57">
                  <c:v>9.7692060908789499E-2</c:v>
                </c:pt>
                <c:pt idx="58">
                  <c:v>9.4254733792396073E-2</c:v>
                </c:pt>
                <c:pt idx="59">
                  <c:v>0.1008210431768453</c:v>
                </c:pt>
                <c:pt idx="60">
                  <c:v>0.10635670884958738</c:v>
                </c:pt>
                <c:pt idx="61">
                  <c:v>0.10970663546573539</c:v>
                </c:pt>
                <c:pt idx="62">
                  <c:v>0.11942057128649043</c:v>
                </c:pt>
                <c:pt idx="63">
                  <c:v>0.11427191900286841</c:v>
                </c:pt>
                <c:pt idx="64">
                  <c:v>0.12060608047902886</c:v>
                </c:pt>
                <c:pt idx="65">
                  <c:v>0.12004343552845925</c:v>
                </c:pt>
                <c:pt idx="66">
                  <c:v>0.1257914452359051</c:v>
                </c:pt>
                <c:pt idx="67">
                  <c:v>0.12631229636534802</c:v>
                </c:pt>
                <c:pt idx="68">
                  <c:v>0.1311864953433724</c:v>
                </c:pt>
              </c:numCache>
            </c:numRef>
          </c:val>
          <c:smooth val="0"/>
          <c:extLst>
            <c:ext xmlns:c16="http://schemas.microsoft.com/office/drawing/2014/chart" uri="{C3380CC4-5D6E-409C-BE32-E72D297353CC}">
              <c16:uniqueId val="{00000001-A8F5-4CAC-95CB-E0AE56FCB17E}"/>
            </c:ext>
          </c:extLst>
        </c:ser>
        <c:dLbls>
          <c:showLegendKey val="0"/>
          <c:showVal val="0"/>
          <c:showCatName val="0"/>
          <c:showSerName val="0"/>
          <c:showPercent val="0"/>
          <c:showBubbleSize val="0"/>
        </c:dLbls>
        <c:smooth val="0"/>
        <c:axId val="1804782912"/>
        <c:axId val="1804803040"/>
      </c:lineChart>
      <c:catAx>
        <c:axId val="180478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803040"/>
        <c:crosses val="autoZero"/>
        <c:auto val="1"/>
        <c:lblAlgn val="ctr"/>
        <c:lblOffset val="100"/>
        <c:noMultiLvlLbl val="0"/>
      </c:catAx>
      <c:valAx>
        <c:axId val="1804803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82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Doubleup!$A$3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Doubleup!$B$3:$M$3</c:f>
              <c:numCache>
                <c:formatCode>0.0%</c:formatCode>
                <c:ptCount val="12"/>
                <c:pt idx="0">
                  <c:v>1.911735848185428E-2</c:v>
                </c:pt>
                <c:pt idx="1">
                  <c:v>1.3517665343759633E-2</c:v>
                </c:pt>
                <c:pt idx="2">
                  <c:v>7.6675845824537899E-3</c:v>
                </c:pt>
                <c:pt idx="3">
                  <c:v>1.1653166427439299E-2</c:v>
                </c:pt>
                <c:pt idx="4">
                  <c:v>1.4108784413476873E-2</c:v>
                </c:pt>
                <c:pt idx="5">
                  <c:v>1.1862749598077362E-2</c:v>
                </c:pt>
                <c:pt idx="6">
                  <c:v>1.1780065545739528E-2</c:v>
                </c:pt>
                <c:pt idx="7">
                  <c:v>2.1193152152969998E-2</c:v>
                </c:pt>
                <c:pt idx="8">
                  <c:v>2.2077832853694922E-2</c:v>
                </c:pt>
                <c:pt idx="9">
                  <c:v>2.3953086841486559E-2</c:v>
                </c:pt>
                <c:pt idx="10">
                  <c:v>1.7064825146261519E-2</c:v>
                </c:pt>
                <c:pt idx="11">
                  <c:v>1.8442203673989691E-2</c:v>
                </c:pt>
              </c:numCache>
            </c:numRef>
          </c:val>
          <c:smooth val="0"/>
          <c:extLst>
            <c:ext xmlns:c16="http://schemas.microsoft.com/office/drawing/2014/chart" uri="{C3380CC4-5D6E-409C-BE32-E72D297353CC}">
              <c16:uniqueId val="{00000000-4AD4-4CD5-A032-6A8AFC6B3821}"/>
            </c:ext>
          </c:extLst>
        </c:ser>
        <c:ser>
          <c:idx val="1"/>
          <c:order val="1"/>
          <c:tx>
            <c:strRef>
              <c:f>Doubleup!$A$4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Doubleup!$B$4:$M$4</c:f>
              <c:numCache>
                <c:formatCode>0.0%</c:formatCode>
                <c:ptCount val="12"/>
                <c:pt idx="0">
                  <c:v>3.2447722705545835E-2</c:v>
                </c:pt>
                <c:pt idx="1">
                  <c:v>2.6086887951876039E-2</c:v>
                </c:pt>
                <c:pt idx="2">
                  <c:v>2.3577920680088491E-2</c:v>
                </c:pt>
                <c:pt idx="3">
                  <c:v>3.0953552686116464E-2</c:v>
                </c:pt>
                <c:pt idx="4">
                  <c:v>3.7948374092904011E-2</c:v>
                </c:pt>
                <c:pt idx="5">
                  <c:v>2.3888853354630327E-2</c:v>
                </c:pt>
                <c:pt idx="6">
                  <c:v>1.497078428184374E-2</c:v>
                </c:pt>
                <c:pt idx="7">
                  <c:v>2.4336458754830877E-2</c:v>
                </c:pt>
                <c:pt idx="8">
                  <c:v>3.6180967520892386E-2</c:v>
                </c:pt>
                <c:pt idx="9">
                  <c:v>3.3309400617186798E-2</c:v>
                </c:pt>
                <c:pt idx="10">
                  <c:v>4.3246891325678598E-2</c:v>
                </c:pt>
                <c:pt idx="11">
                  <c:v>4.5077269760918172E-2</c:v>
                </c:pt>
              </c:numCache>
            </c:numRef>
          </c:val>
          <c:smooth val="0"/>
          <c:extLst>
            <c:ext xmlns:c16="http://schemas.microsoft.com/office/drawing/2014/chart" uri="{C3380CC4-5D6E-409C-BE32-E72D297353CC}">
              <c16:uniqueId val="{00000001-4AD4-4CD5-A032-6A8AFC6B3821}"/>
            </c:ext>
          </c:extLst>
        </c:ser>
        <c:ser>
          <c:idx val="2"/>
          <c:order val="2"/>
          <c:tx>
            <c:strRef>
              <c:f>Doubleup!$A$5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Doubleup!$B$5:$M$5</c:f>
              <c:numCache>
                <c:formatCode>0.0%</c:formatCode>
                <c:ptCount val="12"/>
                <c:pt idx="0">
                  <c:v>2.8263548143465121E-2</c:v>
                </c:pt>
                <c:pt idx="1">
                  <c:v>1.9868560353807012E-2</c:v>
                </c:pt>
                <c:pt idx="2">
                  <c:v>3.5278367646641898E-2</c:v>
                </c:pt>
                <c:pt idx="3">
                  <c:v>3.0309306420096827E-2</c:v>
                </c:pt>
                <c:pt idx="4">
                  <c:v>3.9398288033424288E-2</c:v>
                </c:pt>
                <c:pt idx="5">
                  <c:v>3.8417027417027419E-2</c:v>
                </c:pt>
                <c:pt idx="6">
                  <c:v>4.9304690370981188E-2</c:v>
                </c:pt>
                <c:pt idx="7">
                  <c:v>4.6253922718468746E-2</c:v>
                </c:pt>
                <c:pt idx="8">
                  <c:v>5.8823619617638177E-2</c:v>
                </c:pt>
                <c:pt idx="9">
                  <c:v>5.9074172651355436E-2</c:v>
                </c:pt>
                <c:pt idx="10">
                  <c:v>4.1925401667100584E-2</c:v>
                </c:pt>
                <c:pt idx="11">
                  <c:v>5.1270231417433754E-2</c:v>
                </c:pt>
              </c:numCache>
            </c:numRef>
          </c:val>
          <c:smooth val="0"/>
          <c:extLst>
            <c:ext xmlns:c16="http://schemas.microsoft.com/office/drawing/2014/chart" uri="{C3380CC4-5D6E-409C-BE32-E72D297353CC}">
              <c16:uniqueId val="{00000002-4AD4-4CD5-A032-6A8AFC6B3821}"/>
            </c:ext>
          </c:extLst>
        </c:ser>
        <c:ser>
          <c:idx val="3"/>
          <c:order val="3"/>
          <c:tx>
            <c:strRef>
              <c:f>Doubleup!$A$6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Doubleup!$B$6:$M$6</c:f>
              <c:numCache>
                <c:formatCode>0.0%</c:formatCode>
                <c:ptCount val="12"/>
                <c:pt idx="0">
                  <c:v>4.0363150282164369E-2</c:v>
                </c:pt>
                <c:pt idx="1">
                  <c:v>4.0585274102207122E-2</c:v>
                </c:pt>
                <c:pt idx="2">
                  <c:v>4.3403716110009004E-2</c:v>
                </c:pt>
                <c:pt idx="3">
                  <c:v>5.2050817278036628E-2</c:v>
                </c:pt>
                <c:pt idx="4">
                  <c:v>4.6665651208025863E-2</c:v>
                </c:pt>
                <c:pt idx="5">
                  <c:v>5.997557179065971E-2</c:v>
                </c:pt>
                <c:pt idx="6">
                  <c:v>6.4455235237754038E-2</c:v>
                </c:pt>
                <c:pt idx="7">
                  <c:v>5.1554255059934807E-2</c:v>
                </c:pt>
                <c:pt idx="8">
                  <c:v>6.8198557353623637E-2</c:v>
                </c:pt>
                <c:pt idx="9">
                  <c:v>6.645050150898435E-2</c:v>
                </c:pt>
                <c:pt idx="10">
                  <c:v>6.5291821549292972E-2</c:v>
                </c:pt>
                <c:pt idx="11">
                  <c:v>7.6405648462662332E-2</c:v>
                </c:pt>
              </c:numCache>
            </c:numRef>
          </c:val>
          <c:smooth val="0"/>
          <c:extLst>
            <c:ext xmlns:c16="http://schemas.microsoft.com/office/drawing/2014/chart" uri="{C3380CC4-5D6E-409C-BE32-E72D297353CC}">
              <c16:uniqueId val="{00000003-4AD4-4CD5-A032-6A8AFC6B3821}"/>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1"/>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Doubleup!$P$3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Doubleup!$Q$3:$AB$3</c:f>
              <c:numCache>
                <c:formatCode>0.00%</c:formatCode>
                <c:ptCount val="12"/>
                <c:pt idx="0">
                  <c:v>1.0104850185670082E-2</c:v>
                </c:pt>
                <c:pt idx="1">
                  <c:v>8.5640641298348561E-3</c:v>
                </c:pt>
                <c:pt idx="2">
                  <c:v>7.7318505909767434E-3</c:v>
                </c:pt>
                <c:pt idx="3">
                  <c:v>6.5217896785946172E-3</c:v>
                </c:pt>
                <c:pt idx="4">
                  <c:v>1.1865996200852481E-2</c:v>
                </c:pt>
                <c:pt idx="5">
                  <c:v>1.222365511466623E-2</c:v>
                </c:pt>
                <c:pt idx="6">
                  <c:v>9.1242033022724042E-3</c:v>
                </c:pt>
                <c:pt idx="7">
                  <c:v>6.6274034630402498E-3</c:v>
                </c:pt>
                <c:pt idx="8">
                  <c:v>9.1246691755168287E-3</c:v>
                </c:pt>
                <c:pt idx="9">
                  <c:v>8.5447976746215789E-3</c:v>
                </c:pt>
                <c:pt idx="10">
                  <c:v>1.8223402810781452E-2</c:v>
                </c:pt>
                <c:pt idx="11">
                  <c:v>1.8064471100677992E-2</c:v>
                </c:pt>
              </c:numCache>
            </c:numRef>
          </c:val>
          <c:smooth val="0"/>
          <c:extLst>
            <c:ext xmlns:c16="http://schemas.microsoft.com/office/drawing/2014/chart" uri="{C3380CC4-5D6E-409C-BE32-E72D297353CC}">
              <c16:uniqueId val="{00000000-52DE-4739-85CD-86334C7E9177}"/>
            </c:ext>
          </c:extLst>
        </c:ser>
        <c:ser>
          <c:idx val="1"/>
          <c:order val="1"/>
          <c:tx>
            <c:strRef>
              <c:f>Doubleup!$P$4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Doubleup!$Q$4:$AB$4</c:f>
              <c:numCache>
                <c:formatCode>0.0%</c:formatCode>
                <c:ptCount val="12"/>
                <c:pt idx="0">
                  <c:v>1.4166898867303393E-2</c:v>
                </c:pt>
                <c:pt idx="1">
                  <c:v>1.2968646525336957E-2</c:v>
                </c:pt>
                <c:pt idx="2">
                  <c:v>8.6605398815400234E-3</c:v>
                </c:pt>
                <c:pt idx="3">
                  <c:v>1.634351567001429E-2</c:v>
                </c:pt>
                <c:pt idx="4">
                  <c:v>1.6038524585611506E-2</c:v>
                </c:pt>
                <c:pt idx="5">
                  <c:v>1.9585902450620977E-2</c:v>
                </c:pt>
                <c:pt idx="6">
                  <c:v>1.96627498030293E-2</c:v>
                </c:pt>
                <c:pt idx="7">
                  <c:v>2.4808619453943252E-2</c:v>
                </c:pt>
                <c:pt idx="8">
                  <c:v>3.0598970198907297E-2</c:v>
                </c:pt>
                <c:pt idx="9">
                  <c:v>3.0281822410505341E-2</c:v>
                </c:pt>
                <c:pt idx="10">
                  <c:v>4.2077230000663622E-2</c:v>
                </c:pt>
                <c:pt idx="11">
                  <c:v>5.1656578231898231E-2</c:v>
                </c:pt>
              </c:numCache>
            </c:numRef>
          </c:val>
          <c:smooth val="0"/>
          <c:extLst>
            <c:ext xmlns:c16="http://schemas.microsoft.com/office/drawing/2014/chart" uri="{C3380CC4-5D6E-409C-BE32-E72D297353CC}">
              <c16:uniqueId val="{00000001-52DE-4739-85CD-86334C7E9177}"/>
            </c:ext>
          </c:extLst>
        </c:ser>
        <c:ser>
          <c:idx val="2"/>
          <c:order val="2"/>
          <c:tx>
            <c:strRef>
              <c:f>Doubleup!$P$5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Doubleup!$Q$5:$AB$5</c:f>
              <c:numCache>
                <c:formatCode>0.0%</c:formatCode>
                <c:ptCount val="12"/>
                <c:pt idx="0">
                  <c:v>1.0913209003807789E-2</c:v>
                </c:pt>
                <c:pt idx="1">
                  <c:v>1.7546419564241033E-2</c:v>
                </c:pt>
                <c:pt idx="2">
                  <c:v>2.0871273849395664E-2</c:v>
                </c:pt>
                <c:pt idx="3">
                  <c:v>1.6821362558938551E-2</c:v>
                </c:pt>
                <c:pt idx="4">
                  <c:v>1.9159962186678571E-2</c:v>
                </c:pt>
                <c:pt idx="5">
                  <c:v>3.6366561543936395E-2</c:v>
                </c:pt>
                <c:pt idx="6">
                  <c:v>4.0156427246120577E-2</c:v>
                </c:pt>
                <c:pt idx="7">
                  <c:v>4.4371390819474547E-2</c:v>
                </c:pt>
                <c:pt idx="8">
                  <c:v>5.4248409797347526E-2</c:v>
                </c:pt>
                <c:pt idx="9">
                  <c:v>3.4369912597695874E-2</c:v>
                </c:pt>
                <c:pt idx="10">
                  <c:v>5.4354039402347065E-2</c:v>
                </c:pt>
                <c:pt idx="11">
                  <c:v>6.9047492885229766E-2</c:v>
                </c:pt>
              </c:numCache>
            </c:numRef>
          </c:val>
          <c:smooth val="0"/>
          <c:extLst>
            <c:ext xmlns:c16="http://schemas.microsoft.com/office/drawing/2014/chart" uri="{C3380CC4-5D6E-409C-BE32-E72D297353CC}">
              <c16:uniqueId val="{00000002-52DE-4739-85CD-86334C7E9177}"/>
            </c:ext>
          </c:extLst>
        </c:ser>
        <c:ser>
          <c:idx val="3"/>
          <c:order val="3"/>
          <c:tx>
            <c:strRef>
              <c:f>Doubleup!$P$6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Doubleup!$Q$6:$AB$6</c:f>
              <c:numCache>
                <c:formatCode>0.0%</c:formatCode>
                <c:ptCount val="12"/>
                <c:pt idx="0">
                  <c:v>1.5989719015942754E-2</c:v>
                </c:pt>
                <c:pt idx="1">
                  <c:v>2.2079567442065944E-2</c:v>
                </c:pt>
                <c:pt idx="2">
                  <c:v>2.3932078247802208E-2</c:v>
                </c:pt>
                <c:pt idx="3">
                  <c:v>2.4868988233041778E-2</c:v>
                </c:pt>
                <c:pt idx="4">
                  <c:v>2.9737876651243542E-2</c:v>
                </c:pt>
                <c:pt idx="5">
                  <c:v>4.6042814385613987E-2</c:v>
                </c:pt>
                <c:pt idx="6">
                  <c:v>5.2116746750877282E-2</c:v>
                </c:pt>
                <c:pt idx="7">
                  <c:v>5.8469531008058399E-2</c:v>
                </c:pt>
                <c:pt idx="8">
                  <c:v>7.2494417420492688E-2</c:v>
                </c:pt>
                <c:pt idx="9">
                  <c:v>6.0259787092631668E-2</c:v>
                </c:pt>
                <c:pt idx="10">
                  <c:v>7.2550140424681331E-2</c:v>
                </c:pt>
                <c:pt idx="11">
                  <c:v>8.7445479774087204E-2</c:v>
                </c:pt>
              </c:numCache>
            </c:numRef>
          </c:val>
          <c:smooth val="0"/>
          <c:extLst>
            <c:ext xmlns:c16="http://schemas.microsoft.com/office/drawing/2014/chart" uri="{C3380CC4-5D6E-409C-BE32-E72D297353CC}">
              <c16:uniqueId val="{00000003-52DE-4739-85CD-86334C7E9177}"/>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1"/>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Doubleup!$A$3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Doubleup!$B$3:$M$3</c:f>
              <c:numCache>
                <c:formatCode>0.0%</c:formatCode>
                <c:ptCount val="12"/>
                <c:pt idx="0">
                  <c:v>3.0358050109248292E-2</c:v>
                </c:pt>
                <c:pt idx="1">
                  <c:v>2.5903899893235556E-2</c:v>
                </c:pt>
                <c:pt idx="2">
                  <c:v>2.8522285646295206E-2</c:v>
                </c:pt>
                <c:pt idx="3">
                  <c:v>3.2436815176572618E-2</c:v>
                </c:pt>
                <c:pt idx="4">
                  <c:v>3.477949628788933E-2</c:v>
                </c:pt>
                <c:pt idx="5">
                  <c:v>3.4477384562386339E-2</c:v>
                </c:pt>
                <c:pt idx="6">
                  <c:v>3.7434405264706982E-2</c:v>
                </c:pt>
                <c:pt idx="7">
                  <c:v>3.7217307284046271E-2</c:v>
                </c:pt>
                <c:pt idx="8">
                  <c:v>4.9262278312107985E-2</c:v>
                </c:pt>
                <c:pt idx="9">
                  <c:v>4.8147610779733792E-2</c:v>
                </c:pt>
                <c:pt idx="10">
                  <c:v>4.380645144676492E-2</c:v>
                </c:pt>
                <c:pt idx="11">
                  <c:v>4.9368086408144982E-2</c:v>
                </c:pt>
              </c:numCache>
            </c:numRef>
          </c:val>
          <c:smooth val="0"/>
          <c:extLst>
            <c:ext xmlns:c16="http://schemas.microsoft.com/office/drawing/2014/chart" uri="{C3380CC4-5D6E-409C-BE32-E72D297353CC}">
              <c16:uniqueId val="{00000000-9534-4523-B69E-760C2927FE66}"/>
            </c:ext>
          </c:extLst>
        </c:ser>
        <c:ser>
          <c:idx val="1"/>
          <c:order val="1"/>
          <c:tx>
            <c:strRef>
              <c:f>Doubleup!$A$4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Doubleup!$B$4:$M$4</c:f>
              <c:numCache>
                <c:formatCode>0.0%</c:formatCode>
                <c:ptCount val="12"/>
                <c:pt idx="0">
                  <c:v>9.4160828237758176E-2</c:v>
                </c:pt>
                <c:pt idx="1">
                  <c:v>2.1558884781439032E-2</c:v>
                </c:pt>
                <c:pt idx="2">
                  <c:v>3.5728864930481698E-2</c:v>
                </c:pt>
                <c:pt idx="3">
                  <c:v>4.8714240250548393E-2</c:v>
                </c:pt>
                <c:pt idx="4">
                  <c:v>6.4107232254964897E-2</c:v>
                </c:pt>
                <c:pt idx="5">
                  <c:v>3.5370177654050254E-2</c:v>
                </c:pt>
                <c:pt idx="6">
                  <c:v>6.3523673683520229E-2</c:v>
                </c:pt>
                <c:pt idx="7">
                  <c:v>4.8377192982456137E-2</c:v>
                </c:pt>
                <c:pt idx="8">
                  <c:v>7.32028075521928E-2</c:v>
                </c:pt>
                <c:pt idx="9">
                  <c:v>1.6673732805728283E-2</c:v>
                </c:pt>
                <c:pt idx="10">
                  <c:v>7.3550180280185756E-2</c:v>
                </c:pt>
                <c:pt idx="11">
                  <c:v>7.11925353663036E-2</c:v>
                </c:pt>
              </c:numCache>
            </c:numRef>
          </c:val>
          <c:smooth val="0"/>
          <c:extLst>
            <c:ext xmlns:c16="http://schemas.microsoft.com/office/drawing/2014/chart" uri="{C3380CC4-5D6E-409C-BE32-E72D297353CC}">
              <c16:uniqueId val="{00000001-9534-4523-B69E-760C2927FE66}"/>
            </c:ext>
          </c:extLst>
        </c:ser>
        <c:ser>
          <c:idx val="2"/>
          <c:order val="2"/>
          <c:tx>
            <c:strRef>
              <c:f>Doubleup!$A$5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Doubleup!$B$5:$M$5</c:f>
              <c:numCache>
                <c:formatCode>0.0%</c:formatCode>
                <c:ptCount val="12"/>
                <c:pt idx="0">
                  <c:v>4.3788653562406188E-2</c:v>
                </c:pt>
                <c:pt idx="1">
                  <c:v>2.6962084428368411E-2</c:v>
                </c:pt>
                <c:pt idx="2">
                  <c:v>3.3043268115510727E-2</c:v>
                </c:pt>
                <c:pt idx="3">
                  <c:v>4.737564290069788E-2</c:v>
                </c:pt>
                <c:pt idx="4">
                  <c:v>4.3202996086459465E-2</c:v>
                </c:pt>
                <c:pt idx="5">
                  <c:v>4.8869394459581411E-2</c:v>
                </c:pt>
                <c:pt idx="6">
                  <c:v>4.8394044611993273E-2</c:v>
                </c:pt>
                <c:pt idx="7">
                  <c:v>4.1292230007291077E-2</c:v>
                </c:pt>
                <c:pt idx="8">
                  <c:v>6.9806755782989685E-2</c:v>
                </c:pt>
                <c:pt idx="9">
                  <c:v>7.7458561923844302E-2</c:v>
                </c:pt>
                <c:pt idx="10">
                  <c:v>6.9972260279982143E-2</c:v>
                </c:pt>
                <c:pt idx="11">
                  <c:v>6.9067972399931912E-2</c:v>
                </c:pt>
              </c:numCache>
            </c:numRef>
          </c:val>
          <c:smooth val="0"/>
          <c:extLst>
            <c:ext xmlns:c16="http://schemas.microsoft.com/office/drawing/2014/chart" uri="{C3380CC4-5D6E-409C-BE32-E72D297353CC}">
              <c16:uniqueId val="{00000002-9534-4523-B69E-760C2927FE66}"/>
            </c:ext>
          </c:extLst>
        </c:ser>
        <c:ser>
          <c:idx val="3"/>
          <c:order val="3"/>
          <c:tx>
            <c:strRef>
              <c:f>Doubleup!$A$6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Doubleup!$B$6:$M$6</c:f>
              <c:numCache>
                <c:formatCode>0.0%</c:formatCode>
                <c:ptCount val="12"/>
                <c:pt idx="0">
                  <c:v>4.6913282045173706E-2</c:v>
                </c:pt>
                <c:pt idx="1">
                  <c:v>3.9848851822686743E-2</c:v>
                </c:pt>
                <c:pt idx="2">
                  <c:v>2.6484446666178059E-2</c:v>
                </c:pt>
                <c:pt idx="3">
                  <c:v>3.8651714866548628E-2</c:v>
                </c:pt>
                <c:pt idx="4">
                  <c:v>6.0879128587461917E-2</c:v>
                </c:pt>
                <c:pt idx="5">
                  <c:v>5.0529100298373868E-2</c:v>
                </c:pt>
                <c:pt idx="6">
                  <c:v>3.3163008088440582E-2</c:v>
                </c:pt>
                <c:pt idx="7">
                  <c:v>7.5983555228838248E-2</c:v>
                </c:pt>
                <c:pt idx="8">
                  <c:v>7.4008982840432988E-2</c:v>
                </c:pt>
                <c:pt idx="9">
                  <c:v>0.10692818637533856</c:v>
                </c:pt>
                <c:pt idx="10">
                  <c:v>3.2845652008458799E-2</c:v>
                </c:pt>
                <c:pt idx="11">
                  <c:v>4.2106754982694831E-2</c:v>
                </c:pt>
              </c:numCache>
            </c:numRef>
          </c:val>
          <c:smooth val="0"/>
          <c:extLst>
            <c:ext xmlns:c16="http://schemas.microsoft.com/office/drawing/2014/chart" uri="{C3380CC4-5D6E-409C-BE32-E72D297353CC}">
              <c16:uniqueId val="{00000003-9534-4523-B69E-760C2927FE66}"/>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11000000000000001"/>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Doubleup!$P$3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Doubleup!$Q$3:$AB$3</c:f>
              <c:numCache>
                <c:formatCode>0.00%</c:formatCode>
                <c:ptCount val="12"/>
                <c:pt idx="0">
                  <c:v>1.2767967398101099E-2</c:v>
                </c:pt>
                <c:pt idx="1">
                  <c:v>1.4982782152901967E-2</c:v>
                </c:pt>
                <c:pt idx="2">
                  <c:v>1.4892869169499149E-2</c:v>
                </c:pt>
                <c:pt idx="3">
                  <c:v>1.5822572209005917E-2</c:v>
                </c:pt>
                <c:pt idx="4">
                  <c:v>1.9030144944384753E-2</c:v>
                </c:pt>
                <c:pt idx="5">
                  <c:v>2.8286073201875764E-2</c:v>
                </c:pt>
                <c:pt idx="6">
                  <c:v>2.92217428788967E-2</c:v>
                </c:pt>
                <c:pt idx="7">
                  <c:v>3.2356711753587029E-2</c:v>
                </c:pt>
                <c:pt idx="8">
                  <c:v>3.9134490667483396E-2</c:v>
                </c:pt>
                <c:pt idx="9">
                  <c:v>3.1699458079438872E-2</c:v>
                </c:pt>
                <c:pt idx="10">
                  <c:v>4.4308780677560236E-2</c:v>
                </c:pt>
                <c:pt idx="11">
                  <c:v>5.4508972098633486E-2</c:v>
                </c:pt>
              </c:numCache>
            </c:numRef>
          </c:val>
          <c:smooth val="0"/>
          <c:extLst>
            <c:ext xmlns:c16="http://schemas.microsoft.com/office/drawing/2014/chart" uri="{C3380CC4-5D6E-409C-BE32-E72D297353CC}">
              <c16:uniqueId val="{00000000-D57C-4F0A-95B5-600F8FAA878C}"/>
            </c:ext>
          </c:extLst>
        </c:ser>
        <c:ser>
          <c:idx val="1"/>
          <c:order val="1"/>
          <c:tx>
            <c:strRef>
              <c:f>Doubleup!$P$4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Doubleup!$Q$4:$AB$4</c:f>
              <c:numCache>
                <c:formatCode>0.0%</c:formatCode>
                <c:ptCount val="12"/>
                <c:pt idx="0">
                  <c:v>1.3157894736842105E-2</c:v>
                </c:pt>
                <c:pt idx="1">
                  <c:v>2.0128824476650563E-2</c:v>
                </c:pt>
                <c:pt idx="2">
                  <c:v>6.0716348700584823E-2</c:v>
                </c:pt>
                <c:pt idx="3">
                  <c:v>5.3271700744539671E-2</c:v>
                </c:pt>
                <c:pt idx="4">
                  <c:v>2.4252322880371657E-2</c:v>
                </c:pt>
                <c:pt idx="5">
                  <c:v>2.8235815602836879E-2</c:v>
                </c:pt>
                <c:pt idx="6">
                  <c:v>2.7415923129718599E-2</c:v>
                </c:pt>
                <c:pt idx="7">
                  <c:v>4.6327906162464988E-2</c:v>
                </c:pt>
                <c:pt idx="8">
                  <c:v>4.9115949661520913E-2</c:v>
                </c:pt>
                <c:pt idx="9">
                  <c:v>7.7316677633826311E-2</c:v>
                </c:pt>
                <c:pt idx="10">
                  <c:v>5.4497526067416598E-2</c:v>
                </c:pt>
                <c:pt idx="11">
                  <c:v>7.1426239904500782E-2</c:v>
                </c:pt>
              </c:numCache>
            </c:numRef>
          </c:val>
          <c:smooth val="0"/>
          <c:extLst>
            <c:ext xmlns:c16="http://schemas.microsoft.com/office/drawing/2014/chart" uri="{C3380CC4-5D6E-409C-BE32-E72D297353CC}">
              <c16:uniqueId val="{00000001-D57C-4F0A-95B5-600F8FAA878C}"/>
            </c:ext>
          </c:extLst>
        </c:ser>
        <c:ser>
          <c:idx val="2"/>
          <c:order val="2"/>
          <c:tx>
            <c:strRef>
              <c:f>Doubleup!$P$5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Doubleup!$Q$5:$AB$5</c:f>
              <c:numCache>
                <c:formatCode>0.0%</c:formatCode>
                <c:ptCount val="12"/>
                <c:pt idx="0">
                  <c:v>1.4273431900826106E-2</c:v>
                </c:pt>
                <c:pt idx="1">
                  <c:v>5.5260356174990317E-2</c:v>
                </c:pt>
                <c:pt idx="2">
                  <c:v>1.7340690922733243E-2</c:v>
                </c:pt>
                <c:pt idx="3">
                  <c:v>1.6166017358806392E-2</c:v>
                </c:pt>
                <c:pt idx="4">
                  <c:v>3.4228659201622429E-2</c:v>
                </c:pt>
                <c:pt idx="5">
                  <c:v>5.414071546147018E-2</c:v>
                </c:pt>
                <c:pt idx="6">
                  <c:v>5.1388864869632796E-2</c:v>
                </c:pt>
                <c:pt idx="7">
                  <c:v>5.5977340915099795E-2</c:v>
                </c:pt>
                <c:pt idx="8">
                  <c:v>6.7691771093134914E-2</c:v>
                </c:pt>
                <c:pt idx="9">
                  <c:v>6.2103344060450219E-2</c:v>
                </c:pt>
                <c:pt idx="10">
                  <c:v>6.4811113045790014E-2</c:v>
                </c:pt>
                <c:pt idx="11">
                  <c:v>8.9966828866566692E-2</c:v>
                </c:pt>
              </c:numCache>
            </c:numRef>
          </c:val>
          <c:smooth val="0"/>
          <c:extLst>
            <c:ext xmlns:c16="http://schemas.microsoft.com/office/drawing/2014/chart" uri="{C3380CC4-5D6E-409C-BE32-E72D297353CC}">
              <c16:uniqueId val="{00000002-D57C-4F0A-95B5-600F8FAA878C}"/>
            </c:ext>
          </c:extLst>
        </c:ser>
        <c:ser>
          <c:idx val="3"/>
          <c:order val="3"/>
          <c:tx>
            <c:strRef>
              <c:f>Doubleup!$P$6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Doubleup!$Q$6:$AB$6</c:f>
              <c:numCache>
                <c:formatCode>0.0%</c:formatCode>
                <c:ptCount val="12"/>
                <c:pt idx="0">
                  <c:v>1.9157072983561972E-2</c:v>
                </c:pt>
                <c:pt idx="1">
                  <c:v>2.2868907399550428E-2</c:v>
                </c:pt>
                <c:pt idx="2">
                  <c:v>2.8227511802197958E-2</c:v>
                </c:pt>
                <c:pt idx="3">
                  <c:v>3.6388925421077079E-2</c:v>
                </c:pt>
                <c:pt idx="4">
                  <c:v>3.0568311015962107E-2</c:v>
                </c:pt>
                <c:pt idx="5">
                  <c:v>5.0491807163841988E-2</c:v>
                </c:pt>
                <c:pt idx="6">
                  <c:v>3.0536028551001328E-2</c:v>
                </c:pt>
                <c:pt idx="7">
                  <c:v>4.3190722379166754E-2</c:v>
                </c:pt>
                <c:pt idx="8">
                  <c:v>6.6603620667335606E-2</c:v>
                </c:pt>
                <c:pt idx="9">
                  <c:v>4.7287164309550295E-2</c:v>
                </c:pt>
                <c:pt idx="10">
                  <c:v>5.0103340707857449E-2</c:v>
                </c:pt>
                <c:pt idx="11">
                  <c:v>7.0903255948978949E-2</c:v>
                </c:pt>
              </c:numCache>
            </c:numRef>
          </c:val>
          <c:smooth val="0"/>
          <c:extLst>
            <c:ext xmlns:c16="http://schemas.microsoft.com/office/drawing/2014/chart" uri="{C3380CC4-5D6E-409C-BE32-E72D297353CC}">
              <c16:uniqueId val="{00000003-D57C-4F0A-95B5-600F8FAA878C}"/>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11000000000000001"/>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Doubleup!$A$3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Doubleup!$B$3:$M$3</c:f>
              <c:numCache>
                <c:formatCode>0.0%</c:formatCode>
                <c:ptCount val="12"/>
                <c:pt idx="0">
                  <c:v>2.8540251650942029E-2</c:v>
                </c:pt>
                <c:pt idx="1">
                  <c:v>2.5209080932167848E-2</c:v>
                </c:pt>
                <c:pt idx="2">
                  <c:v>2.9118264309934628E-2</c:v>
                </c:pt>
                <c:pt idx="3">
                  <c:v>3.5087836649543805E-2</c:v>
                </c:pt>
                <c:pt idx="4">
                  <c:v>3.7875141469005946E-2</c:v>
                </c:pt>
                <c:pt idx="5">
                  <c:v>3.3904058259184994E-2</c:v>
                </c:pt>
                <c:pt idx="6">
                  <c:v>3.8530030482784049E-2</c:v>
                </c:pt>
                <c:pt idx="7">
                  <c:v>3.8094947046039745E-2</c:v>
                </c:pt>
                <c:pt idx="8">
                  <c:v>5.062023521620615E-2</c:v>
                </c:pt>
                <c:pt idx="9">
                  <c:v>4.8923927336622583E-2</c:v>
                </c:pt>
                <c:pt idx="10">
                  <c:v>4.3913522742850999E-2</c:v>
                </c:pt>
                <c:pt idx="11">
                  <c:v>4.787359666882636E-2</c:v>
                </c:pt>
              </c:numCache>
            </c:numRef>
          </c:val>
          <c:smooth val="0"/>
          <c:extLst>
            <c:ext xmlns:c16="http://schemas.microsoft.com/office/drawing/2014/chart" uri="{C3380CC4-5D6E-409C-BE32-E72D297353CC}">
              <c16:uniqueId val="{00000000-A2E4-4B07-8B19-AF946F18998C}"/>
            </c:ext>
          </c:extLst>
        </c:ser>
        <c:ser>
          <c:idx val="1"/>
          <c:order val="1"/>
          <c:tx>
            <c:strRef>
              <c:f>Doubleup!$A$4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Doubleup!$B$4:$M$4</c:f>
              <c:numCache>
                <c:formatCode>0.0%</c:formatCode>
                <c:ptCount val="12"/>
                <c:pt idx="0">
                  <c:v>3.5562009544660649E-2</c:v>
                </c:pt>
                <c:pt idx="1">
                  <c:v>2.7751290152471176E-2</c:v>
                </c:pt>
                <c:pt idx="2">
                  <c:v>1.6755320067480647E-2</c:v>
                </c:pt>
                <c:pt idx="3">
                  <c:v>1.2877180589008767E-2</c:v>
                </c:pt>
                <c:pt idx="4">
                  <c:v>9.4732733231598209E-3</c:v>
                </c:pt>
                <c:pt idx="5">
                  <c:v>3.1688456541828974E-2</c:v>
                </c:pt>
                <c:pt idx="6">
                  <c:v>7.4083502074944367E-3</c:v>
                </c:pt>
                <c:pt idx="7">
                  <c:v>8.1075533661740563E-3</c:v>
                </c:pt>
                <c:pt idx="8">
                  <c:v>3.0107081910877628E-2</c:v>
                </c:pt>
                <c:pt idx="9">
                  <c:v>4.1337672736978762E-2</c:v>
                </c:pt>
                <c:pt idx="10">
                  <c:v>2.9834430449184549E-2</c:v>
                </c:pt>
                <c:pt idx="11">
                  <c:v>5.4429453558899762E-2</c:v>
                </c:pt>
              </c:numCache>
            </c:numRef>
          </c:val>
          <c:smooth val="0"/>
          <c:extLst>
            <c:ext xmlns:c16="http://schemas.microsoft.com/office/drawing/2014/chart" uri="{C3380CC4-5D6E-409C-BE32-E72D297353CC}">
              <c16:uniqueId val="{00000001-A2E4-4B07-8B19-AF946F18998C}"/>
            </c:ext>
          </c:extLst>
        </c:ser>
        <c:ser>
          <c:idx val="2"/>
          <c:order val="2"/>
          <c:tx>
            <c:strRef>
              <c:f>Doubleup!$A$5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Doubleup!$B$2:$M$2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Doubleup!$B$5:$M$5</c:f>
              <c:numCache>
                <c:formatCode>0.0%</c:formatCode>
                <c:ptCount val="12"/>
                <c:pt idx="0">
                  <c:v>5.2929487803690535E-2</c:v>
                </c:pt>
                <c:pt idx="1">
                  <c:v>3.4589243498817965E-2</c:v>
                </c:pt>
                <c:pt idx="2">
                  <c:v>4.8627919667818924E-2</c:v>
                </c:pt>
                <c:pt idx="3">
                  <c:v>3.5814246220956081E-2</c:v>
                </c:pt>
                <c:pt idx="4">
                  <c:v>4.8457421131839734E-2</c:v>
                </c:pt>
                <c:pt idx="5">
                  <c:v>4.950603092096495E-2</c:v>
                </c:pt>
                <c:pt idx="6">
                  <c:v>7.1478693352566416E-2</c:v>
                </c:pt>
                <c:pt idx="7">
                  <c:v>0.10329807536582056</c:v>
                </c:pt>
                <c:pt idx="8">
                  <c:v>7.1253349824778406E-2</c:v>
                </c:pt>
                <c:pt idx="9">
                  <c:v>5.0130059998481052E-2</c:v>
                </c:pt>
                <c:pt idx="10">
                  <c:v>7.3235043903624703E-2</c:v>
                </c:pt>
                <c:pt idx="11">
                  <c:v>7.9768306471223821E-2</c:v>
                </c:pt>
              </c:numCache>
            </c:numRef>
          </c:val>
          <c:smooth val="0"/>
          <c:extLst>
            <c:ext xmlns:c16="http://schemas.microsoft.com/office/drawing/2014/chart" uri="{C3380CC4-5D6E-409C-BE32-E72D297353CC}">
              <c16:uniqueId val="{00000002-A2E4-4B07-8B19-AF946F18998C}"/>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13"/>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Doubleup!$P$3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Doubleup!$Q$3:$AB$3</c:f>
              <c:numCache>
                <c:formatCode>0.00%</c:formatCode>
                <c:ptCount val="12"/>
                <c:pt idx="0">
                  <c:v>1.4040691895602277E-2</c:v>
                </c:pt>
                <c:pt idx="1">
                  <c:v>1.5099791655732801E-2</c:v>
                </c:pt>
                <c:pt idx="2">
                  <c:v>1.440741045944941E-2</c:v>
                </c:pt>
                <c:pt idx="3">
                  <c:v>1.6259133787962829E-2</c:v>
                </c:pt>
                <c:pt idx="4">
                  <c:v>2.0215745850537974E-2</c:v>
                </c:pt>
                <c:pt idx="5">
                  <c:v>2.8555532525856443E-2</c:v>
                </c:pt>
                <c:pt idx="6">
                  <c:v>2.7588873973072182E-2</c:v>
                </c:pt>
                <c:pt idx="7">
                  <c:v>3.3127461498161426E-2</c:v>
                </c:pt>
                <c:pt idx="8">
                  <c:v>4.0303193804497622E-2</c:v>
                </c:pt>
                <c:pt idx="9">
                  <c:v>3.3837104238071555E-2</c:v>
                </c:pt>
                <c:pt idx="10">
                  <c:v>4.2201611412781358E-2</c:v>
                </c:pt>
                <c:pt idx="11">
                  <c:v>5.3786340734048706E-2</c:v>
                </c:pt>
              </c:numCache>
            </c:numRef>
          </c:val>
          <c:smooth val="0"/>
          <c:extLst>
            <c:ext xmlns:c16="http://schemas.microsoft.com/office/drawing/2014/chart" uri="{C3380CC4-5D6E-409C-BE32-E72D297353CC}">
              <c16:uniqueId val="{00000000-FE30-40E6-84F7-85D8FDCA552F}"/>
            </c:ext>
          </c:extLst>
        </c:ser>
        <c:ser>
          <c:idx val="1"/>
          <c:order val="1"/>
          <c:tx>
            <c:strRef>
              <c:f>Doubleup!$P$4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Doubleup!$Q$4:$AB$4</c:f>
              <c:numCache>
                <c:formatCode>0.0%</c:formatCode>
                <c:ptCount val="12"/>
                <c:pt idx="0">
                  <c:v>6.7926490372706705E-3</c:v>
                </c:pt>
                <c:pt idx="1">
                  <c:v>1.392230777212192E-2</c:v>
                </c:pt>
                <c:pt idx="2">
                  <c:v>1.579402774631649E-2</c:v>
                </c:pt>
                <c:pt idx="3">
                  <c:v>1.2843108971883836E-2</c:v>
                </c:pt>
                <c:pt idx="4">
                  <c:v>7.871676743935959E-3</c:v>
                </c:pt>
                <c:pt idx="5">
                  <c:v>1.9659209837781265E-2</c:v>
                </c:pt>
                <c:pt idx="6">
                  <c:v>3.7232620320855614E-2</c:v>
                </c:pt>
                <c:pt idx="7">
                  <c:v>2.5783782049971157E-2</c:v>
                </c:pt>
                <c:pt idx="8">
                  <c:v>2.86187663496347E-2</c:v>
                </c:pt>
                <c:pt idx="9">
                  <c:v>2.2295353274719008E-2</c:v>
                </c:pt>
                <c:pt idx="10">
                  <c:v>5.3745521189757062E-2</c:v>
                </c:pt>
                <c:pt idx="11">
                  <c:v>6.1161405598043311E-2</c:v>
                </c:pt>
              </c:numCache>
            </c:numRef>
          </c:val>
          <c:smooth val="0"/>
          <c:extLst>
            <c:ext xmlns:c16="http://schemas.microsoft.com/office/drawing/2014/chart" uri="{C3380CC4-5D6E-409C-BE32-E72D297353CC}">
              <c16:uniqueId val="{00000001-FE30-40E6-84F7-85D8FDCA552F}"/>
            </c:ext>
          </c:extLst>
        </c:ser>
        <c:ser>
          <c:idx val="2"/>
          <c:order val="2"/>
          <c:tx>
            <c:strRef>
              <c:f>Doubleup!$P$5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Doubleup!$Q$2:$AB$2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Doubleup!$Q$5:$AB$5</c:f>
              <c:numCache>
                <c:formatCode>0.0%</c:formatCode>
                <c:ptCount val="12"/>
                <c:pt idx="0">
                  <c:v>1.3721804511278194E-2</c:v>
                </c:pt>
                <c:pt idx="1">
                  <c:v>1.9371225803371816E-2</c:v>
                </c:pt>
                <c:pt idx="2">
                  <c:v>2.7326002263813209E-2</c:v>
                </c:pt>
                <c:pt idx="3">
                  <c:v>1.8907389821045038E-2</c:v>
                </c:pt>
                <c:pt idx="4">
                  <c:v>5.7528832358459334E-2</c:v>
                </c:pt>
                <c:pt idx="5">
                  <c:v>7.2107843137254907E-2</c:v>
                </c:pt>
                <c:pt idx="6">
                  <c:v>3.293098818474758E-2</c:v>
                </c:pt>
                <c:pt idx="7">
                  <c:v>5.4848310291858673E-2</c:v>
                </c:pt>
                <c:pt idx="8">
                  <c:v>7.1759259259259259E-2</c:v>
                </c:pt>
                <c:pt idx="9">
                  <c:v>1.4154704944178628E-2</c:v>
                </c:pt>
                <c:pt idx="10">
                  <c:v>6.180520964285996E-2</c:v>
                </c:pt>
                <c:pt idx="11">
                  <c:v>3.8024475524475521E-2</c:v>
                </c:pt>
              </c:numCache>
            </c:numRef>
          </c:val>
          <c:smooth val="0"/>
          <c:extLst>
            <c:ext xmlns:c16="http://schemas.microsoft.com/office/drawing/2014/chart" uri="{C3380CC4-5D6E-409C-BE32-E72D297353CC}">
              <c16:uniqueId val="{00000002-FE30-40E6-84F7-85D8FDCA552F}"/>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13"/>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Unaffordablerent!$B$3:$M$3</c:f>
              <c:numCache>
                <c:formatCode>0.0%</c:formatCode>
                <c:ptCount val="12"/>
                <c:pt idx="0">
                  <c:v>4.1847796811032109E-2</c:v>
                </c:pt>
                <c:pt idx="1">
                  <c:v>5.1022884677397268E-2</c:v>
                </c:pt>
                <c:pt idx="2">
                  <c:v>7.0160560606351757E-2</c:v>
                </c:pt>
                <c:pt idx="3">
                  <c:v>5.3791208742386291E-2</c:v>
                </c:pt>
                <c:pt idx="4">
                  <c:v>5.383135234084957E-2</c:v>
                </c:pt>
                <c:pt idx="5">
                  <c:v>3.0027092998896037E-2</c:v>
                </c:pt>
                <c:pt idx="6">
                  <c:v>2.2387432316899401E-2</c:v>
                </c:pt>
                <c:pt idx="7">
                  <c:v>2.5312601140407689E-2</c:v>
                </c:pt>
                <c:pt idx="8">
                  <c:v>7.7228327228327232E-3</c:v>
                </c:pt>
                <c:pt idx="9">
                  <c:v>3.2808600471876184E-2</c:v>
                </c:pt>
                <c:pt idx="10">
                  <c:v>3.5235026217727561E-2</c:v>
                </c:pt>
                <c:pt idx="11">
                  <c:v>4.3988442387082147E-2</c:v>
                </c:pt>
              </c:numCache>
            </c:numRef>
          </c:val>
          <c:smooth val="0"/>
          <c:extLst>
            <c:ext xmlns:c16="http://schemas.microsoft.com/office/drawing/2014/chart" uri="{C3380CC4-5D6E-409C-BE32-E72D297353CC}">
              <c16:uniqueId val="{00000000-12E3-4D4E-8683-816B8FCE88AE}"/>
            </c:ext>
          </c:extLst>
        </c:ser>
        <c:ser>
          <c:idx val="1"/>
          <c:order val="1"/>
          <c:tx>
            <c:strRef>
              <c:f>Unaffordablerent!$A$4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Unaffordablerent!$B$4:$M$4</c:f>
              <c:numCache>
                <c:formatCode>0.0%</c:formatCode>
                <c:ptCount val="12"/>
                <c:pt idx="0">
                  <c:v>2.207827575474634E-3</c:v>
                </c:pt>
                <c:pt idx="1">
                  <c:v>1.3892949647993261E-2</c:v>
                </c:pt>
                <c:pt idx="2">
                  <c:v>1.4561350368979317E-2</c:v>
                </c:pt>
                <c:pt idx="3">
                  <c:v>1.2418252328868468E-2</c:v>
                </c:pt>
                <c:pt idx="4">
                  <c:v>3.533503061611163E-2</c:v>
                </c:pt>
                <c:pt idx="5">
                  <c:v>2.6895847321266604E-2</c:v>
                </c:pt>
                <c:pt idx="6">
                  <c:v>2.269026311746148E-2</c:v>
                </c:pt>
                <c:pt idx="7">
                  <c:v>2.6724656708972588E-2</c:v>
                </c:pt>
                <c:pt idx="8">
                  <c:v>1.5216725429407663E-2</c:v>
                </c:pt>
                <c:pt idx="9">
                  <c:v>1.9329650966214303E-2</c:v>
                </c:pt>
                <c:pt idx="10">
                  <c:v>2.5765365727111505E-2</c:v>
                </c:pt>
                <c:pt idx="11">
                  <c:v>2.9433345344029919E-2</c:v>
                </c:pt>
              </c:numCache>
            </c:numRef>
          </c:val>
          <c:smooth val="0"/>
          <c:extLst>
            <c:ext xmlns:c16="http://schemas.microsoft.com/office/drawing/2014/chart" uri="{C3380CC4-5D6E-409C-BE32-E72D297353CC}">
              <c16:uniqueId val="{00000001-12E3-4D4E-8683-816B8FCE88AE}"/>
            </c:ext>
          </c:extLst>
        </c:ser>
        <c:ser>
          <c:idx val="2"/>
          <c:order val="2"/>
          <c:tx>
            <c:strRef>
              <c:f>Unaffordablerent!$A$5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Unaffordablerent!$B$5:$M$5</c:f>
              <c:numCache>
                <c:formatCode>0.0%</c:formatCode>
                <c:ptCount val="12"/>
                <c:pt idx="0">
                  <c:v>2.2064077772899888E-2</c:v>
                </c:pt>
                <c:pt idx="1">
                  <c:v>1.6680507776635024E-2</c:v>
                </c:pt>
                <c:pt idx="2">
                  <c:v>1.9616253959184472E-2</c:v>
                </c:pt>
                <c:pt idx="3">
                  <c:v>2.7735808268992891E-2</c:v>
                </c:pt>
                <c:pt idx="4">
                  <c:v>3.0817108124396128E-2</c:v>
                </c:pt>
                <c:pt idx="5">
                  <c:v>2.5812890812890815E-2</c:v>
                </c:pt>
                <c:pt idx="6">
                  <c:v>2.9776136292339269E-2</c:v>
                </c:pt>
                <c:pt idx="7">
                  <c:v>3.2035633581959169E-2</c:v>
                </c:pt>
                <c:pt idx="8">
                  <c:v>3.0790492639114823E-2</c:v>
                </c:pt>
                <c:pt idx="9">
                  <c:v>4.0045181131073547E-2</c:v>
                </c:pt>
                <c:pt idx="10">
                  <c:v>2.0956836534998413E-2</c:v>
                </c:pt>
                <c:pt idx="11">
                  <c:v>2.328691320224905E-2</c:v>
                </c:pt>
              </c:numCache>
            </c:numRef>
          </c:val>
          <c:smooth val="0"/>
          <c:extLst>
            <c:ext xmlns:c16="http://schemas.microsoft.com/office/drawing/2014/chart" uri="{C3380CC4-5D6E-409C-BE32-E72D297353CC}">
              <c16:uniqueId val="{00000002-12E3-4D4E-8683-816B8FCE88AE}"/>
            </c:ext>
          </c:extLst>
        </c:ser>
        <c:ser>
          <c:idx val="3"/>
          <c:order val="3"/>
          <c:tx>
            <c:strRef>
              <c:f>Unaffordablerent!$A$6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Unaffordablerent!$B$6:$M$6</c:f>
              <c:numCache>
                <c:formatCode>0.0%</c:formatCode>
                <c:ptCount val="12"/>
                <c:pt idx="0">
                  <c:v>4.6835016835016837E-3</c:v>
                </c:pt>
                <c:pt idx="1">
                  <c:v>1.4972438484736251E-2</c:v>
                </c:pt>
                <c:pt idx="2">
                  <c:v>7.4289098230234524E-3</c:v>
                </c:pt>
                <c:pt idx="3">
                  <c:v>1.2392460129459078E-2</c:v>
                </c:pt>
                <c:pt idx="4">
                  <c:v>7.378542508169203E-3</c:v>
                </c:pt>
                <c:pt idx="5">
                  <c:v>1.1410282853844964E-2</c:v>
                </c:pt>
                <c:pt idx="6">
                  <c:v>1.4759127244759857E-2</c:v>
                </c:pt>
                <c:pt idx="7">
                  <c:v>1.0709153393130633E-2</c:v>
                </c:pt>
                <c:pt idx="8">
                  <c:v>9.5075789018702721E-3</c:v>
                </c:pt>
                <c:pt idx="9">
                  <c:v>1.0103866929194195E-2</c:v>
                </c:pt>
                <c:pt idx="10">
                  <c:v>3.5095745000188186E-3</c:v>
                </c:pt>
                <c:pt idx="11">
                  <c:v>9.9212528354675859E-3</c:v>
                </c:pt>
              </c:numCache>
            </c:numRef>
          </c:val>
          <c:smooth val="0"/>
          <c:extLst>
            <c:ext xmlns:c16="http://schemas.microsoft.com/office/drawing/2014/chart" uri="{C3380CC4-5D6E-409C-BE32-E72D297353CC}">
              <c16:uniqueId val="{00000003-12E3-4D4E-8683-816B8FCE88AE}"/>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8.0000000000000016E-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Unaffordablerent!$P$3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Unaffordablerent!$Q$3:$AB$3</c:f>
              <c:numCache>
                <c:formatCode>0.00%</c:formatCode>
                <c:ptCount val="12"/>
                <c:pt idx="0">
                  <c:v>2.8484864283836155E-2</c:v>
                </c:pt>
                <c:pt idx="1">
                  <c:v>1.2285025042271884E-2</c:v>
                </c:pt>
                <c:pt idx="2">
                  <c:v>1.764938951719516E-2</c:v>
                </c:pt>
                <c:pt idx="3">
                  <c:v>1.642032612470521E-2</c:v>
                </c:pt>
                <c:pt idx="4">
                  <c:v>4.8221607793804714E-3</c:v>
                </c:pt>
                <c:pt idx="5">
                  <c:v>3.591273241996552E-3</c:v>
                </c:pt>
                <c:pt idx="6">
                  <c:v>2.2612963514584061E-3</c:v>
                </c:pt>
                <c:pt idx="7">
                  <c:v>2.7719358599841027E-3</c:v>
                </c:pt>
                <c:pt idx="8">
                  <c:v>2.7224075830096619E-3</c:v>
                </c:pt>
                <c:pt idx="9">
                  <c:v>2.1435740823502313E-3</c:v>
                </c:pt>
                <c:pt idx="10">
                  <c:v>1.2207210265462693E-2</c:v>
                </c:pt>
                <c:pt idx="11">
                  <c:v>3.3650047030325944E-3</c:v>
                </c:pt>
              </c:numCache>
            </c:numRef>
          </c:val>
          <c:smooth val="0"/>
          <c:extLst>
            <c:ext xmlns:c16="http://schemas.microsoft.com/office/drawing/2014/chart" uri="{C3380CC4-5D6E-409C-BE32-E72D297353CC}">
              <c16:uniqueId val="{00000000-EE25-4DFA-8763-752691125232}"/>
            </c:ext>
          </c:extLst>
        </c:ser>
        <c:ser>
          <c:idx val="1"/>
          <c:order val="1"/>
          <c:tx>
            <c:strRef>
              <c:f>Unaffordablerent!$P$4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Unaffordablerent!$Q$4:$AB$4</c:f>
              <c:numCache>
                <c:formatCode>0.0%</c:formatCode>
                <c:ptCount val="12"/>
                <c:pt idx="0">
                  <c:v>5.9523809523809529E-4</c:v>
                </c:pt>
                <c:pt idx="1">
                  <c:v>0</c:v>
                </c:pt>
                <c:pt idx="2">
                  <c:v>0</c:v>
                </c:pt>
                <c:pt idx="3">
                  <c:v>0</c:v>
                </c:pt>
                <c:pt idx="4">
                  <c:v>5.4704595185995622E-4</c:v>
                </c:pt>
                <c:pt idx="5">
                  <c:v>0</c:v>
                </c:pt>
                <c:pt idx="6">
                  <c:v>0</c:v>
                </c:pt>
                <c:pt idx="7">
                  <c:v>0</c:v>
                </c:pt>
                <c:pt idx="8">
                  <c:v>0</c:v>
                </c:pt>
                <c:pt idx="9">
                  <c:v>5.4945054945054945E-4</c:v>
                </c:pt>
                <c:pt idx="10">
                  <c:v>0</c:v>
                </c:pt>
                <c:pt idx="11">
                  <c:v>0</c:v>
                </c:pt>
              </c:numCache>
            </c:numRef>
          </c:val>
          <c:smooth val="0"/>
          <c:extLst>
            <c:ext xmlns:c16="http://schemas.microsoft.com/office/drawing/2014/chart" uri="{C3380CC4-5D6E-409C-BE32-E72D297353CC}">
              <c16:uniqueId val="{00000001-EE25-4DFA-8763-752691125232}"/>
            </c:ext>
          </c:extLst>
        </c:ser>
        <c:ser>
          <c:idx val="2"/>
          <c:order val="2"/>
          <c:tx>
            <c:strRef>
              <c:f>Unaffordablerent!$P$5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Unaffordablerent!$Q$5:$AB$5</c:f>
              <c:numCache>
                <c:formatCode>0.0%</c:formatCode>
                <c:ptCount val="12"/>
                <c:pt idx="0">
                  <c:v>0</c:v>
                </c:pt>
                <c:pt idx="1">
                  <c:v>0</c:v>
                </c:pt>
                <c:pt idx="2">
                  <c:v>0</c:v>
                </c:pt>
                <c:pt idx="3">
                  <c:v>2.834467120181406E-4</c:v>
                </c:pt>
                <c:pt idx="4">
                  <c:v>0</c:v>
                </c:pt>
                <c:pt idx="5">
                  <c:v>0</c:v>
                </c:pt>
                <c:pt idx="6">
                  <c:v>0</c:v>
                </c:pt>
                <c:pt idx="7">
                  <c:v>0</c:v>
                </c:pt>
                <c:pt idx="8">
                  <c:v>1.8131126167027542E-3</c:v>
                </c:pt>
                <c:pt idx="9">
                  <c:v>6.1274509803921568E-4</c:v>
                </c:pt>
                <c:pt idx="10">
                  <c:v>0</c:v>
                </c:pt>
                <c:pt idx="11">
                  <c:v>0</c:v>
                </c:pt>
              </c:numCache>
            </c:numRef>
          </c:val>
          <c:smooth val="0"/>
          <c:extLst>
            <c:ext xmlns:c16="http://schemas.microsoft.com/office/drawing/2014/chart" uri="{C3380CC4-5D6E-409C-BE32-E72D297353CC}">
              <c16:uniqueId val="{00000002-EE25-4DFA-8763-752691125232}"/>
            </c:ext>
          </c:extLst>
        </c:ser>
        <c:ser>
          <c:idx val="3"/>
          <c:order val="3"/>
          <c:tx>
            <c:strRef>
              <c:f>Unaffordablerent!$P$6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Unaffordablerent!$Q$6:$AB$6</c:f>
              <c:numCache>
                <c:formatCode>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EE25-4DFA-8763-752691125232}"/>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8.0000000000000016E-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Unaffordableexp!$B$3:$M$3</c:f>
              <c:numCache>
                <c:formatCode>0.0%</c:formatCode>
                <c:ptCount val="12"/>
                <c:pt idx="0">
                  <c:v>0.35303842690922521</c:v>
                </c:pt>
                <c:pt idx="1">
                  <c:v>0.3447634009961637</c:v>
                </c:pt>
                <c:pt idx="2">
                  <c:v>0.32818234569800581</c:v>
                </c:pt>
                <c:pt idx="3">
                  <c:v>0.28845033086864158</c:v>
                </c:pt>
                <c:pt idx="4">
                  <c:v>0.30351481037425632</c:v>
                </c:pt>
                <c:pt idx="5">
                  <c:v>0.28432495827772325</c:v>
                </c:pt>
                <c:pt idx="6">
                  <c:v>0.15650569962952407</c:v>
                </c:pt>
                <c:pt idx="7">
                  <c:v>0.13846318225268672</c:v>
                </c:pt>
                <c:pt idx="8">
                  <c:v>0.14572546447546447</c:v>
                </c:pt>
                <c:pt idx="9">
                  <c:v>0.14941399375984216</c:v>
                </c:pt>
                <c:pt idx="10">
                  <c:v>0.20585934065787209</c:v>
                </c:pt>
                <c:pt idx="11">
                  <c:v>0.15294261575551019</c:v>
                </c:pt>
              </c:numCache>
            </c:numRef>
          </c:val>
          <c:smooth val="0"/>
          <c:extLst>
            <c:ext xmlns:c16="http://schemas.microsoft.com/office/drawing/2014/chart" uri="{C3380CC4-5D6E-409C-BE32-E72D297353CC}">
              <c16:uniqueId val="{00000000-5061-434D-9EDA-CE5B5DE235B7}"/>
            </c:ext>
          </c:extLst>
        </c:ser>
        <c:ser>
          <c:idx val="1"/>
          <c:order val="1"/>
          <c:tx>
            <c:strRef>
              <c:f>Unaffordableexp!$A$4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Unaffordableexp!$B$4:$M$4</c:f>
              <c:numCache>
                <c:formatCode>0.00%</c:formatCode>
                <c:ptCount val="12"/>
                <c:pt idx="0">
                  <c:v>0.12302802443725805</c:v>
                </c:pt>
                <c:pt idx="1">
                  <c:v>0.14068009626741423</c:v>
                </c:pt>
                <c:pt idx="2">
                  <c:v>0.12172643060649482</c:v>
                </c:pt>
                <c:pt idx="3">
                  <c:v>0.11458936263489847</c:v>
                </c:pt>
                <c:pt idx="4">
                  <c:v>0.14132353317449212</c:v>
                </c:pt>
                <c:pt idx="5">
                  <c:v>0.13819381857032131</c:v>
                </c:pt>
                <c:pt idx="6">
                  <c:v>8.9542849118620052E-2</c:v>
                </c:pt>
                <c:pt idx="7">
                  <c:v>6.2290121601578555E-2</c:v>
                </c:pt>
                <c:pt idx="8">
                  <c:v>5.1933016621625326E-2</c:v>
                </c:pt>
                <c:pt idx="9">
                  <c:v>6.0005567476887955E-2</c:v>
                </c:pt>
                <c:pt idx="10">
                  <c:v>9.9576108900935711E-2</c:v>
                </c:pt>
                <c:pt idx="11">
                  <c:v>6.7019989209718037E-2</c:v>
                </c:pt>
              </c:numCache>
            </c:numRef>
          </c:val>
          <c:smooth val="0"/>
          <c:extLst>
            <c:ext xmlns:c16="http://schemas.microsoft.com/office/drawing/2014/chart" uri="{C3380CC4-5D6E-409C-BE32-E72D297353CC}">
              <c16:uniqueId val="{00000001-5061-434D-9EDA-CE5B5DE235B7}"/>
            </c:ext>
          </c:extLst>
        </c:ser>
        <c:ser>
          <c:idx val="2"/>
          <c:order val="2"/>
          <c:tx>
            <c:strRef>
              <c:f>Unaffordableexp!$A$5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Unaffordableexp!$B$5:$M$5</c:f>
              <c:numCache>
                <c:formatCode>0.0%</c:formatCode>
                <c:ptCount val="12"/>
                <c:pt idx="0">
                  <c:v>8.1308805987785338E-2</c:v>
                </c:pt>
                <c:pt idx="1">
                  <c:v>7.7725877720114689E-2</c:v>
                </c:pt>
                <c:pt idx="2">
                  <c:v>6.2976961137202248E-2</c:v>
                </c:pt>
                <c:pt idx="3">
                  <c:v>7.0559962883112587E-2</c:v>
                </c:pt>
                <c:pt idx="4">
                  <c:v>7.8943828645892819E-2</c:v>
                </c:pt>
                <c:pt idx="5">
                  <c:v>8.2146344396344398E-2</c:v>
                </c:pt>
                <c:pt idx="6">
                  <c:v>6.1961936111285393E-2</c:v>
                </c:pt>
                <c:pt idx="7">
                  <c:v>5.502758559983794E-2</c:v>
                </c:pt>
                <c:pt idx="8">
                  <c:v>6.192113133739998E-2</c:v>
                </c:pt>
                <c:pt idx="9">
                  <c:v>5.9190932981077922E-2</c:v>
                </c:pt>
                <c:pt idx="10">
                  <c:v>4.999611726605406E-2</c:v>
                </c:pt>
                <c:pt idx="11">
                  <c:v>4.5905454759460042E-2</c:v>
                </c:pt>
              </c:numCache>
            </c:numRef>
          </c:val>
          <c:smooth val="0"/>
          <c:extLst>
            <c:ext xmlns:c16="http://schemas.microsoft.com/office/drawing/2014/chart" uri="{C3380CC4-5D6E-409C-BE32-E72D297353CC}">
              <c16:uniqueId val="{00000002-5061-434D-9EDA-CE5B5DE235B7}"/>
            </c:ext>
          </c:extLst>
        </c:ser>
        <c:ser>
          <c:idx val="3"/>
          <c:order val="3"/>
          <c:tx>
            <c:strRef>
              <c:f>Unaffordableexp!$A$6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Unaffordableexp!$B$6:$M$6</c:f>
              <c:numCache>
                <c:formatCode>0.0%</c:formatCode>
                <c:ptCount val="12"/>
                <c:pt idx="0">
                  <c:v>1.2851451723810879E-2</c:v>
                </c:pt>
                <c:pt idx="1">
                  <c:v>2.9974878457630028E-2</c:v>
                </c:pt>
                <c:pt idx="2">
                  <c:v>1.9967338413896026E-2</c:v>
                </c:pt>
                <c:pt idx="3">
                  <c:v>1.9502093592113932E-2</c:v>
                </c:pt>
                <c:pt idx="4">
                  <c:v>2.1182439003663751E-2</c:v>
                </c:pt>
                <c:pt idx="5">
                  <c:v>2.5612218184538092E-2</c:v>
                </c:pt>
                <c:pt idx="6">
                  <c:v>2.4121492473870371E-2</c:v>
                </c:pt>
                <c:pt idx="7">
                  <c:v>1.5918130924575564E-2</c:v>
                </c:pt>
                <c:pt idx="8">
                  <c:v>1.9084124669561258E-2</c:v>
                </c:pt>
                <c:pt idx="9">
                  <c:v>1.6221541894399442E-2</c:v>
                </c:pt>
                <c:pt idx="10">
                  <c:v>1.4115339393576214E-2</c:v>
                </c:pt>
                <c:pt idx="11">
                  <c:v>1.7917349580106934E-2</c:v>
                </c:pt>
              </c:numCache>
            </c:numRef>
          </c:val>
          <c:smooth val="0"/>
          <c:extLst>
            <c:ext xmlns:c16="http://schemas.microsoft.com/office/drawing/2014/chart" uri="{C3380CC4-5D6E-409C-BE32-E72D297353CC}">
              <c16:uniqueId val="{00000003-5061-434D-9EDA-CE5B5DE235B7}"/>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Unaffordableexp!$P$3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Unaffordableexp!$Q$3:$AB$3</c:f>
              <c:numCache>
                <c:formatCode>0.00%</c:formatCode>
                <c:ptCount val="12"/>
                <c:pt idx="0">
                  <c:v>0.21008880473732905</c:v>
                </c:pt>
                <c:pt idx="1">
                  <c:v>0.20477473090996756</c:v>
                </c:pt>
                <c:pt idx="2">
                  <c:v>0.14259842332488443</c:v>
                </c:pt>
                <c:pt idx="3">
                  <c:v>0.15553589766428358</c:v>
                </c:pt>
                <c:pt idx="4">
                  <c:v>0.15038291388370328</c:v>
                </c:pt>
                <c:pt idx="5">
                  <c:v>0.13052605925601557</c:v>
                </c:pt>
                <c:pt idx="6">
                  <c:v>8.5273138056542741E-2</c:v>
                </c:pt>
                <c:pt idx="7">
                  <c:v>0.1003272280387939</c:v>
                </c:pt>
                <c:pt idx="8">
                  <c:v>0.1009097432457482</c:v>
                </c:pt>
                <c:pt idx="9">
                  <c:v>9.1849171073349362E-2</c:v>
                </c:pt>
                <c:pt idx="10">
                  <c:v>0.15401720717254697</c:v>
                </c:pt>
                <c:pt idx="11">
                  <c:v>9.362995443745141E-2</c:v>
                </c:pt>
              </c:numCache>
            </c:numRef>
          </c:val>
          <c:smooth val="0"/>
          <c:extLst>
            <c:ext xmlns:c16="http://schemas.microsoft.com/office/drawing/2014/chart" uri="{C3380CC4-5D6E-409C-BE32-E72D297353CC}">
              <c16:uniqueId val="{00000000-2F3E-4E16-85CF-78950FD240E7}"/>
            </c:ext>
          </c:extLst>
        </c:ser>
        <c:ser>
          <c:idx val="1"/>
          <c:order val="1"/>
          <c:tx>
            <c:strRef>
              <c:f>Unaffordableexp!$P$4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Unaffordableexp!$Q$4:$AB$4</c:f>
              <c:numCache>
                <c:formatCode>0.0%</c:formatCode>
                <c:ptCount val="12"/>
                <c:pt idx="0">
                  <c:v>5.7710208733398938E-2</c:v>
                </c:pt>
                <c:pt idx="1">
                  <c:v>7.2563007476901809E-2</c:v>
                </c:pt>
                <c:pt idx="2">
                  <c:v>4.514047268273999E-2</c:v>
                </c:pt>
                <c:pt idx="3">
                  <c:v>4.5225478868035018E-2</c:v>
                </c:pt>
                <c:pt idx="4">
                  <c:v>6.3243555150663405E-2</c:v>
                </c:pt>
                <c:pt idx="5">
                  <c:v>5.6406679722505487E-2</c:v>
                </c:pt>
                <c:pt idx="6">
                  <c:v>3.6679143011774065E-2</c:v>
                </c:pt>
                <c:pt idx="7">
                  <c:v>2.9836376514656645E-2</c:v>
                </c:pt>
                <c:pt idx="8">
                  <c:v>4.1143290047725156E-2</c:v>
                </c:pt>
                <c:pt idx="9">
                  <c:v>2.9501209763976199E-2</c:v>
                </c:pt>
                <c:pt idx="10">
                  <c:v>5.3319273921387821E-2</c:v>
                </c:pt>
                <c:pt idx="11">
                  <c:v>3.377914617089834E-2</c:v>
                </c:pt>
              </c:numCache>
            </c:numRef>
          </c:val>
          <c:smooth val="0"/>
          <c:extLst>
            <c:ext xmlns:c16="http://schemas.microsoft.com/office/drawing/2014/chart" uri="{C3380CC4-5D6E-409C-BE32-E72D297353CC}">
              <c16:uniqueId val="{00000001-2F3E-4E16-85CF-78950FD240E7}"/>
            </c:ext>
          </c:extLst>
        </c:ser>
        <c:ser>
          <c:idx val="2"/>
          <c:order val="2"/>
          <c:tx>
            <c:strRef>
              <c:f>Unaffordableexp!$P$5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Unaffordableexp!$Q$5:$AB$5</c:f>
              <c:numCache>
                <c:formatCode>0.0%</c:formatCode>
                <c:ptCount val="12"/>
                <c:pt idx="0">
                  <c:v>3.5114369670513165E-2</c:v>
                </c:pt>
                <c:pt idx="1">
                  <c:v>3.5830949711840906E-2</c:v>
                </c:pt>
                <c:pt idx="2">
                  <c:v>2.4546583274681913E-2</c:v>
                </c:pt>
                <c:pt idx="3">
                  <c:v>2.0955506206112494E-2</c:v>
                </c:pt>
                <c:pt idx="4">
                  <c:v>2.5703281180823684E-2</c:v>
                </c:pt>
                <c:pt idx="5">
                  <c:v>2.1433586796219827E-2</c:v>
                </c:pt>
                <c:pt idx="6">
                  <c:v>1.6716505671531039E-2</c:v>
                </c:pt>
                <c:pt idx="7">
                  <c:v>1.6232973397408798E-2</c:v>
                </c:pt>
                <c:pt idx="8">
                  <c:v>1.6729586878428515E-2</c:v>
                </c:pt>
                <c:pt idx="9">
                  <c:v>1.7503519486485916E-2</c:v>
                </c:pt>
                <c:pt idx="10">
                  <c:v>1.9081993594381088E-2</c:v>
                </c:pt>
                <c:pt idx="11">
                  <c:v>4.4988088693421295E-3</c:v>
                </c:pt>
              </c:numCache>
            </c:numRef>
          </c:val>
          <c:smooth val="0"/>
          <c:extLst>
            <c:ext xmlns:c16="http://schemas.microsoft.com/office/drawing/2014/chart" uri="{C3380CC4-5D6E-409C-BE32-E72D297353CC}">
              <c16:uniqueId val="{00000002-2F3E-4E16-85CF-78950FD240E7}"/>
            </c:ext>
          </c:extLst>
        </c:ser>
        <c:ser>
          <c:idx val="3"/>
          <c:order val="3"/>
          <c:tx>
            <c:strRef>
              <c:f>Unaffordableexp!$P$6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Unaffordableexp!$Q$6:$AB$6</c:f>
              <c:numCache>
                <c:formatCode>0.0%</c:formatCode>
                <c:ptCount val="12"/>
                <c:pt idx="0">
                  <c:v>1.9166810976146274E-2</c:v>
                </c:pt>
                <c:pt idx="1">
                  <c:v>9.5822565967842895E-3</c:v>
                </c:pt>
                <c:pt idx="2">
                  <c:v>4.7415904091377831E-3</c:v>
                </c:pt>
                <c:pt idx="3">
                  <c:v>2.7772461359602488E-3</c:v>
                </c:pt>
                <c:pt idx="4">
                  <c:v>1.874139887491248E-3</c:v>
                </c:pt>
                <c:pt idx="5">
                  <c:v>9.1480256394558569E-3</c:v>
                </c:pt>
                <c:pt idx="6">
                  <c:v>3.4457311534968208E-3</c:v>
                </c:pt>
                <c:pt idx="7">
                  <c:v>6.3131313131313137E-4</c:v>
                </c:pt>
                <c:pt idx="8">
                  <c:v>0</c:v>
                </c:pt>
                <c:pt idx="9">
                  <c:v>2.1001771001771001E-3</c:v>
                </c:pt>
                <c:pt idx="10">
                  <c:v>1.7212978763746683E-3</c:v>
                </c:pt>
                <c:pt idx="11">
                  <c:v>0</c:v>
                </c:pt>
              </c:numCache>
            </c:numRef>
          </c:val>
          <c:smooth val="0"/>
          <c:extLst>
            <c:ext xmlns:c16="http://schemas.microsoft.com/office/drawing/2014/chart" uri="{C3380CC4-5D6E-409C-BE32-E72D297353CC}">
              <c16:uniqueId val="{00000003-2F3E-4E16-85CF-78950FD240E7}"/>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17124908566757"/>
          <c:y val="2.1966579690735139E-2"/>
          <c:w val="0.85087637951252848"/>
          <c:h val="0.5994231105727168"/>
        </c:manualLayout>
      </c:layout>
      <c:lineChart>
        <c:grouping val="standard"/>
        <c:varyColors val="0"/>
        <c:ser>
          <c:idx val="0"/>
          <c:order val="0"/>
          <c:tx>
            <c:strRef>
              <c:f>'Domestic and Foreign Mortga (2'!$B$17</c:f>
              <c:strCache>
                <c:ptCount val="1"/>
                <c:pt idx="0">
                  <c:v>Foreign Currency (5-10 years)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cat>
            <c:numRef>
              <c:f>'Domestic and Foreign Mortga (2'!$C$1:$AO$1</c:f>
              <c:numCache>
                <c:formatCode>[$-409]mmm\-yy;@</c:formatCode>
                <c:ptCount val="39"/>
                <c:pt idx="0">
                  <c:v>42308</c:v>
                </c:pt>
                <c:pt idx="1">
                  <c:v>42338</c:v>
                </c:pt>
                <c:pt idx="2">
                  <c:v>42353</c:v>
                </c:pt>
                <c:pt idx="3">
                  <c:v>42400</c:v>
                </c:pt>
                <c:pt idx="4">
                  <c:v>42429</c:v>
                </c:pt>
                <c:pt idx="5">
                  <c:v>42460</c:v>
                </c:pt>
                <c:pt idx="6">
                  <c:v>42490</c:v>
                </c:pt>
                <c:pt idx="7">
                  <c:v>42521</c:v>
                </c:pt>
                <c:pt idx="8">
                  <c:v>42551</c:v>
                </c:pt>
                <c:pt idx="9">
                  <c:v>42582</c:v>
                </c:pt>
                <c:pt idx="10">
                  <c:v>42613</c:v>
                </c:pt>
                <c:pt idx="11">
                  <c:v>42643</c:v>
                </c:pt>
                <c:pt idx="12">
                  <c:v>42674</c:v>
                </c:pt>
                <c:pt idx="13">
                  <c:v>42704</c:v>
                </c:pt>
                <c:pt idx="14">
                  <c:v>42735</c:v>
                </c:pt>
                <c:pt idx="15">
                  <c:v>42766</c:v>
                </c:pt>
                <c:pt idx="16">
                  <c:v>42794</c:v>
                </c:pt>
                <c:pt idx="17">
                  <c:v>42825</c:v>
                </c:pt>
                <c:pt idx="18">
                  <c:v>42855</c:v>
                </c:pt>
                <c:pt idx="19">
                  <c:v>42886</c:v>
                </c:pt>
                <c:pt idx="20">
                  <c:v>42916</c:v>
                </c:pt>
                <c:pt idx="21">
                  <c:v>42947</c:v>
                </c:pt>
                <c:pt idx="22">
                  <c:v>42978</c:v>
                </c:pt>
                <c:pt idx="23">
                  <c:v>43008</c:v>
                </c:pt>
                <c:pt idx="24">
                  <c:v>43039</c:v>
                </c:pt>
                <c:pt idx="25">
                  <c:v>43069</c:v>
                </c:pt>
                <c:pt idx="26">
                  <c:v>43100</c:v>
                </c:pt>
                <c:pt idx="27">
                  <c:v>43131</c:v>
                </c:pt>
                <c:pt idx="28">
                  <c:v>43159</c:v>
                </c:pt>
                <c:pt idx="29">
                  <c:v>43190</c:v>
                </c:pt>
                <c:pt idx="30">
                  <c:v>43220</c:v>
                </c:pt>
                <c:pt idx="31">
                  <c:v>43251</c:v>
                </c:pt>
                <c:pt idx="32">
                  <c:v>43281</c:v>
                </c:pt>
                <c:pt idx="33">
                  <c:v>43312</c:v>
                </c:pt>
                <c:pt idx="34">
                  <c:v>43343</c:v>
                </c:pt>
                <c:pt idx="35">
                  <c:v>43373</c:v>
                </c:pt>
                <c:pt idx="36">
                  <c:v>43404</c:v>
                </c:pt>
                <c:pt idx="37">
                  <c:v>43434</c:v>
                </c:pt>
                <c:pt idx="38">
                  <c:v>43465</c:v>
                </c:pt>
              </c:numCache>
            </c:numRef>
          </c:cat>
          <c:val>
            <c:numRef>
              <c:f>'Domestic and Foreign Mortga (2'!$C$17:$AO$17</c:f>
              <c:numCache>
                <c:formatCode>0%</c:formatCode>
                <c:ptCount val="39"/>
                <c:pt idx="0">
                  <c:v>0.10034599999999999</c:v>
                </c:pt>
                <c:pt idx="1">
                  <c:v>9.6999999999999989E-2</c:v>
                </c:pt>
                <c:pt idx="2">
                  <c:v>9.4399999999999998E-2</c:v>
                </c:pt>
                <c:pt idx="3">
                  <c:v>9.0500000000000011E-2</c:v>
                </c:pt>
                <c:pt idx="4">
                  <c:v>8.7599999999999997E-2</c:v>
                </c:pt>
                <c:pt idx="5">
                  <c:v>8.4399999999999989E-2</c:v>
                </c:pt>
                <c:pt idx="6">
                  <c:v>8.43E-2</c:v>
                </c:pt>
                <c:pt idx="7">
                  <c:v>8.2799999999999999E-2</c:v>
                </c:pt>
                <c:pt idx="8">
                  <c:v>8.4199999999999997E-2</c:v>
                </c:pt>
                <c:pt idx="9">
                  <c:v>8.3400000000000002E-2</c:v>
                </c:pt>
                <c:pt idx="10">
                  <c:v>8.1900000000000001E-2</c:v>
                </c:pt>
                <c:pt idx="11">
                  <c:v>8.3699999999999997E-2</c:v>
                </c:pt>
                <c:pt idx="12">
                  <c:v>7.9100000000000004E-2</c:v>
                </c:pt>
                <c:pt idx="13">
                  <c:v>7.46E-2</c:v>
                </c:pt>
                <c:pt idx="14">
                  <c:v>7.400000000000001E-2</c:v>
                </c:pt>
                <c:pt idx="15">
                  <c:v>7.5399999999999995E-2</c:v>
                </c:pt>
                <c:pt idx="16">
                  <c:v>7.3099999999999998E-2</c:v>
                </c:pt>
                <c:pt idx="17">
                  <c:v>7.4400000000000008E-2</c:v>
                </c:pt>
                <c:pt idx="18">
                  <c:v>7.4200000000000002E-2</c:v>
                </c:pt>
                <c:pt idx="19">
                  <c:v>7.3300000000000004E-2</c:v>
                </c:pt>
                <c:pt idx="20">
                  <c:v>7.3200000000000001E-2</c:v>
                </c:pt>
                <c:pt idx="21">
                  <c:v>7.0499999999999993E-2</c:v>
                </c:pt>
                <c:pt idx="22">
                  <c:v>7.3300000000000004E-2</c:v>
                </c:pt>
                <c:pt idx="23">
                  <c:v>7.2900000000000006E-2</c:v>
                </c:pt>
                <c:pt idx="24">
                  <c:v>7.2099999999999997E-2</c:v>
                </c:pt>
                <c:pt idx="25">
                  <c:v>7.2300000000000003E-2</c:v>
                </c:pt>
                <c:pt idx="26">
                  <c:v>7.3200000000000001E-2</c:v>
                </c:pt>
                <c:pt idx="27">
                  <c:v>7.2599999999999998E-2</c:v>
                </c:pt>
                <c:pt idx="28">
                  <c:v>7.400000000000001E-2</c:v>
                </c:pt>
                <c:pt idx="29">
                  <c:v>7.2000000000000008E-2</c:v>
                </c:pt>
                <c:pt idx="30">
                  <c:v>7.1900000000000006E-2</c:v>
                </c:pt>
                <c:pt idx="31">
                  <c:v>7.1300000000000002E-2</c:v>
                </c:pt>
                <c:pt idx="32">
                  <c:v>6.8600000000000008E-2</c:v>
                </c:pt>
                <c:pt idx="33">
                  <c:v>6.6299999999999998E-2</c:v>
                </c:pt>
                <c:pt idx="34">
                  <c:v>5.0499999999999996E-2</c:v>
                </c:pt>
                <c:pt idx="35">
                  <c:v>5.4400000000000004E-2</c:v>
                </c:pt>
                <c:pt idx="36">
                  <c:v>5.91E-2</c:v>
                </c:pt>
                <c:pt idx="37">
                  <c:v>6.4000000000000001E-2</c:v>
                </c:pt>
                <c:pt idx="38">
                  <c:v>6.5199999999999994E-2</c:v>
                </c:pt>
              </c:numCache>
            </c:numRef>
          </c:val>
          <c:smooth val="0"/>
          <c:extLst>
            <c:ext xmlns:c16="http://schemas.microsoft.com/office/drawing/2014/chart" uri="{C3380CC4-5D6E-409C-BE32-E72D297353CC}">
              <c16:uniqueId val="{00000001-3988-4A3F-9711-F69D6D5D8CC7}"/>
            </c:ext>
          </c:extLst>
        </c:ser>
        <c:ser>
          <c:idx val="1"/>
          <c:order val="1"/>
          <c:tx>
            <c:strRef>
              <c:f>'Domestic and Foreign Mortga (2'!$B$18</c:f>
              <c:strCache>
                <c:ptCount val="1"/>
                <c:pt idx="0">
                  <c:v>Foreign Currency (More than 10 years)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cat>
            <c:numRef>
              <c:f>'Domestic and Foreign Mortga (2'!$C$1:$AO$1</c:f>
              <c:numCache>
                <c:formatCode>[$-409]mmm\-yy;@</c:formatCode>
                <c:ptCount val="39"/>
                <c:pt idx="0">
                  <c:v>42308</c:v>
                </c:pt>
                <c:pt idx="1">
                  <c:v>42338</c:v>
                </c:pt>
                <c:pt idx="2">
                  <c:v>42353</c:v>
                </c:pt>
                <c:pt idx="3">
                  <c:v>42400</c:v>
                </c:pt>
                <c:pt idx="4">
                  <c:v>42429</c:v>
                </c:pt>
                <c:pt idx="5">
                  <c:v>42460</c:v>
                </c:pt>
                <c:pt idx="6">
                  <c:v>42490</c:v>
                </c:pt>
                <c:pt idx="7">
                  <c:v>42521</c:v>
                </c:pt>
                <c:pt idx="8">
                  <c:v>42551</c:v>
                </c:pt>
                <c:pt idx="9">
                  <c:v>42582</c:v>
                </c:pt>
                <c:pt idx="10">
                  <c:v>42613</c:v>
                </c:pt>
                <c:pt idx="11">
                  <c:v>42643</c:v>
                </c:pt>
                <c:pt idx="12">
                  <c:v>42674</c:v>
                </c:pt>
                <c:pt idx="13">
                  <c:v>42704</c:v>
                </c:pt>
                <c:pt idx="14">
                  <c:v>42735</c:v>
                </c:pt>
                <c:pt idx="15">
                  <c:v>42766</c:v>
                </c:pt>
                <c:pt idx="16">
                  <c:v>42794</c:v>
                </c:pt>
                <c:pt idx="17">
                  <c:v>42825</c:v>
                </c:pt>
                <c:pt idx="18">
                  <c:v>42855</c:v>
                </c:pt>
                <c:pt idx="19">
                  <c:v>42886</c:v>
                </c:pt>
                <c:pt idx="20">
                  <c:v>42916</c:v>
                </c:pt>
                <c:pt idx="21">
                  <c:v>42947</c:v>
                </c:pt>
                <c:pt idx="22">
                  <c:v>42978</c:v>
                </c:pt>
                <c:pt idx="23">
                  <c:v>43008</c:v>
                </c:pt>
                <c:pt idx="24">
                  <c:v>43039</c:v>
                </c:pt>
                <c:pt idx="25">
                  <c:v>43069</c:v>
                </c:pt>
                <c:pt idx="26">
                  <c:v>43100</c:v>
                </c:pt>
                <c:pt idx="27">
                  <c:v>43131</c:v>
                </c:pt>
                <c:pt idx="28">
                  <c:v>43159</c:v>
                </c:pt>
                <c:pt idx="29">
                  <c:v>43190</c:v>
                </c:pt>
                <c:pt idx="30">
                  <c:v>43220</c:v>
                </c:pt>
                <c:pt idx="31">
                  <c:v>43251</c:v>
                </c:pt>
                <c:pt idx="32">
                  <c:v>43281</c:v>
                </c:pt>
                <c:pt idx="33">
                  <c:v>43312</c:v>
                </c:pt>
                <c:pt idx="34">
                  <c:v>43343</c:v>
                </c:pt>
                <c:pt idx="35">
                  <c:v>43373</c:v>
                </c:pt>
                <c:pt idx="36">
                  <c:v>43404</c:v>
                </c:pt>
                <c:pt idx="37">
                  <c:v>43434</c:v>
                </c:pt>
                <c:pt idx="38">
                  <c:v>43465</c:v>
                </c:pt>
              </c:numCache>
            </c:numRef>
          </c:cat>
          <c:val>
            <c:numRef>
              <c:f>'Domestic and Foreign Mortga (2'!$C$18:$AO$18</c:f>
              <c:numCache>
                <c:formatCode>0%</c:formatCode>
                <c:ptCount val="39"/>
                <c:pt idx="0">
                  <c:v>9.4475000000000003E-2</c:v>
                </c:pt>
                <c:pt idx="1">
                  <c:v>9.3800000000000008E-2</c:v>
                </c:pt>
                <c:pt idx="2">
                  <c:v>9.1700000000000004E-2</c:v>
                </c:pt>
                <c:pt idx="3">
                  <c:v>9.06E-2</c:v>
                </c:pt>
                <c:pt idx="4">
                  <c:v>8.6699999999999999E-2</c:v>
                </c:pt>
                <c:pt idx="5">
                  <c:v>8.4000000000000005E-2</c:v>
                </c:pt>
                <c:pt idx="6">
                  <c:v>8.3400000000000002E-2</c:v>
                </c:pt>
                <c:pt idx="7">
                  <c:v>8.09E-2</c:v>
                </c:pt>
                <c:pt idx="8">
                  <c:v>8.1000000000000003E-2</c:v>
                </c:pt>
                <c:pt idx="9">
                  <c:v>0.08</c:v>
                </c:pt>
                <c:pt idx="10">
                  <c:v>8.09E-2</c:v>
                </c:pt>
                <c:pt idx="11">
                  <c:v>8.0600000000000005E-2</c:v>
                </c:pt>
                <c:pt idx="12">
                  <c:v>7.7300000000000008E-2</c:v>
                </c:pt>
                <c:pt idx="13">
                  <c:v>7.2599999999999998E-2</c:v>
                </c:pt>
                <c:pt idx="14">
                  <c:v>7.1500000000000008E-2</c:v>
                </c:pt>
                <c:pt idx="15">
                  <c:v>7.1599999999999997E-2</c:v>
                </c:pt>
                <c:pt idx="16">
                  <c:v>7.1599999999999997E-2</c:v>
                </c:pt>
                <c:pt idx="17">
                  <c:v>7.1900000000000006E-2</c:v>
                </c:pt>
                <c:pt idx="18">
                  <c:v>7.2599999999999998E-2</c:v>
                </c:pt>
                <c:pt idx="19">
                  <c:v>7.2499999999999995E-2</c:v>
                </c:pt>
                <c:pt idx="20">
                  <c:v>7.2000000000000008E-2</c:v>
                </c:pt>
                <c:pt idx="21">
                  <c:v>7.0900000000000005E-2</c:v>
                </c:pt>
                <c:pt idx="22">
                  <c:v>7.1199999999999999E-2</c:v>
                </c:pt>
                <c:pt idx="23">
                  <c:v>7.1399999999999991E-2</c:v>
                </c:pt>
                <c:pt idx="24">
                  <c:v>7.0400000000000004E-2</c:v>
                </c:pt>
                <c:pt idx="25">
                  <c:v>7.0699999999999999E-2</c:v>
                </c:pt>
                <c:pt idx="26">
                  <c:v>7.2400000000000006E-2</c:v>
                </c:pt>
                <c:pt idx="27">
                  <c:v>7.1599999999999997E-2</c:v>
                </c:pt>
                <c:pt idx="28">
                  <c:v>7.1500000000000008E-2</c:v>
                </c:pt>
                <c:pt idx="29">
                  <c:v>7.2599999999999998E-2</c:v>
                </c:pt>
                <c:pt idx="30">
                  <c:v>6.9199999999999998E-2</c:v>
                </c:pt>
                <c:pt idx="31">
                  <c:v>6.8699999999999997E-2</c:v>
                </c:pt>
                <c:pt idx="32">
                  <c:v>6.8099999999999994E-2</c:v>
                </c:pt>
                <c:pt idx="33">
                  <c:v>6.4199999999999993E-2</c:v>
                </c:pt>
                <c:pt idx="34">
                  <c:v>5.0900000000000001E-2</c:v>
                </c:pt>
                <c:pt idx="35">
                  <c:v>5.2499999999999998E-2</c:v>
                </c:pt>
                <c:pt idx="36">
                  <c:v>5.74E-2</c:v>
                </c:pt>
                <c:pt idx="37">
                  <c:v>6.1399999999999996E-2</c:v>
                </c:pt>
                <c:pt idx="38">
                  <c:v>6.2199999999999998E-2</c:v>
                </c:pt>
              </c:numCache>
            </c:numRef>
          </c:val>
          <c:smooth val="0"/>
          <c:extLst>
            <c:ext xmlns:c16="http://schemas.microsoft.com/office/drawing/2014/chart" uri="{C3380CC4-5D6E-409C-BE32-E72D297353CC}">
              <c16:uniqueId val="{00000003-3988-4A3F-9711-F69D6D5D8CC7}"/>
            </c:ext>
          </c:extLst>
        </c:ser>
        <c:dLbls>
          <c:showLegendKey val="0"/>
          <c:showVal val="0"/>
          <c:showCatName val="0"/>
          <c:showSerName val="0"/>
          <c:showPercent val="0"/>
          <c:showBubbleSize val="0"/>
        </c:dLbls>
        <c:marker val="1"/>
        <c:smooth val="0"/>
        <c:axId val="1804772576"/>
        <c:axId val="1804799776"/>
      </c:lineChart>
      <c:dateAx>
        <c:axId val="1804772576"/>
        <c:scaling>
          <c:orientation val="minMax"/>
        </c:scaling>
        <c:delete val="0"/>
        <c:axPos val="b"/>
        <c:numFmt formatCode="[$-409]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9776"/>
        <c:crosses val="autoZero"/>
        <c:auto val="1"/>
        <c:lblOffset val="100"/>
        <c:baseTimeUnit val="days"/>
      </c:dateAx>
      <c:valAx>
        <c:axId val="1804799776"/>
        <c:scaling>
          <c:orientation val="minMax"/>
          <c:max val="0.18000000000000002"/>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72576"/>
        <c:crosses val="autoZero"/>
        <c:crossBetween val="between"/>
      </c:valAx>
      <c:spPr>
        <a:noFill/>
        <a:ln>
          <a:noFill/>
        </a:ln>
        <a:effectLst/>
      </c:spPr>
    </c:plotArea>
    <c:legend>
      <c:legendPos val="b"/>
      <c:layout>
        <c:manualLayout>
          <c:xMode val="edge"/>
          <c:yMode val="edge"/>
          <c:x val="0"/>
          <c:y val="0.75384453866343626"/>
          <c:w val="1"/>
          <c:h val="0.191454606635708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Unaffordablerent!$A$3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Unaffordablerent!$B$3:$M$3</c:f>
              <c:numCache>
                <c:formatCode>0.0%</c:formatCode>
                <c:ptCount val="12"/>
                <c:pt idx="0">
                  <c:v>1.903961990323513E-2</c:v>
                </c:pt>
                <c:pt idx="1">
                  <c:v>2.2367276562178483E-2</c:v>
                </c:pt>
                <c:pt idx="2">
                  <c:v>2.8039683084593127E-2</c:v>
                </c:pt>
                <c:pt idx="3">
                  <c:v>2.6760623093787517E-2</c:v>
                </c:pt>
                <c:pt idx="4">
                  <c:v>3.4092018127235862E-2</c:v>
                </c:pt>
                <c:pt idx="5">
                  <c:v>2.4277927348692441E-2</c:v>
                </c:pt>
                <c:pt idx="6">
                  <c:v>2.3123983202587396E-2</c:v>
                </c:pt>
                <c:pt idx="7">
                  <c:v>2.4255981042468209E-2</c:v>
                </c:pt>
                <c:pt idx="8">
                  <c:v>1.7262709199561813E-2</c:v>
                </c:pt>
                <c:pt idx="9">
                  <c:v>2.6016442063822715E-2</c:v>
                </c:pt>
                <c:pt idx="10">
                  <c:v>2.0360097595936141E-2</c:v>
                </c:pt>
                <c:pt idx="11">
                  <c:v>2.3273850377926043E-2</c:v>
                </c:pt>
              </c:numCache>
            </c:numRef>
          </c:val>
          <c:smooth val="0"/>
          <c:extLst>
            <c:ext xmlns:c16="http://schemas.microsoft.com/office/drawing/2014/chart" uri="{C3380CC4-5D6E-409C-BE32-E72D297353CC}">
              <c16:uniqueId val="{00000000-E33F-4DB5-93EE-74A6DE650CD1}"/>
            </c:ext>
          </c:extLst>
        </c:ser>
        <c:ser>
          <c:idx val="1"/>
          <c:order val="1"/>
          <c:tx>
            <c:strRef>
              <c:f>Unaffordablerent!$A$4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Unaffordablerent!$B$4:$M$4</c:f>
              <c:numCache>
                <c:formatCode>0.0%</c:formatCode>
                <c:ptCount val="12"/>
                <c:pt idx="0">
                  <c:v>1.1037602601002026E-2</c:v>
                </c:pt>
                <c:pt idx="1">
                  <c:v>3.1243894065755864E-2</c:v>
                </c:pt>
                <c:pt idx="2">
                  <c:v>2.0714089790296718E-2</c:v>
                </c:pt>
                <c:pt idx="3">
                  <c:v>2.0006054450398141E-2</c:v>
                </c:pt>
                <c:pt idx="4">
                  <c:v>1.5261925232637356E-2</c:v>
                </c:pt>
                <c:pt idx="5">
                  <c:v>1.7002252797707344E-2</c:v>
                </c:pt>
                <c:pt idx="6">
                  <c:v>1.7093749759398841E-2</c:v>
                </c:pt>
                <c:pt idx="7">
                  <c:v>1.7791277602137098E-2</c:v>
                </c:pt>
                <c:pt idx="8">
                  <c:v>6.6319948395420093E-3</c:v>
                </c:pt>
                <c:pt idx="9">
                  <c:v>1.907962583259527E-2</c:v>
                </c:pt>
                <c:pt idx="10">
                  <c:v>1.2506065784754309E-2</c:v>
                </c:pt>
                <c:pt idx="11">
                  <c:v>4.4201445268441636E-2</c:v>
                </c:pt>
              </c:numCache>
            </c:numRef>
          </c:val>
          <c:smooth val="0"/>
          <c:extLst>
            <c:ext xmlns:c16="http://schemas.microsoft.com/office/drawing/2014/chart" uri="{C3380CC4-5D6E-409C-BE32-E72D297353CC}">
              <c16:uniqueId val="{00000001-E33F-4DB5-93EE-74A6DE650CD1}"/>
            </c:ext>
          </c:extLst>
        </c:ser>
        <c:ser>
          <c:idx val="2"/>
          <c:order val="2"/>
          <c:tx>
            <c:strRef>
              <c:f>Unaffordablerent!$A$5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Unaffordablerent!$B$5:$M$5</c:f>
              <c:numCache>
                <c:formatCode>0.0%</c:formatCode>
                <c:ptCount val="12"/>
                <c:pt idx="0">
                  <c:v>5.434782608695652E-3</c:v>
                </c:pt>
                <c:pt idx="1">
                  <c:v>2.3714539007092195E-2</c:v>
                </c:pt>
                <c:pt idx="2">
                  <c:v>1.2469314222363005E-2</c:v>
                </c:pt>
                <c:pt idx="3">
                  <c:v>2.9400531084714465E-2</c:v>
                </c:pt>
                <c:pt idx="4">
                  <c:v>2.8968253968253969E-2</c:v>
                </c:pt>
                <c:pt idx="5">
                  <c:v>1.8445121951219515E-2</c:v>
                </c:pt>
                <c:pt idx="6">
                  <c:v>5.3191489361702126E-3</c:v>
                </c:pt>
                <c:pt idx="7">
                  <c:v>5.681818181818182E-3</c:v>
                </c:pt>
                <c:pt idx="8">
                  <c:v>1.1054421768707481E-2</c:v>
                </c:pt>
                <c:pt idx="9">
                  <c:v>1.550751879699248E-2</c:v>
                </c:pt>
                <c:pt idx="10">
                  <c:v>2.5852246832558563E-2</c:v>
                </c:pt>
                <c:pt idx="11">
                  <c:v>4.9712012615038263E-2</c:v>
                </c:pt>
              </c:numCache>
            </c:numRef>
          </c:val>
          <c:smooth val="0"/>
          <c:extLst>
            <c:ext xmlns:c16="http://schemas.microsoft.com/office/drawing/2014/chart" uri="{C3380CC4-5D6E-409C-BE32-E72D297353CC}">
              <c16:uniqueId val="{00000002-E33F-4DB5-93EE-74A6DE650CD1}"/>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6.0000000000000012E-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Unaffordablerent!$P$3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Unaffordablerent!$Q$3:$AB$3</c:f>
              <c:numCache>
                <c:formatCode>0.00%</c:formatCode>
                <c:ptCount val="12"/>
                <c:pt idx="0">
                  <c:v>8.2430498775048818E-3</c:v>
                </c:pt>
                <c:pt idx="1">
                  <c:v>2.9649414119130172E-3</c:v>
                </c:pt>
                <c:pt idx="2">
                  <c:v>3.8884041611429391E-3</c:v>
                </c:pt>
                <c:pt idx="3">
                  <c:v>2.7275961256041214E-3</c:v>
                </c:pt>
                <c:pt idx="4">
                  <c:v>1.4337258410362179E-3</c:v>
                </c:pt>
                <c:pt idx="5">
                  <c:v>5.3607282693586935E-4</c:v>
                </c:pt>
                <c:pt idx="6">
                  <c:v>5.290482154731125E-4</c:v>
                </c:pt>
                <c:pt idx="7">
                  <c:v>8.8124843597597185E-4</c:v>
                </c:pt>
                <c:pt idx="8">
                  <c:v>1.2366485951482891E-3</c:v>
                </c:pt>
                <c:pt idx="9">
                  <c:v>9.0413661568321084E-4</c:v>
                </c:pt>
                <c:pt idx="10">
                  <c:v>3.1085129885941726E-3</c:v>
                </c:pt>
                <c:pt idx="11">
                  <c:v>8.8056864276542886E-4</c:v>
                </c:pt>
              </c:numCache>
            </c:numRef>
          </c:val>
          <c:smooth val="0"/>
          <c:extLst>
            <c:ext xmlns:c16="http://schemas.microsoft.com/office/drawing/2014/chart" uri="{C3380CC4-5D6E-409C-BE32-E72D297353CC}">
              <c16:uniqueId val="{00000000-D8C5-46A6-8BA5-7F07EEA0B0AB}"/>
            </c:ext>
          </c:extLst>
        </c:ser>
        <c:ser>
          <c:idx val="1"/>
          <c:order val="1"/>
          <c:tx>
            <c:strRef>
              <c:f>Unaffordablerent!$P$4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Unaffordablerent!$Q$4:$AB$4</c:f>
              <c:numCache>
                <c:formatCode>0.0%</c:formatCode>
                <c:ptCount val="12"/>
                <c:pt idx="0">
                  <c:v>2.5951557093425604E-3</c:v>
                </c:pt>
                <c:pt idx="1">
                  <c:v>3.8887693631669538E-3</c:v>
                </c:pt>
                <c:pt idx="2">
                  <c:v>7.623896132360742E-3</c:v>
                </c:pt>
                <c:pt idx="3">
                  <c:v>1.3355009878667759E-2</c:v>
                </c:pt>
                <c:pt idx="4">
                  <c:v>8.6805555555555551E-4</c:v>
                </c:pt>
                <c:pt idx="5">
                  <c:v>2.9336734693877551E-3</c:v>
                </c:pt>
                <c:pt idx="6">
                  <c:v>9.8039215686274508E-4</c:v>
                </c:pt>
                <c:pt idx="7">
                  <c:v>0</c:v>
                </c:pt>
                <c:pt idx="8">
                  <c:v>9.0909090909090909E-4</c:v>
                </c:pt>
                <c:pt idx="9">
                  <c:v>0</c:v>
                </c:pt>
                <c:pt idx="10">
                  <c:v>5.125518714819836E-3</c:v>
                </c:pt>
                <c:pt idx="11">
                  <c:v>1.2820512820512821E-3</c:v>
                </c:pt>
              </c:numCache>
            </c:numRef>
          </c:val>
          <c:smooth val="0"/>
          <c:extLst>
            <c:ext xmlns:c16="http://schemas.microsoft.com/office/drawing/2014/chart" uri="{C3380CC4-5D6E-409C-BE32-E72D297353CC}">
              <c16:uniqueId val="{00000001-D8C5-46A6-8BA5-7F07EEA0B0AB}"/>
            </c:ext>
          </c:extLst>
        </c:ser>
        <c:ser>
          <c:idx val="2"/>
          <c:order val="2"/>
          <c:tx>
            <c:strRef>
              <c:f>Unaffordablerent!$P$5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Unaffordablerent!$Q$5:$AB$5</c:f>
              <c:numCache>
                <c:formatCode>0.0%</c:formatCode>
                <c:ptCount val="12"/>
                <c:pt idx="0">
                  <c:v>6.9444444444444441E-3</c:v>
                </c:pt>
                <c:pt idx="1">
                  <c:v>6.285355122564425E-3</c:v>
                </c:pt>
                <c:pt idx="2">
                  <c:v>7.3027718550106608E-3</c:v>
                </c:pt>
                <c:pt idx="3">
                  <c:v>2.717391304347826E-3</c:v>
                </c:pt>
                <c:pt idx="4">
                  <c:v>0</c:v>
                </c:pt>
                <c:pt idx="5">
                  <c:v>0</c:v>
                </c:pt>
                <c:pt idx="6">
                  <c:v>0</c:v>
                </c:pt>
                <c:pt idx="7">
                  <c:v>0</c:v>
                </c:pt>
                <c:pt idx="8">
                  <c:v>0</c:v>
                </c:pt>
                <c:pt idx="9">
                  <c:v>0.01</c:v>
                </c:pt>
                <c:pt idx="10">
                  <c:v>1.2379227053140096E-2</c:v>
                </c:pt>
                <c:pt idx="11">
                  <c:v>0</c:v>
                </c:pt>
              </c:numCache>
            </c:numRef>
          </c:val>
          <c:smooth val="0"/>
          <c:extLst>
            <c:ext xmlns:c16="http://schemas.microsoft.com/office/drawing/2014/chart" uri="{C3380CC4-5D6E-409C-BE32-E72D297353CC}">
              <c16:uniqueId val="{00000002-D8C5-46A6-8BA5-7F07EEA0B0AB}"/>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6.0000000000000012E-2"/>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Unaffordableexp!$A$3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Unaffordableexp!$B$3:$M$3</c:f>
              <c:numCache>
                <c:formatCode>0.0%</c:formatCode>
                <c:ptCount val="12"/>
                <c:pt idx="0">
                  <c:v>0.13179861969342366</c:v>
                </c:pt>
                <c:pt idx="1">
                  <c:v>0.1313881620110853</c:v>
                </c:pt>
                <c:pt idx="2">
                  <c:v>0.11966546676647062</c:v>
                </c:pt>
                <c:pt idx="3">
                  <c:v>0.11110483117156547</c:v>
                </c:pt>
                <c:pt idx="4">
                  <c:v>0.13130011331439634</c:v>
                </c:pt>
                <c:pt idx="5">
                  <c:v>0.12474039855347993</c:v>
                </c:pt>
                <c:pt idx="6">
                  <c:v>7.4440292321484039E-2</c:v>
                </c:pt>
                <c:pt idx="7">
                  <c:v>6.34170099480382E-2</c:v>
                </c:pt>
                <c:pt idx="8">
                  <c:v>6.2033118804845043E-2</c:v>
                </c:pt>
                <c:pt idx="9">
                  <c:v>6.340084713008512E-2</c:v>
                </c:pt>
                <c:pt idx="10">
                  <c:v>8.1851669953402872E-2</c:v>
                </c:pt>
                <c:pt idx="11">
                  <c:v>6.4722125830145028E-2</c:v>
                </c:pt>
              </c:numCache>
            </c:numRef>
          </c:val>
          <c:smooth val="0"/>
          <c:extLst>
            <c:ext xmlns:c16="http://schemas.microsoft.com/office/drawing/2014/chart" uri="{C3380CC4-5D6E-409C-BE32-E72D297353CC}">
              <c16:uniqueId val="{00000000-0C45-4D3C-8408-E1FBBEB3F512}"/>
            </c:ext>
          </c:extLst>
        </c:ser>
        <c:ser>
          <c:idx val="1"/>
          <c:order val="1"/>
          <c:tx>
            <c:strRef>
              <c:f>Unaffordableexp!$A$4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Unaffordableexp!$B$4:$M$4</c:f>
              <c:numCache>
                <c:formatCode>0.00%</c:formatCode>
                <c:ptCount val="12"/>
                <c:pt idx="0">
                  <c:v>0.21329810459767287</c:v>
                </c:pt>
                <c:pt idx="1">
                  <c:v>0.2165155900409069</c:v>
                </c:pt>
                <c:pt idx="2">
                  <c:v>0.17849799344496398</c:v>
                </c:pt>
                <c:pt idx="3">
                  <c:v>0.15705817523310431</c:v>
                </c:pt>
                <c:pt idx="4">
                  <c:v>0.16690443643484076</c:v>
                </c:pt>
                <c:pt idx="5">
                  <c:v>0.18932077514372236</c:v>
                </c:pt>
                <c:pt idx="6">
                  <c:v>0.12843689381171799</c:v>
                </c:pt>
                <c:pt idx="7">
                  <c:v>7.6083560032350561E-2</c:v>
                </c:pt>
                <c:pt idx="8">
                  <c:v>8.4593261825874011E-2</c:v>
                </c:pt>
                <c:pt idx="9">
                  <c:v>7.3592322531332272E-2</c:v>
                </c:pt>
                <c:pt idx="10">
                  <c:v>0.11051174124944617</c:v>
                </c:pt>
                <c:pt idx="11">
                  <c:v>7.9874328115595472E-2</c:v>
                </c:pt>
              </c:numCache>
            </c:numRef>
          </c:val>
          <c:smooth val="0"/>
          <c:extLst>
            <c:ext xmlns:c16="http://schemas.microsoft.com/office/drawing/2014/chart" uri="{C3380CC4-5D6E-409C-BE32-E72D297353CC}">
              <c16:uniqueId val="{00000001-0C45-4D3C-8408-E1FBBEB3F512}"/>
            </c:ext>
          </c:extLst>
        </c:ser>
        <c:ser>
          <c:idx val="2"/>
          <c:order val="2"/>
          <c:tx>
            <c:strRef>
              <c:f>Unaffordableexp!$A$5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Unaffordableexp!$B$5:$M$5</c:f>
              <c:numCache>
                <c:formatCode>0.0%</c:formatCode>
                <c:ptCount val="12"/>
                <c:pt idx="0">
                  <c:v>0.11250456448707338</c:v>
                </c:pt>
                <c:pt idx="1">
                  <c:v>0.14697473404255318</c:v>
                </c:pt>
                <c:pt idx="2">
                  <c:v>0.12514751839712074</c:v>
                </c:pt>
                <c:pt idx="3">
                  <c:v>0.12166261210861656</c:v>
                </c:pt>
                <c:pt idx="4">
                  <c:v>0.11054107391316692</c:v>
                </c:pt>
                <c:pt idx="5">
                  <c:v>7.674235861211072E-2</c:v>
                </c:pt>
                <c:pt idx="6">
                  <c:v>6.0960977881956965E-2</c:v>
                </c:pt>
                <c:pt idx="7">
                  <c:v>3.9163755859913593E-2</c:v>
                </c:pt>
                <c:pt idx="8">
                  <c:v>5.9889713461142038E-2</c:v>
                </c:pt>
                <c:pt idx="9">
                  <c:v>6.9249829118250172E-2</c:v>
                </c:pt>
                <c:pt idx="10">
                  <c:v>6.8384832740862267E-2</c:v>
                </c:pt>
                <c:pt idx="11">
                  <c:v>0.10993127160688812</c:v>
                </c:pt>
              </c:numCache>
            </c:numRef>
          </c:val>
          <c:smooth val="0"/>
          <c:extLst>
            <c:ext xmlns:c16="http://schemas.microsoft.com/office/drawing/2014/chart" uri="{C3380CC4-5D6E-409C-BE32-E72D297353CC}">
              <c16:uniqueId val="{00000002-0C45-4D3C-8408-E1FBBEB3F512}"/>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2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Unaffordableexp!$P$3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Unaffordableexp!$Q$3:$AB$3</c:f>
              <c:numCache>
                <c:formatCode>0.00%</c:formatCode>
                <c:ptCount val="12"/>
                <c:pt idx="0">
                  <c:v>6.4328423187838671E-2</c:v>
                </c:pt>
                <c:pt idx="1">
                  <c:v>6.3868047245123127E-2</c:v>
                </c:pt>
                <c:pt idx="2">
                  <c:v>4.1766308722022562E-2</c:v>
                </c:pt>
                <c:pt idx="3">
                  <c:v>4.125793237753219E-2</c:v>
                </c:pt>
                <c:pt idx="4">
                  <c:v>3.9793352826534671E-2</c:v>
                </c:pt>
                <c:pt idx="5">
                  <c:v>3.4531880342455246E-2</c:v>
                </c:pt>
                <c:pt idx="6">
                  <c:v>2.3925804210919596E-2</c:v>
                </c:pt>
                <c:pt idx="7">
                  <c:v>2.7216334529252643E-2</c:v>
                </c:pt>
                <c:pt idx="8">
                  <c:v>3.6531545458349468E-2</c:v>
                </c:pt>
                <c:pt idx="9">
                  <c:v>3.4257559144761418E-2</c:v>
                </c:pt>
                <c:pt idx="10">
                  <c:v>5.0660078495346483E-2</c:v>
                </c:pt>
                <c:pt idx="11">
                  <c:v>2.9453963021052548E-2</c:v>
                </c:pt>
              </c:numCache>
            </c:numRef>
          </c:val>
          <c:smooth val="0"/>
          <c:extLst>
            <c:ext xmlns:c16="http://schemas.microsoft.com/office/drawing/2014/chart" uri="{C3380CC4-5D6E-409C-BE32-E72D297353CC}">
              <c16:uniqueId val="{00000000-8D08-4621-B6DC-8D6530BD0AE4}"/>
            </c:ext>
          </c:extLst>
        </c:ser>
        <c:ser>
          <c:idx val="1"/>
          <c:order val="1"/>
          <c:tx>
            <c:strRef>
              <c:f>Unaffordableexp!$P$4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Unaffordableexp!$Q$4:$AB$4</c:f>
              <c:numCache>
                <c:formatCode>0.0%</c:formatCode>
                <c:ptCount val="12"/>
                <c:pt idx="0">
                  <c:v>0.1547551777354696</c:v>
                </c:pt>
                <c:pt idx="1">
                  <c:v>0.16967496887245029</c:v>
                </c:pt>
                <c:pt idx="2">
                  <c:v>0.13488288820863459</c:v>
                </c:pt>
                <c:pt idx="3">
                  <c:v>0.15519140056299757</c:v>
                </c:pt>
                <c:pt idx="4">
                  <c:v>0.15850431718768843</c:v>
                </c:pt>
                <c:pt idx="5">
                  <c:v>0.15927197802197801</c:v>
                </c:pt>
                <c:pt idx="6">
                  <c:v>0.10713569518716579</c:v>
                </c:pt>
                <c:pt idx="7">
                  <c:v>9.8267891774628621E-2</c:v>
                </c:pt>
                <c:pt idx="8">
                  <c:v>7.5745101580681956E-2</c:v>
                </c:pt>
                <c:pt idx="9">
                  <c:v>5.3706130482615556E-2</c:v>
                </c:pt>
                <c:pt idx="10">
                  <c:v>0.16972227306799262</c:v>
                </c:pt>
                <c:pt idx="11">
                  <c:v>7.1169329779447302E-2</c:v>
                </c:pt>
              </c:numCache>
            </c:numRef>
          </c:val>
          <c:smooth val="0"/>
          <c:extLst>
            <c:ext xmlns:c16="http://schemas.microsoft.com/office/drawing/2014/chart" uri="{C3380CC4-5D6E-409C-BE32-E72D297353CC}">
              <c16:uniqueId val="{00000001-8D08-4621-B6DC-8D6530BD0AE4}"/>
            </c:ext>
          </c:extLst>
        </c:ser>
        <c:ser>
          <c:idx val="2"/>
          <c:order val="2"/>
          <c:tx>
            <c:strRef>
              <c:f>Unaffordableexp!$P$5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Unaffordableexp!$Q$5:$AB$5</c:f>
              <c:numCache>
                <c:formatCode>0.0%</c:formatCode>
                <c:ptCount val="12"/>
                <c:pt idx="0">
                  <c:v>9.5989974937343348E-2</c:v>
                </c:pt>
                <c:pt idx="1">
                  <c:v>0.12349927201266618</c:v>
                </c:pt>
                <c:pt idx="2">
                  <c:v>4.3717260259548814E-2</c:v>
                </c:pt>
                <c:pt idx="3">
                  <c:v>4.5823364489250319E-2</c:v>
                </c:pt>
                <c:pt idx="4">
                  <c:v>9.50837839826362E-2</c:v>
                </c:pt>
                <c:pt idx="5">
                  <c:v>8.0857843137254887E-2</c:v>
                </c:pt>
                <c:pt idx="6">
                  <c:v>3.4407894736842103E-2</c:v>
                </c:pt>
                <c:pt idx="7">
                  <c:v>3.6607142857142859E-2</c:v>
                </c:pt>
                <c:pt idx="8">
                  <c:v>5.7581018518518517E-2</c:v>
                </c:pt>
                <c:pt idx="9">
                  <c:v>7.1036682615629981E-2</c:v>
                </c:pt>
                <c:pt idx="10">
                  <c:v>7.5694098531748855E-2</c:v>
                </c:pt>
                <c:pt idx="11">
                  <c:v>2.5649350649350651E-2</c:v>
                </c:pt>
              </c:numCache>
            </c:numRef>
          </c:val>
          <c:smooth val="0"/>
          <c:extLst>
            <c:ext xmlns:c16="http://schemas.microsoft.com/office/drawing/2014/chart" uri="{C3380CC4-5D6E-409C-BE32-E72D297353CC}">
              <c16:uniqueId val="{00000002-8D08-4621-B6DC-8D6530BD0AE4}"/>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25"/>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Subunfit45!$A$3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Subunfit45!$B$3:$H$3</c:f>
              <c:numCache>
                <c:formatCode>0.0%</c:formatCode>
                <c:ptCount val="7"/>
                <c:pt idx="0">
                  <c:v>0.58902262771489033</c:v>
                </c:pt>
                <c:pt idx="1">
                  <c:v>0.56142098888572245</c:v>
                </c:pt>
                <c:pt idx="2">
                  <c:v>0.56722096257658972</c:v>
                </c:pt>
                <c:pt idx="3">
                  <c:v>0.58783283093627925</c:v>
                </c:pt>
                <c:pt idx="4">
                  <c:v>0.55638995955723725</c:v>
                </c:pt>
                <c:pt idx="5">
                  <c:v>0.5903726371900071</c:v>
                </c:pt>
                <c:pt idx="6">
                  <c:v>0.56688666324519577</c:v>
                </c:pt>
              </c:numCache>
            </c:numRef>
          </c:val>
          <c:smooth val="0"/>
          <c:extLst>
            <c:ext xmlns:c16="http://schemas.microsoft.com/office/drawing/2014/chart" uri="{C3380CC4-5D6E-409C-BE32-E72D297353CC}">
              <c16:uniqueId val="{00000000-FC8B-4C34-86CF-5BB6C905367B}"/>
            </c:ext>
          </c:extLst>
        </c:ser>
        <c:ser>
          <c:idx val="1"/>
          <c:order val="1"/>
          <c:tx>
            <c:strRef>
              <c:f>Subunfit45!$A$4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Subunfit45!$B$4:$H$4</c:f>
              <c:numCache>
                <c:formatCode>0.0%</c:formatCode>
                <c:ptCount val="7"/>
                <c:pt idx="0">
                  <c:v>0.56254102322173616</c:v>
                </c:pt>
                <c:pt idx="1">
                  <c:v>0.51575821182081061</c:v>
                </c:pt>
                <c:pt idx="2">
                  <c:v>0.50467837883540811</c:v>
                </c:pt>
                <c:pt idx="3">
                  <c:v>0.54616568522019171</c:v>
                </c:pt>
                <c:pt idx="4">
                  <c:v>0.47036518124875459</c:v>
                </c:pt>
                <c:pt idx="5">
                  <c:v>0.5305287366285345</c:v>
                </c:pt>
                <c:pt idx="6">
                  <c:v>0.49240095822313013</c:v>
                </c:pt>
              </c:numCache>
            </c:numRef>
          </c:val>
          <c:smooth val="0"/>
          <c:extLst>
            <c:ext xmlns:c16="http://schemas.microsoft.com/office/drawing/2014/chart" uri="{C3380CC4-5D6E-409C-BE32-E72D297353CC}">
              <c16:uniqueId val="{00000001-FC8B-4C34-86CF-5BB6C905367B}"/>
            </c:ext>
          </c:extLst>
        </c:ser>
        <c:ser>
          <c:idx val="2"/>
          <c:order val="2"/>
          <c:tx>
            <c:strRef>
              <c:f>Subunfit45!$A$5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Subunfit45!$B$5:$H$5</c:f>
              <c:numCache>
                <c:formatCode>0.0%</c:formatCode>
                <c:ptCount val="7"/>
                <c:pt idx="0">
                  <c:v>0.52067929292929294</c:v>
                </c:pt>
                <c:pt idx="1">
                  <c:v>0.44779239752977978</c:v>
                </c:pt>
                <c:pt idx="2">
                  <c:v>0.44492583849845257</c:v>
                </c:pt>
                <c:pt idx="3">
                  <c:v>0.43830441107579449</c:v>
                </c:pt>
                <c:pt idx="4">
                  <c:v>0.42686863110114254</c:v>
                </c:pt>
                <c:pt idx="5">
                  <c:v>0.43473932568665874</c:v>
                </c:pt>
                <c:pt idx="6">
                  <c:v>0.42944267352088927</c:v>
                </c:pt>
              </c:numCache>
            </c:numRef>
          </c:val>
          <c:smooth val="0"/>
          <c:extLst>
            <c:ext xmlns:c16="http://schemas.microsoft.com/office/drawing/2014/chart" uri="{C3380CC4-5D6E-409C-BE32-E72D297353CC}">
              <c16:uniqueId val="{00000002-FC8B-4C34-86CF-5BB6C905367B}"/>
            </c:ext>
          </c:extLst>
        </c:ser>
        <c:ser>
          <c:idx val="3"/>
          <c:order val="3"/>
          <c:tx>
            <c:strRef>
              <c:f>Subunfit45!$A$6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Subunfit45!$B$6:$H$6</c:f>
              <c:numCache>
                <c:formatCode>0.0%</c:formatCode>
                <c:ptCount val="7"/>
                <c:pt idx="0">
                  <c:v>0.37566321936713309</c:v>
                </c:pt>
                <c:pt idx="1">
                  <c:v>0.3535404280681701</c:v>
                </c:pt>
                <c:pt idx="2">
                  <c:v>0.35007437991997786</c:v>
                </c:pt>
                <c:pt idx="3">
                  <c:v>0.34725740663219684</c:v>
                </c:pt>
                <c:pt idx="4">
                  <c:v>0.29570511544490347</c:v>
                </c:pt>
                <c:pt idx="5">
                  <c:v>0.32032709544122606</c:v>
                </c:pt>
                <c:pt idx="6">
                  <c:v>0.31467414584983289</c:v>
                </c:pt>
              </c:numCache>
            </c:numRef>
          </c:val>
          <c:smooth val="0"/>
          <c:extLst>
            <c:ext xmlns:c16="http://schemas.microsoft.com/office/drawing/2014/chart" uri="{C3380CC4-5D6E-409C-BE32-E72D297353CC}">
              <c16:uniqueId val="{00000003-FC8B-4C34-86CF-5BB6C905367B}"/>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Subunfit45!$K$3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Subunfit45!$L$3:$R$3</c:f>
              <c:numCache>
                <c:formatCode>0.0%</c:formatCode>
                <c:ptCount val="7"/>
                <c:pt idx="0">
                  <c:v>0.66665918705466565</c:v>
                </c:pt>
                <c:pt idx="1">
                  <c:v>0.73649398110776343</c:v>
                </c:pt>
                <c:pt idx="2">
                  <c:v>0.6565826569432156</c:v>
                </c:pt>
                <c:pt idx="3">
                  <c:v>0.63159893944738643</c:v>
                </c:pt>
                <c:pt idx="4">
                  <c:v>0.63007765028011509</c:v>
                </c:pt>
                <c:pt idx="5">
                  <c:v>0.68070878689810721</c:v>
                </c:pt>
                <c:pt idx="6">
                  <c:v>0.64299263333817247</c:v>
                </c:pt>
              </c:numCache>
            </c:numRef>
          </c:val>
          <c:smooth val="0"/>
          <c:extLst>
            <c:ext xmlns:c16="http://schemas.microsoft.com/office/drawing/2014/chart" uri="{C3380CC4-5D6E-409C-BE32-E72D297353CC}">
              <c16:uniqueId val="{00000000-CCB0-41C6-A895-4FD1E00F5CD0}"/>
            </c:ext>
          </c:extLst>
        </c:ser>
        <c:ser>
          <c:idx val="1"/>
          <c:order val="1"/>
          <c:tx>
            <c:strRef>
              <c:f>Subunfit45!$K$4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Subunfit45!$L$4:$R$4</c:f>
              <c:numCache>
                <c:formatCode>0.0%</c:formatCode>
                <c:ptCount val="7"/>
                <c:pt idx="0">
                  <c:v>0.62066126436563651</c:v>
                </c:pt>
                <c:pt idx="1">
                  <c:v>0.65348334401024988</c:v>
                </c:pt>
                <c:pt idx="2">
                  <c:v>0.59215391747023971</c:v>
                </c:pt>
                <c:pt idx="3">
                  <c:v>0.52665306015710711</c:v>
                </c:pt>
                <c:pt idx="4">
                  <c:v>0.56379520187494692</c:v>
                </c:pt>
                <c:pt idx="5">
                  <c:v>0.60110190213626669</c:v>
                </c:pt>
                <c:pt idx="6">
                  <c:v>0.56167431545012092</c:v>
                </c:pt>
              </c:numCache>
            </c:numRef>
          </c:val>
          <c:smooth val="0"/>
          <c:extLst>
            <c:ext xmlns:c16="http://schemas.microsoft.com/office/drawing/2014/chart" uri="{C3380CC4-5D6E-409C-BE32-E72D297353CC}">
              <c16:uniqueId val="{00000001-CCB0-41C6-A895-4FD1E00F5CD0}"/>
            </c:ext>
          </c:extLst>
        </c:ser>
        <c:ser>
          <c:idx val="2"/>
          <c:order val="2"/>
          <c:tx>
            <c:strRef>
              <c:f>Subunfit45!$K$5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Subunfit45!$L$5:$R$5</c:f>
              <c:numCache>
                <c:formatCode>0.0%</c:formatCode>
                <c:ptCount val="7"/>
                <c:pt idx="0">
                  <c:v>0.55117550764476264</c:v>
                </c:pt>
                <c:pt idx="1">
                  <c:v>0.5398783005493325</c:v>
                </c:pt>
                <c:pt idx="2">
                  <c:v>0.51695554305062918</c:v>
                </c:pt>
                <c:pt idx="3">
                  <c:v>0.48753388702173139</c:v>
                </c:pt>
                <c:pt idx="4">
                  <c:v>0.48946675543324802</c:v>
                </c:pt>
                <c:pt idx="5">
                  <c:v>0.50980325460976861</c:v>
                </c:pt>
                <c:pt idx="6">
                  <c:v>0.47071187443562046</c:v>
                </c:pt>
              </c:numCache>
            </c:numRef>
          </c:val>
          <c:smooth val="0"/>
          <c:extLst>
            <c:ext xmlns:c16="http://schemas.microsoft.com/office/drawing/2014/chart" uri="{C3380CC4-5D6E-409C-BE32-E72D297353CC}">
              <c16:uniqueId val="{00000002-CCB0-41C6-A895-4FD1E00F5CD0}"/>
            </c:ext>
          </c:extLst>
        </c:ser>
        <c:ser>
          <c:idx val="3"/>
          <c:order val="3"/>
          <c:tx>
            <c:strRef>
              <c:f>Subunfit45!$K$6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Subunfit45!$L$6:$R$6</c:f>
              <c:numCache>
                <c:formatCode>0.0%</c:formatCode>
                <c:ptCount val="7"/>
                <c:pt idx="0">
                  <c:v>0.48713314895193816</c:v>
                </c:pt>
                <c:pt idx="1">
                  <c:v>0.42761627410298431</c:v>
                </c:pt>
                <c:pt idx="2">
                  <c:v>0.42861856085314987</c:v>
                </c:pt>
                <c:pt idx="3">
                  <c:v>0.35231745429998118</c:v>
                </c:pt>
                <c:pt idx="4">
                  <c:v>0.36997776851149289</c:v>
                </c:pt>
                <c:pt idx="5">
                  <c:v>0.39412678376632948</c:v>
                </c:pt>
                <c:pt idx="6">
                  <c:v>0.35496744344496756</c:v>
                </c:pt>
              </c:numCache>
            </c:numRef>
          </c:val>
          <c:smooth val="0"/>
          <c:extLst>
            <c:ext xmlns:c16="http://schemas.microsoft.com/office/drawing/2014/chart" uri="{C3380CC4-5D6E-409C-BE32-E72D297353CC}">
              <c16:uniqueId val="{00000003-CCB0-41C6-A895-4FD1E00F5CD0}"/>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Subunfit5!$A$3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Subunfit5!$B$3:$H$3</c:f>
              <c:numCache>
                <c:formatCode>0.0%</c:formatCode>
                <c:ptCount val="7"/>
                <c:pt idx="0">
                  <c:v>5.2750875049725421E-2</c:v>
                </c:pt>
                <c:pt idx="1">
                  <c:v>3.6875534340267885E-2</c:v>
                </c:pt>
                <c:pt idx="2">
                  <c:v>3.5328890955700604E-2</c:v>
                </c:pt>
                <c:pt idx="3">
                  <c:v>3.9080395761430242E-2</c:v>
                </c:pt>
                <c:pt idx="4">
                  <c:v>4.1791252094708728E-2</c:v>
                </c:pt>
                <c:pt idx="5">
                  <c:v>4.6854303840287034E-2</c:v>
                </c:pt>
                <c:pt idx="6">
                  <c:v>3.3912334678955422E-2</c:v>
                </c:pt>
              </c:numCache>
            </c:numRef>
          </c:val>
          <c:smooth val="0"/>
          <c:extLst>
            <c:ext xmlns:c16="http://schemas.microsoft.com/office/drawing/2014/chart" uri="{C3380CC4-5D6E-409C-BE32-E72D297353CC}">
              <c16:uniqueId val="{00000000-A3A4-469D-A4EA-102D5289682C}"/>
            </c:ext>
          </c:extLst>
        </c:ser>
        <c:ser>
          <c:idx val="1"/>
          <c:order val="1"/>
          <c:tx>
            <c:strRef>
              <c:f>Subunfit5!$A$4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Subunfit5!$B$4:$H$4</c:f>
              <c:numCache>
                <c:formatCode>0.0%</c:formatCode>
                <c:ptCount val="7"/>
                <c:pt idx="0">
                  <c:v>2.4744586817064925E-2</c:v>
                </c:pt>
                <c:pt idx="1">
                  <c:v>3.8940318603386877E-2</c:v>
                </c:pt>
                <c:pt idx="2">
                  <c:v>2.7590618856371735E-2</c:v>
                </c:pt>
                <c:pt idx="3">
                  <c:v>1.7810975892866218E-2</c:v>
                </c:pt>
                <c:pt idx="4">
                  <c:v>2.8059239022138707E-2</c:v>
                </c:pt>
                <c:pt idx="5">
                  <c:v>3.8703151452831611E-2</c:v>
                </c:pt>
                <c:pt idx="6">
                  <c:v>3.0799357066066069E-2</c:v>
                </c:pt>
              </c:numCache>
            </c:numRef>
          </c:val>
          <c:smooth val="0"/>
          <c:extLst>
            <c:ext xmlns:c16="http://schemas.microsoft.com/office/drawing/2014/chart" uri="{C3380CC4-5D6E-409C-BE32-E72D297353CC}">
              <c16:uniqueId val="{00000001-A3A4-469D-A4EA-102D5289682C}"/>
            </c:ext>
          </c:extLst>
        </c:ser>
        <c:ser>
          <c:idx val="2"/>
          <c:order val="2"/>
          <c:tx>
            <c:strRef>
              <c:f>Subunfit5!$A$5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Subunfit5!$B$5:$H$5</c:f>
              <c:numCache>
                <c:formatCode>0.0%</c:formatCode>
                <c:ptCount val="7"/>
                <c:pt idx="0">
                  <c:v>1.7678451178451179E-2</c:v>
                </c:pt>
                <c:pt idx="1">
                  <c:v>2.6700685226182901E-2</c:v>
                </c:pt>
                <c:pt idx="2">
                  <c:v>1.9380247726512929E-2</c:v>
                </c:pt>
                <c:pt idx="3">
                  <c:v>1.7816390087736136E-2</c:v>
                </c:pt>
                <c:pt idx="4">
                  <c:v>4.6657865948801719E-3</c:v>
                </c:pt>
                <c:pt idx="5">
                  <c:v>1.2803328049184616E-2</c:v>
                </c:pt>
                <c:pt idx="6">
                  <c:v>1.8493760357353575E-2</c:v>
                </c:pt>
              </c:numCache>
            </c:numRef>
          </c:val>
          <c:smooth val="0"/>
          <c:extLst>
            <c:ext xmlns:c16="http://schemas.microsoft.com/office/drawing/2014/chart" uri="{C3380CC4-5D6E-409C-BE32-E72D297353CC}">
              <c16:uniqueId val="{00000002-A3A4-469D-A4EA-102D5289682C}"/>
            </c:ext>
          </c:extLst>
        </c:ser>
        <c:ser>
          <c:idx val="3"/>
          <c:order val="3"/>
          <c:tx>
            <c:strRef>
              <c:f>Subunfit5!$A$6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Subunfit5!$B$6:$H$6</c:f>
              <c:numCache>
                <c:formatCode>0.0%</c:formatCode>
                <c:ptCount val="7"/>
                <c:pt idx="0">
                  <c:v>1.2407076757615612E-2</c:v>
                </c:pt>
                <c:pt idx="1">
                  <c:v>8.5067726636869224E-3</c:v>
                </c:pt>
                <c:pt idx="2">
                  <c:v>9.2852575074394948E-3</c:v>
                </c:pt>
                <c:pt idx="3">
                  <c:v>5.197484401605266E-3</c:v>
                </c:pt>
                <c:pt idx="4">
                  <c:v>7.6923076923076923E-4</c:v>
                </c:pt>
                <c:pt idx="5">
                  <c:v>1.0265504786999788E-2</c:v>
                </c:pt>
                <c:pt idx="6">
                  <c:v>8.5673038619811272E-3</c:v>
                </c:pt>
              </c:numCache>
            </c:numRef>
          </c:val>
          <c:smooth val="0"/>
          <c:extLst>
            <c:ext xmlns:c16="http://schemas.microsoft.com/office/drawing/2014/chart" uri="{C3380CC4-5D6E-409C-BE32-E72D297353CC}">
              <c16:uniqueId val="{00000003-A3A4-469D-A4EA-102D5289682C}"/>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Subunfit5!$K$3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Subunfit5!$L$3:$R$3</c:f>
              <c:numCache>
                <c:formatCode>0.0%</c:formatCode>
                <c:ptCount val="7"/>
                <c:pt idx="0" formatCode="0.00%">
                  <c:v>8.9211552850679929E-2</c:v>
                </c:pt>
                <c:pt idx="1">
                  <c:v>8.675347875011534E-2</c:v>
                </c:pt>
                <c:pt idx="2">
                  <c:v>7.6462144441514376E-2</c:v>
                </c:pt>
                <c:pt idx="3">
                  <c:v>6.0500043817234263E-2</c:v>
                </c:pt>
                <c:pt idx="4">
                  <c:v>5.7128239313934015E-2</c:v>
                </c:pt>
                <c:pt idx="5" formatCode="0.00%">
                  <c:v>9.1230829580344147E-2</c:v>
                </c:pt>
                <c:pt idx="6">
                  <c:v>9.1801085365419893E-2</c:v>
                </c:pt>
              </c:numCache>
            </c:numRef>
          </c:val>
          <c:smooth val="0"/>
          <c:extLst>
            <c:ext xmlns:c16="http://schemas.microsoft.com/office/drawing/2014/chart" uri="{C3380CC4-5D6E-409C-BE32-E72D297353CC}">
              <c16:uniqueId val="{00000000-4C8B-4850-A1F1-8C675A369942}"/>
            </c:ext>
          </c:extLst>
        </c:ser>
        <c:ser>
          <c:idx val="1"/>
          <c:order val="1"/>
          <c:tx>
            <c:strRef>
              <c:f>Subunfit5!$K$4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Subunfit5!$L$4:$R$4</c:f>
              <c:numCache>
                <c:formatCode>0.0%</c:formatCode>
                <c:ptCount val="7"/>
                <c:pt idx="0">
                  <c:v>7.0056812914535166E-2</c:v>
                </c:pt>
                <c:pt idx="1">
                  <c:v>6.5575509960826769E-2</c:v>
                </c:pt>
                <c:pt idx="2">
                  <c:v>6.0471477606921023E-2</c:v>
                </c:pt>
                <c:pt idx="3">
                  <c:v>5.1786929555860714E-2</c:v>
                </c:pt>
                <c:pt idx="4">
                  <c:v>4.3252881799301299E-2</c:v>
                </c:pt>
                <c:pt idx="5">
                  <c:v>6.3650433179540153E-2</c:v>
                </c:pt>
                <c:pt idx="6">
                  <c:v>4.7520542670851082E-2</c:v>
                </c:pt>
              </c:numCache>
            </c:numRef>
          </c:val>
          <c:smooth val="0"/>
          <c:extLst>
            <c:ext xmlns:c16="http://schemas.microsoft.com/office/drawing/2014/chart" uri="{C3380CC4-5D6E-409C-BE32-E72D297353CC}">
              <c16:uniqueId val="{00000001-4C8B-4850-A1F1-8C675A369942}"/>
            </c:ext>
          </c:extLst>
        </c:ser>
        <c:ser>
          <c:idx val="2"/>
          <c:order val="2"/>
          <c:tx>
            <c:strRef>
              <c:f>Subunfit5!$K$5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Subunfit5!$L$5:$R$5</c:f>
              <c:numCache>
                <c:formatCode>0.0%</c:formatCode>
                <c:ptCount val="7"/>
                <c:pt idx="0" formatCode="0.00%">
                  <c:v>5.2410367546354933E-2</c:v>
                </c:pt>
                <c:pt idx="1">
                  <c:v>3.4574764035570762E-2</c:v>
                </c:pt>
                <c:pt idx="2">
                  <c:v>4.0489870567961682E-2</c:v>
                </c:pt>
                <c:pt idx="3">
                  <c:v>3.27678465761886E-2</c:v>
                </c:pt>
                <c:pt idx="4">
                  <c:v>2.3218857237286797E-2</c:v>
                </c:pt>
                <c:pt idx="5" formatCode="0.00%">
                  <c:v>3.2946296592786001E-2</c:v>
                </c:pt>
                <c:pt idx="6">
                  <c:v>3.9723186313147037E-2</c:v>
                </c:pt>
              </c:numCache>
            </c:numRef>
          </c:val>
          <c:smooth val="0"/>
          <c:extLst>
            <c:ext xmlns:c16="http://schemas.microsoft.com/office/drawing/2014/chart" uri="{C3380CC4-5D6E-409C-BE32-E72D297353CC}">
              <c16:uniqueId val="{00000002-4C8B-4850-A1F1-8C675A369942}"/>
            </c:ext>
          </c:extLst>
        </c:ser>
        <c:ser>
          <c:idx val="3"/>
          <c:order val="3"/>
          <c:tx>
            <c:strRef>
              <c:f>Subunfit5!$K$6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Subunfit5!$L$6:$R$6</c:f>
              <c:numCache>
                <c:formatCode>0.0%</c:formatCode>
                <c:ptCount val="7"/>
                <c:pt idx="0">
                  <c:v>1.7026668886747927E-2</c:v>
                </c:pt>
                <c:pt idx="1">
                  <c:v>2.2366333799711861E-2</c:v>
                </c:pt>
                <c:pt idx="2">
                  <c:v>1.9771436231196506E-2</c:v>
                </c:pt>
                <c:pt idx="3">
                  <c:v>8.4287103776351097E-3</c:v>
                </c:pt>
                <c:pt idx="4">
                  <c:v>1.4072392738081889E-2</c:v>
                </c:pt>
                <c:pt idx="5">
                  <c:v>3.088478935094973E-2</c:v>
                </c:pt>
                <c:pt idx="6">
                  <c:v>1.4494027609867847E-2</c:v>
                </c:pt>
              </c:numCache>
            </c:numRef>
          </c:val>
          <c:smooth val="0"/>
          <c:extLst>
            <c:ext xmlns:c16="http://schemas.microsoft.com/office/drawing/2014/chart" uri="{C3380CC4-5D6E-409C-BE32-E72D297353CC}">
              <c16:uniqueId val="{00000003-4C8B-4850-A1F1-8C675A369942}"/>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Subunfit45!$A$3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Subunfit45!$B$3:$H$3</c:f>
              <c:numCache>
                <c:formatCode>0.0%</c:formatCode>
                <c:ptCount val="7"/>
                <c:pt idx="0">
                  <c:v>0.50730550515337702</c:v>
                </c:pt>
                <c:pt idx="1">
                  <c:v>0.46106305121868218</c:v>
                </c:pt>
                <c:pt idx="2">
                  <c:v>0.45837722555280008</c:v>
                </c:pt>
                <c:pt idx="3">
                  <c:v>0.46353368866818107</c:v>
                </c:pt>
                <c:pt idx="4">
                  <c:v>0.42338960900524392</c:v>
                </c:pt>
                <c:pt idx="5">
                  <c:v>0.45626491710843536</c:v>
                </c:pt>
                <c:pt idx="6">
                  <c:v>0.44281581162714995</c:v>
                </c:pt>
              </c:numCache>
            </c:numRef>
          </c:val>
          <c:smooth val="0"/>
          <c:extLst>
            <c:ext xmlns:c16="http://schemas.microsoft.com/office/drawing/2014/chart" uri="{C3380CC4-5D6E-409C-BE32-E72D297353CC}">
              <c16:uniqueId val="{00000000-A108-4127-8640-442596FDDE61}"/>
            </c:ext>
          </c:extLst>
        </c:ser>
        <c:ser>
          <c:idx val="1"/>
          <c:order val="1"/>
          <c:tx>
            <c:strRef>
              <c:f>Subunfit45!$A$4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Subunfit45!$B$4:$H$4</c:f>
              <c:numCache>
                <c:formatCode>0.0%</c:formatCode>
                <c:ptCount val="7"/>
                <c:pt idx="0">
                  <c:v>0.5745841339875718</c:v>
                </c:pt>
                <c:pt idx="1">
                  <c:v>0.43174404879008466</c:v>
                </c:pt>
                <c:pt idx="2">
                  <c:v>0.41482456140350876</c:v>
                </c:pt>
                <c:pt idx="3">
                  <c:v>0.49256581021437584</c:v>
                </c:pt>
                <c:pt idx="4">
                  <c:v>0.4189361369789652</c:v>
                </c:pt>
                <c:pt idx="5">
                  <c:v>0.49246849196241127</c:v>
                </c:pt>
                <c:pt idx="6">
                  <c:v>0.46534300601790074</c:v>
                </c:pt>
              </c:numCache>
            </c:numRef>
          </c:val>
          <c:smooth val="0"/>
          <c:extLst>
            <c:ext xmlns:c16="http://schemas.microsoft.com/office/drawing/2014/chart" uri="{C3380CC4-5D6E-409C-BE32-E72D297353CC}">
              <c16:uniqueId val="{00000001-A108-4127-8640-442596FDDE61}"/>
            </c:ext>
          </c:extLst>
        </c:ser>
        <c:ser>
          <c:idx val="2"/>
          <c:order val="2"/>
          <c:tx>
            <c:strRef>
              <c:f>Subunfit45!$A$5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Subunfit45!$B$5:$H$5</c:f>
              <c:numCache>
                <c:formatCode>0.0%</c:formatCode>
                <c:ptCount val="7"/>
                <c:pt idx="0">
                  <c:v>0.54105456333751678</c:v>
                </c:pt>
                <c:pt idx="1">
                  <c:v>0.5018886772288389</c:v>
                </c:pt>
                <c:pt idx="2">
                  <c:v>0.52274843628355461</c:v>
                </c:pt>
                <c:pt idx="3">
                  <c:v>0.51265056352574034</c:v>
                </c:pt>
                <c:pt idx="4">
                  <c:v>0.45298089276714609</c:v>
                </c:pt>
                <c:pt idx="5">
                  <c:v>0.48821997949141782</c:v>
                </c:pt>
                <c:pt idx="6">
                  <c:v>0.4912752253857493</c:v>
                </c:pt>
              </c:numCache>
            </c:numRef>
          </c:val>
          <c:smooth val="0"/>
          <c:extLst>
            <c:ext xmlns:c16="http://schemas.microsoft.com/office/drawing/2014/chart" uri="{C3380CC4-5D6E-409C-BE32-E72D297353CC}">
              <c16:uniqueId val="{00000002-A108-4127-8640-442596FDDE61}"/>
            </c:ext>
          </c:extLst>
        </c:ser>
        <c:ser>
          <c:idx val="3"/>
          <c:order val="3"/>
          <c:tx>
            <c:strRef>
              <c:f>Subunfit45!$A$6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Subunfit45!$B$6:$H$6</c:f>
              <c:numCache>
                <c:formatCode>0.0%</c:formatCode>
                <c:ptCount val="7"/>
                <c:pt idx="0">
                  <c:v>0.61021312370330472</c:v>
                </c:pt>
                <c:pt idx="1">
                  <c:v>0.56280361780461208</c:v>
                </c:pt>
                <c:pt idx="2">
                  <c:v>0.5524762449290751</c:v>
                </c:pt>
                <c:pt idx="3">
                  <c:v>0.56818601650871425</c:v>
                </c:pt>
                <c:pt idx="4">
                  <c:v>0.5709597823382655</c:v>
                </c:pt>
                <c:pt idx="5">
                  <c:v>0.57487564624854759</c:v>
                </c:pt>
                <c:pt idx="6">
                  <c:v>0.57248217269363888</c:v>
                </c:pt>
              </c:numCache>
            </c:numRef>
          </c:val>
          <c:smooth val="0"/>
          <c:extLst>
            <c:ext xmlns:c16="http://schemas.microsoft.com/office/drawing/2014/chart" uri="{C3380CC4-5D6E-409C-BE32-E72D297353CC}">
              <c16:uniqueId val="{00000003-A108-4127-8640-442596FDDE61}"/>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70000000000000007"/>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Subunfit45!$K$3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Subunfit45!$L$3:$R$3</c:f>
              <c:numCache>
                <c:formatCode>0.0%</c:formatCode>
                <c:ptCount val="7"/>
                <c:pt idx="0">
                  <c:v>0.58320449457606771</c:v>
                </c:pt>
                <c:pt idx="1">
                  <c:v>0.59675603416630663</c:v>
                </c:pt>
                <c:pt idx="2">
                  <c:v>0.55437316555410299</c:v>
                </c:pt>
                <c:pt idx="3">
                  <c:v>0.50985747864766018</c:v>
                </c:pt>
                <c:pt idx="4">
                  <c:v>0.5225154209787467</c:v>
                </c:pt>
                <c:pt idx="5">
                  <c:v>0.56049540022469513</c:v>
                </c:pt>
                <c:pt idx="6">
                  <c:v>0.51719848338381447</c:v>
                </c:pt>
              </c:numCache>
            </c:numRef>
          </c:val>
          <c:smooth val="0"/>
          <c:extLst>
            <c:ext xmlns:c16="http://schemas.microsoft.com/office/drawing/2014/chart" uri="{C3380CC4-5D6E-409C-BE32-E72D297353CC}">
              <c16:uniqueId val="{00000000-5518-43C8-B6E9-205EACCCCBE8}"/>
            </c:ext>
          </c:extLst>
        </c:ser>
        <c:ser>
          <c:idx val="1"/>
          <c:order val="1"/>
          <c:tx>
            <c:strRef>
              <c:f>Subunfit45!$K$4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Subunfit45!$L$4:$R$4</c:f>
              <c:numCache>
                <c:formatCode>0.0%</c:formatCode>
                <c:ptCount val="7"/>
                <c:pt idx="0">
                  <c:v>0.42924365434863754</c:v>
                </c:pt>
                <c:pt idx="1">
                  <c:v>0.60881886815997999</c:v>
                </c:pt>
                <c:pt idx="2">
                  <c:v>0.5096069677871149</c:v>
                </c:pt>
                <c:pt idx="3">
                  <c:v>0.4415149819514389</c:v>
                </c:pt>
                <c:pt idx="4">
                  <c:v>0.55912872209217446</c:v>
                </c:pt>
                <c:pt idx="5">
                  <c:v>0.43366787648949745</c:v>
                </c:pt>
                <c:pt idx="6">
                  <c:v>0.43816098707403056</c:v>
                </c:pt>
              </c:numCache>
            </c:numRef>
          </c:val>
          <c:smooth val="0"/>
          <c:extLst>
            <c:ext xmlns:c16="http://schemas.microsoft.com/office/drawing/2014/chart" uri="{C3380CC4-5D6E-409C-BE32-E72D297353CC}">
              <c16:uniqueId val="{00000001-5518-43C8-B6E9-205EACCCCBE8}"/>
            </c:ext>
          </c:extLst>
        </c:ser>
        <c:ser>
          <c:idx val="2"/>
          <c:order val="2"/>
          <c:tx>
            <c:strRef>
              <c:f>Subunfit45!$K$5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Subunfit45!$L$5:$R$5</c:f>
              <c:numCache>
                <c:formatCode>0.0%</c:formatCode>
                <c:ptCount val="7"/>
                <c:pt idx="0">
                  <c:v>0.60011698926793267</c:v>
                </c:pt>
                <c:pt idx="1">
                  <c:v>0.64937696779257714</c:v>
                </c:pt>
                <c:pt idx="2">
                  <c:v>0.59193016051222902</c:v>
                </c:pt>
                <c:pt idx="3">
                  <c:v>0.57330360349908915</c:v>
                </c:pt>
                <c:pt idx="4">
                  <c:v>0.58954904940702391</c:v>
                </c:pt>
                <c:pt idx="5">
                  <c:v>0.59837743493529083</c:v>
                </c:pt>
                <c:pt idx="6">
                  <c:v>0.53997149112450238</c:v>
                </c:pt>
              </c:numCache>
            </c:numRef>
          </c:val>
          <c:smooth val="0"/>
          <c:extLst>
            <c:ext xmlns:c16="http://schemas.microsoft.com/office/drawing/2014/chart" uri="{C3380CC4-5D6E-409C-BE32-E72D297353CC}">
              <c16:uniqueId val="{00000002-5518-43C8-B6E9-205EACCCCBE8}"/>
            </c:ext>
          </c:extLst>
        </c:ser>
        <c:ser>
          <c:idx val="3"/>
          <c:order val="3"/>
          <c:tx>
            <c:strRef>
              <c:f>Subunfit45!$K$6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Subunfit45!$L$6:$R$6</c:f>
              <c:numCache>
                <c:formatCode>0.0%</c:formatCode>
                <c:ptCount val="7"/>
                <c:pt idx="0">
                  <c:v>0.63840321107682818</c:v>
                </c:pt>
                <c:pt idx="1">
                  <c:v>0.64799323357626448</c:v>
                </c:pt>
                <c:pt idx="2">
                  <c:v>0.63063900546725282</c:v>
                </c:pt>
                <c:pt idx="3">
                  <c:v>0.59959786792303627</c:v>
                </c:pt>
                <c:pt idx="4">
                  <c:v>0.61511985042904815</c:v>
                </c:pt>
                <c:pt idx="5">
                  <c:v>0.57937005699450927</c:v>
                </c:pt>
                <c:pt idx="6">
                  <c:v>0.58692109154578198</c:v>
                </c:pt>
              </c:numCache>
            </c:numRef>
          </c:val>
          <c:smooth val="0"/>
          <c:extLst>
            <c:ext xmlns:c16="http://schemas.microsoft.com/office/drawing/2014/chart" uri="{C3380CC4-5D6E-409C-BE32-E72D297353CC}">
              <c16:uniqueId val="{00000003-5518-43C8-B6E9-205EACCCCBE8}"/>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37394502333915"/>
          <c:y val="4.2145593869731802E-2"/>
          <c:w val="0.83471387932795826"/>
          <c:h val="0.66650013575889222"/>
        </c:manualLayout>
      </c:layout>
      <c:lineChart>
        <c:grouping val="standard"/>
        <c:varyColors val="0"/>
        <c:ser>
          <c:idx val="0"/>
          <c:order val="0"/>
          <c:tx>
            <c:v>Foreign Currency</c:v>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'Domestic and Foreign loans10-15'!$B$1:$BR$1</c:f>
              <c:strCache>
                <c:ptCount val="69"/>
                <c:pt idx="0">
                  <c:v>Jan-10</c:v>
                </c:pt>
                <c:pt idx="1">
                  <c:v>Feb-10</c:v>
                </c:pt>
                <c:pt idx="2">
                  <c:v>Mar-10</c:v>
                </c:pt>
                <c:pt idx="3">
                  <c:v>Apr-10</c:v>
                </c:pt>
                <c:pt idx="4">
                  <c:v>May-10</c:v>
                </c:pt>
                <c:pt idx="5">
                  <c:v>Jun-10</c:v>
                </c:pt>
                <c:pt idx="6">
                  <c:v>0/31/2010</c:v>
                </c:pt>
                <c:pt idx="7">
                  <c:v>Aug-10</c:v>
                </c:pt>
                <c:pt idx="8">
                  <c:v>Sep-10</c:v>
                </c:pt>
                <c:pt idx="9">
                  <c:v>Oct-10</c:v>
                </c:pt>
                <c:pt idx="10">
                  <c:v>Nov-10</c:v>
                </c:pt>
                <c:pt idx="11">
                  <c:v>Dec-10</c:v>
                </c:pt>
                <c:pt idx="12">
                  <c:v>Jan-11</c:v>
                </c:pt>
                <c:pt idx="13">
                  <c:v>Feb-11</c:v>
                </c:pt>
                <c:pt idx="14">
                  <c:v>Mar-11</c:v>
                </c:pt>
                <c:pt idx="15">
                  <c:v>Apr-11</c:v>
                </c:pt>
                <c:pt idx="16">
                  <c:v>May-11</c:v>
                </c:pt>
                <c:pt idx="17">
                  <c:v>Jun-11</c:v>
                </c:pt>
                <c:pt idx="18">
                  <c:v>Jul-11</c:v>
                </c:pt>
                <c:pt idx="19">
                  <c:v>Aug-11</c:v>
                </c:pt>
                <c:pt idx="20">
                  <c:v>Sep-11</c:v>
                </c:pt>
                <c:pt idx="21">
                  <c:v>Oct-11</c:v>
                </c:pt>
                <c:pt idx="22">
                  <c:v>Nov-11</c:v>
                </c:pt>
                <c:pt idx="23">
                  <c:v>Dec-11</c:v>
                </c:pt>
                <c:pt idx="24">
                  <c:v>Jan-12</c:v>
                </c:pt>
                <c:pt idx="25">
                  <c:v>Feb-12</c:v>
                </c:pt>
                <c:pt idx="26">
                  <c:v>Mar-12</c:v>
                </c:pt>
                <c:pt idx="27">
                  <c:v>Apr-12</c:v>
                </c:pt>
                <c:pt idx="28">
                  <c:v>May-12</c:v>
                </c:pt>
                <c:pt idx="29">
                  <c:v>Jun-12</c:v>
                </c:pt>
                <c:pt idx="30">
                  <c:v>Jul-12</c:v>
                </c:pt>
                <c:pt idx="31">
                  <c:v>Aug-12</c:v>
                </c:pt>
                <c:pt idx="32">
                  <c:v>Sep-12</c:v>
                </c:pt>
                <c:pt idx="33">
                  <c:v>Oct-12</c:v>
                </c:pt>
                <c:pt idx="34">
                  <c:v>Nov-12</c:v>
                </c:pt>
                <c:pt idx="35">
                  <c:v>Dec-12</c:v>
                </c:pt>
                <c:pt idx="36">
                  <c:v>Jan-13</c:v>
                </c:pt>
                <c:pt idx="37">
                  <c:v>Feb-13</c:v>
                </c:pt>
                <c:pt idx="38">
                  <c:v>Mar-13</c:v>
                </c:pt>
                <c:pt idx="39">
                  <c:v>Apr-13</c:v>
                </c:pt>
                <c:pt idx="40">
                  <c:v>May-13</c:v>
                </c:pt>
                <c:pt idx="41">
                  <c:v>Jun-13</c:v>
                </c:pt>
                <c:pt idx="42">
                  <c:v>Jul-13</c:v>
                </c:pt>
                <c:pt idx="43">
                  <c:v>Aug-13</c:v>
                </c:pt>
                <c:pt idx="44">
                  <c:v>Sep-13</c:v>
                </c:pt>
                <c:pt idx="45">
                  <c:v>Oct-13</c:v>
                </c:pt>
                <c:pt idx="46">
                  <c:v>Nov-13</c:v>
                </c:pt>
                <c:pt idx="47">
                  <c:v>Dec-13</c:v>
                </c:pt>
                <c:pt idx="48">
                  <c:v>Jan-14</c:v>
                </c:pt>
                <c:pt idx="49">
                  <c:v>Feb-14</c:v>
                </c:pt>
                <c:pt idx="50">
                  <c:v>Mar-14</c:v>
                </c:pt>
                <c:pt idx="51">
                  <c:v>Apr-14</c:v>
                </c:pt>
                <c:pt idx="52">
                  <c:v>May-14</c:v>
                </c:pt>
                <c:pt idx="53">
                  <c:v>Jun-14</c:v>
                </c:pt>
                <c:pt idx="54">
                  <c:v>Jul-14</c:v>
                </c:pt>
                <c:pt idx="55">
                  <c:v>Aug-14</c:v>
                </c:pt>
                <c:pt idx="56">
                  <c:v>Sep-14</c:v>
                </c:pt>
                <c:pt idx="57">
                  <c:v>Oct-14</c:v>
                </c:pt>
                <c:pt idx="58">
                  <c:v>Nov-14</c:v>
                </c:pt>
                <c:pt idx="59">
                  <c:v>Dec-14</c:v>
                </c:pt>
                <c:pt idx="60">
                  <c:v>Jan-15</c:v>
                </c:pt>
                <c:pt idx="61">
                  <c:v>Feb-15</c:v>
                </c:pt>
                <c:pt idx="62">
                  <c:v>Mar-15</c:v>
                </c:pt>
                <c:pt idx="63">
                  <c:v>Apr-15</c:v>
                </c:pt>
                <c:pt idx="64">
                  <c:v>May-15</c:v>
                </c:pt>
                <c:pt idx="65">
                  <c:v>Jun-15</c:v>
                </c:pt>
                <c:pt idx="66">
                  <c:v>Jul-15</c:v>
                </c:pt>
                <c:pt idx="67">
                  <c:v>Aug-15</c:v>
                </c:pt>
                <c:pt idx="68">
                  <c:v>Sep-15</c:v>
                </c:pt>
              </c:strCache>
            </c:strRef>
          </c:cat>
          <c:val>
            <c:numRef>
              <c:f>'Domestic and Foreign loans10-15'!$B$3:$BR$3</c:f>
              <c:numCache>
                <c:formatCode>0.0%</c:formatCode>
                <c:ptCount val="69"/>
                <c:pt idx="0">
                  <c:v>0.16240825424142724</c:v>
                </c:pt>
                <c:pt idx="1">
                  <c:v>0.16331070542549325</c:v>
                </c:pt>
                <c:pt idx="2">
                  <c:v>0.15549638566410173</c:v>
                </c:pt>
                <c:pt idx="3">
                  <c:v>0.1470704196751908</c:v>
                </c:pt>
                <c:pt idx="4">
                  <c:v>0.15233520855641694</c:v>
                </c:pt>
                <c:pt idx="5">
                  <c:v>0.14390600920832874</c:v>
                </c:pt>
                <c:pt idx="6">
                  <c:v>0.14083050033413166</c:v>
                </c:pt>
                <c:pt idx="7">
                  <c:v>0.14850886898363036</c:v>
                </c:pt>
                <c:pt idx="8">
                  <c:v>0.1420848373217404</c:v>
                </c:pt>
                <c:pt idx="9">
                  <c:v>0.13902484905173931</c:v>
                </c:pt>
                <c:pt idx="10">
                  <c:v>0.14383322588171205</c:v>
                </c:pt>
                <c:pt idx="11">
                  <c:v>0.11783151083940205</c:v>
                </c:pt>
                <c:pt idx="12">
                  <c:v>0.11915490994637992</c:v>
                </c:pt>
                <c:pt idx="13">
                  <c:v>0.12436198531655519</c:v>
                </c:pt>
                <c:pt idx="14">
                  <c:v>0.12881763023661161</c:v>
                </c:pt>
                <c:pt idx="15">
                  <c:v>0.12001335957421697</c:v>
                </c:pt>
                <c:pt idx="16">
                  <c:v>0.12250110146064973</c:v>
                </c:pt>
                <c:pt idx="17">
                  <c:v>0.12279121083657905</c:v>
                </c:pt>
                <c:pt idx="18">
                  <c:v>0.11592074506335011</c:v>
                </c:pt>
                <c:pt idx="19">
                  <c:v>0.12036286576813587</c:v>
                </c:pt>
                <c:pt idx="20">
                  <c:v>0.12208265030807192</c:v>
                </c:pt>
                <c:pt idx="21">
                  <c:v>0.12507974001144842</c:v>
                </c:pt>
                <c:pt idx="22">
                  <c:v>0.13024998073847496</c:v>
                </c:pt>
                <c:pt idx="23">
                  <c:v>0.1360535517864499</c:v>
                </c:pt>
                <c:pt idx="24">
                  <c:v>0.13519083694559803</c:v>
                </c:pt>
                <c:pt idx="25">
                  <c:v>0.1382717791666245</c:v>
                </c:pt>
                <c:pt idx="26">
                  <c:v>0.14197298563534719</c:v>
                </c:pt>
                <c:pt idx="27">
                  <c:v>0.14017396361892712</c:v>
                </c:pt>
                <c:pt idx="28">
                  <c:v>0.13410593234373125</c:v>
                </c:pt>
                <c:pt idx="29">
                  <c:v>0.13694175702390443</c:v>
                </c:pt>
                <c:pt idx="30">
                  <c:v>0.13636294083037628</c:v>
                </c:pt>
                <c:pt idx="31">
                  <c:v>0.13258999931588181</c:v>
                </c:pt>
                <c:pt idx="32">
                  <c:v>0.12313812742922732</c:v>
                </c:pt>
                <c:pt idx="33">
                  <c:v>0.12216657565448394</c:v>
                </c:pt>
                <c:pt idx="34">
                  <c:v>0.1221432927301538</c:v>
                </c:pt>
                <c:pt idx="35">
                  <c:v>0.12255699785819009</c:v>
                </c:pt>
                <c:pt idx="36">
                  <c:v>0.12513845967388657</c:v>
                </c:pt>
                <c:pt idx="37">
                  <c:v>0.121</c:v>
                </c:pt>
                <c:pt idx="38">
                  <c:v>0.12114434954451279</c:v>
                </c:pt>
                <c:pt idx="39">
                  <c:v>0.11876385547076664</c:v>
                </c:pt>
                <c:pt idx="40">
                  <c:v>0.11757315363673954</c:v>
                </c:pt>
                <c:pt idx="41">
                  <c:v>0.11772534213083853</c:v>
                </c:pt>
                <c:pt idx="42">
                  <c:v>0.11972582010909344</c:v>
                </c:pt>
                <c:pt idx="43">
                  <c:v>0.11770422043677618</c:v>
                </c:pt>
                <c:pt idx="44">
                  <c:v>0.11914058238961799</c:v>
                </c:pt>
                <c:pt idx="45">
                  <c:v>0.11562495637590772</c:v>
                </c:pt>
                <c:pt idx="46">
                  <c:v>0.10620336681035078</c:v>
                </c:pt>
                <c:pt idx="47">
                  <c:v>0.10364029340701411</c:v>
                </c:pt>
                <c:pt idx="48">
                  <c:v>0.11054100528944329</c:v>
                </c:pt>
                <c:pt idx="49">
                  <c:v>0.10719268299263636</c:v>
                </c:pt>
                <c:pt idx="50">
                  <c:v>0.109018823265864</c:v>
                </c:pt>
                <c:pt idx="51">
                  <c:v>0.1040099333587234</c:v>
                </c:pt>
                <c:pt idx="52">
                  <c:v>0.10497237430011078</c:v>
                </c:pt>
                <c:pt idx="53">
                  <c:v>0.10265623850501136</c:v>
                </c:pt>
                <c:pt idx="54">
                  <c:v>0.10264333472957571</c:v>
                </c:pt>
                <c:pt idx="55">
                  <c:v>0.10210171797703262</c:v>
                </c:pt>
                <c:pt idx="56">
                  <c:v>9.7083526338228074E-2</c:v>
                </c:pt>
                <c:pt idx="57">
                  <c:v>9.6705533146238545E-2</c:v>
                </c:pt>
                <c:pt idx="58">
                  <c:v>9.6045266739369903E-2</c:v>
                </c:pt>
                <c:pt idx="59">
                  <c:v>9.4452000574924047E-2</c:v>
                </c:pt>
                <c:pt idx="60">
                  <c:v>9.5908381724339423E-2</c:v>
                </c:pt>
                <c:pt idx="61">
                  <c:v>9.5787648007356743E-2</c:v>
                </c:pt>
                <c:pt idx="62">
                  <c:v>9.9109131605831749E-2</c:v>
                </c:pt>
                <c:pt idx="63">
                  <c:v>0.10053127944774222</c:v>
                </c:pt>
                <c:pt idx="64">
                  <c:v>0.10036151690669713</c:v>
                </c:pt>
                <c:pt idx="65">
                  <c:v>9.9326397949511008E-2</c:v>
                </c:pt>
                <c:pt idx="66">
                  <c:v>9.9376614828288926E-2</c:v>
                </c:pt>
                <c:pt idx="67">
                  <c:v>9.7345519758008633E-2</c:v>
                </c:pt>
                <c:pt idx="68">
                  <c:v>9.5298632952758117E-2</c:v>
                </c:pt>
              </c:numCache>
            </c:numRef>
          </c:val>
          <c:smooth val="0"/>
          <c:extLst>
            <c:ext xmlns:c16="http://schemas.microsoft.com/office/drawing/2014/chart" uri="{C3380CC4-5D6E-409C-BE32-E72D297353CC}">
              <c16:uniqueId val="{00000001-CA66-4540-A3E4-73271E13068B}"/>
            </c:ext>
          </c:extLst>
        </c:ser>
        <c:dLbls>
          <c:showLegendKey val="0"/>
          <c:showVal val="0"/>
          <c:showCatName val="0"/>
          <c:showSerName val="0"/>
          <c:showPercent val="0"/>
          <c:showBubbleSize val="0"/>
        </c:dLbls>
        <c:smooth val="0"/>
        <c:axId val="1804778016"/>
        <c:axId val="1804791072"/>
      </c:lineChart>
      <c:catAx>
        <c:axId val="180477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91072"/>
        <c:crosses val="autoZero"/>
        <c:auto val="1"/>
        <c:lblAlgn val="ctr"/>
        <c:lblOffset val="100"/>
        <c:noMultiLvlLbl val="0"/>
      </c:catAx>
      <c:valAx>
        <c:axId val="1804791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78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Subunfit5!$A$3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Subunfit5!$B$3:$H$3</c:f>
              <c:numCache>
                <c:formatCode>0.0%</c:formatCode>
                <c:ptCount val="7"/>
                <c:pt idx="0">
                  <c:v>2.6830305503572596E-2</c:v>
                </c:pt>
                <c:pt idx="1">
                  <c:v>2.6249759726830191E-2</c:v>
                </c:pt>
                <c:pt idx="2">
                  <c:v>2.1906879273698304E-2</c:v>
                </c:pt>
                <c:pt idx="3">
                  <c:v>1.8160212943051927E-2</c:v>
                </c:pt>
                <c:pt idx="4">
                  <c:v>1.6351703010723227E-2</c:v>
                </c:pt>
                <c:pt idx="5">
                  <c:v>2.5213727786855083E-2</c:v>
                </c:pt>
                <c:pt idx="6">
                  <c:v>2.2110571026226294E-2</c:v>
                </c:pt>
              </c:numCache>
            </c:numRef>
          </c:val>
          <c:smooth val="0"/>
          <c:extLst>
            <c:ext xmlns:c16="http://schemas.microsoft.com/office/drawing/2014/chart" uri="{C3380CC4-5D6E-409C-BE32-E72D297353CC}">
              <c16:uniqueId val="{00000000-F612-49D6-81DA-32C91DA028F4}"/>
            </c:ext>
          </c:extLst>
        </c:ser>
        <c:ser>
          <c:idx val="1"/>
          <c:order val="1"/>
          <c:tx>
            <c:strRef>
              <c:f>Subunfit5!$A$4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Subunfit5!$B$4:$H$4</c:f>
              <c:numCache>
                <c:formatCode>0.0%</c:formatCode>
                <c:ptCount val="7"/>
                <c:pt idx="0">
                  <c:v>2.4193208628244017E-2</c:v>
                </c:pt>
                <c:pt idx="1">
                  <c:v>4.3908289068135618E-2</c:v>
                </c:pt>
                <c:pt idx="2">
                  <c:v>4.0438596491228065E-2</c:v>
                </c:pt>
                <c:pt idx="3">
                  <c:v>8.4757834757834757E-3</c:v>
                </c:pt>
                <c:pt idx="4">
                  <c:v>0</c:v>
                </c:pt>
                <c:pt idx="5">
                  <c:v>4.3793194202300184E-2</c:v>
                </c:pt>
                <c:pt idx="6">
                  <c:v>2.7528614204586386E-2</c:v>
                </c:pt>
              </c:numCache>
            </c:numRef>
          </c:val>
          <c:smooth val="0"/>
          <c:extLst>
            <c:ext xmlns:c16="http://schemas.microsoft.com/office/drawing/2014/chart" uri="{C3380CC4-5D6E-409C-BE32-E72D297353CC}">
              <c16:uniqueId val="{00000001-F612-49D6-81DA-32C91DA028F4}"/>
            </c:ext>
          </c:extLst>
        </c:ser>
        <c:ser>
          <c:idx val="2"/>
          <c:order val="2"/>
          <c:tx>
            <c:strRef>
              <c:f>Subunfit5!$A$5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Subunfit5!$B$5:$H$5</c:f>
              <c:numCache>
                <c:formatCode>0.0%</c:formatCode>
                <c:ptCount val="7"/>
                <c:pt idx="0">
                  <c:v>3.4612119476653956E-2</c:v>
                </c:pt>
                <c:pt idx="1">
                  <c:v>3.0442323681817055E-2</c:v>
                </c:pt>
                <c:pt idx="2">
                  <c:v>2.2840384107130001E-2</c:v>
                </c:pt>
                <c:pt idx="3">
                  <c:v>3.0806410393993212E-2</c:v>
                </c:pt>
                <c:pt idx="4">
                  <c:v>1.8416913998620811E-2</c:v>
                </c:pt>
                <c:pt idx="5">
                  <c:v>3.4420554556971517E-2</c:v>
                </c:pt>
                <c:pt idx="6">
                  <c:v>2.4869299889359958E-2</c:v>
                </c:pt>
              </c:numCache>
            </c:numRef>
          </c:val>
          <c:smooth val="0"/>
          <c:extLst>
            <c:ext xmlns:c16="http://schemas.microsoft.com/office/drawing/2014/chart" uri="{C3380CC4-5D6E-409C-BE32-E72D297353CC}">
              <c16:uniqueId val="{00000002-F612-49D6-81DA-32C91DA028F4}"/>
            </c:ext>
          </c:extLst>
        </c:ser>
        <c:ser>
          <c:idx val="3"/>
          <c:order val="3"/>
          <c:tx>
            <c:strRef>
              <c:f>Subunfit5!$A$6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Subunfit5!$B$6:$H$6</c:f>
              <c:numCache>
                <c:formatCode>0.0%</c:formatCode>
                <c:ptCount val="7"/>
                <c:pt idx="0">
                  <c:v>1.5371527672220331E-2</c:v>
                </c:pt>
                <c:pt idx="1">
                  <c:v>1.680334865858827E-2</c:v>
                </c:pt>
                <c:pt idx="2">
                  <c:v>3.1895096517738031E-2</c:v>
                </c:pt>
                <c:pt idx="3">
                  <c:v>3.2937374667952504E-2</c:v>
                </c:pt>
                <c:pt idx="4">
                  <c:v>1.5032170841985071E-2</c:v>
                </c:pt>
                <c:pt idx="5">
                  <c:v>5.67496682608334E-2</c:v>
                </c:pt>
                <c:pt idx="6">
                  <c:v>4.9038145960138439E-2</c:v>
                </c:pt>
              </c:numCache>
            </c:numRef>
          </c:val>
          <c:smooth val="0"/>
          <c:extLst>
            <c:ext xmlns:c16="http://schemas.microsoft.com/office/drawing/2014/chart" uri="{C3380CC4-5D6E-409C-BE32-E72D297353CC}">
              <c16:uniqueId val="{00000003-F612-49D6-81DA-32C91DA028F4}"/>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9.0000000000000024E-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Subunfit5!$K$3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Subunfit5!$L$3:$R$3</c:f>
              <c:numCache>
                <c:formatCode>0.0%</c:formatCode>
                <c:ptCount val="7"/>
                <c:pt idx="0">
                  <c:v>5.7971510661746897E-2</c:v>
                </c:pt>
                <c:pt idx="1">
                  <c:v>5.3653778105018826E-2</c:v>
                </c:pt>
                <c:pt idx="2">
                  <c:v>5.0701150297466968E-2</c:v>
                </c:pt>
                <c:pt idx="3">
                  <c:v>4.060766040248253E-2</c:v>
                </c:pt>
                <c:pt idx="4">
                  <c:v>3.5893845045543805E-2</c:v>
                </c:pt>
                <c:pt idx="5">
                  <c:v>5.7606023284697327E-2</c:v>
                </c:pt>
                <c:pt idx="6">
                  <c:v>5.0518168240415717E-2</c:v>
                </c:pt>
              </c:numCache>
            </c:numRef>
          </c:val>
          <c:smooth val="0"/>
          <c:extLst>
            <c:ext xmlns:c16="http://schemas.microsoft.com/office/drawing/2014/chart" uri="{C3380CC4-5D6E-409C-BE32-E72D297353CC}">
              <c16:uniqueId val="{00000000-0E25-4A79-B5E0-8919945BFAC7}"/>
            </c:ext>
          </c:extLst>
        </c:ser>
        <c:ser>
          <c:idx val="1"/>
          <c:order val="1"/>
          <c:tx>
            <c:strRef>
              <c:f>Subunfit5!$K$4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Subunfit5!$L$4:$R$4</c:f>
              <c:numCache>
                <c:formatCode>0.0%</c:formatCode>
                <c:ptCount val="7"/>
                <c:pt idx="0">
                  <c:v>5.8009051885031727E-2</c:v>
                </c:pt>
                <c:pt idx="1">
                  <c:v>2.8046421663442941E-2</c:v>
                </c:pt>
                <c:pt idx="2">
                  <c:v>6.5126050420168058E-2</c:v>
                </c:pt>
                <c:pt idx="3">
                  <c:v>1.806337294142172E-2</c:v>
                </c:pt>
                <c:pt idx="4">
                  <c:v>6.0975609756097563E-3</c:v>
                </c:pt>
                <c:pt idx="5">
                  <c:v>3.8326712267681057E-2</c:v>
                </c:pt>
                <c:pt idx="6">
                  <c:v>3.4189468972077669E-2</c:v>
                </c:pt>
              </c:numCache>
            </c:numRef>
          </c:val>
          <c:smooth val="0"/>
          <c:extLst>
            <c:ext xmlns:c16="http://schemas.microsoft.com/office/drawing/2014/chart" uri="{C3380CC4-5D6E-409C-BE32-E72D297353CC}">
              <c16:uniqueId val="{00000001-0E25-4A79-B5E0-8919945BFAC7}"/>
            </c:ext>
          </c:extLst>
        </c:ser>
        <c:ser>
          <c:idx val="2"/>
          <c:order val="2"/>
          <c:tx>
            <c:strRef>
              <c:f>Subunfit5!$K$5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Subunfit5!$L$5:$R$5</c:f>
              <c:numCache>
                <c:formatCode>0.0%</c:formatCode>
                <c:ptCount val="7"/>
                <c:pt idx="0" formatCode="0.00%">
                  <c:v>2.1321037634451763E-2</c:v>
                </c:pt>
                <c:pt idx="1">
                  <c:v>3.1537839127787681E-2</c:v>
                </c:pt>
                <c:pt idx="2">
                  <c:v>3.1571365731080575E-2</c:v>
                </c:pt>
                <c:pt idx="3">
                  <c:v>4.8520500150284855E-2</c:v>
                </c:pt>
                <c:pt idx="4">
                  <c:v>4.5466749569926468E-2</c:v>
                </c:pt>
                <c:pt idx="5" formatCode="0.00%">
                  <c:v>7.4048614361829079E-2</c:v>
                </c:pt>
                <c:pt idx="6">
                  <c:v>6.427597285056498E-2</c:v>
                </c:pt>
              </c:numCache>
            </c:numRef>
          </c:val>
          <c:smooth val="0"/>
          <c:extLst>
            <c:ext xmlns:c16="http://schemas.microsoft.com/office/drawing/2014/chart" uri="{C3380CC4-5D6E-409C-BE32-E72D297353CC}">
              <c16:uniqueId val="{00000002-0E25-4A79-B5E0-8919945BFAC7}"/>
            </c:ext>
          </c:extLst>
        </c:ser>
        <c:ser>
          <c:idx val="3"/>
          <c:order val="3"/>
          <c:tx>
            <c:strRef>
              <c:f>Subunfit5!$K$6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Subunfit5!$L$6:$R$6</c:f>
              <c:numCache>
                <c:formatCode>0.0%</c:formatCode>
                <c:ptCount val="7"/>
                <c:pt idx="0">
                  <c:v>6.0958178102653471E-2</c:v>
                </c:pt>
                <c:pt idx="1">
                  <c:v>5.6236130022427666E-2</c:v>
                </c:pt>
                <c:pt idx="2">
                  <c:v>7.9769378742311048E-2</c:v>
                </c:pt>
                <c:pt idx="3">
                  <c:v>7.6993218171531735E-2</c:v>
                </c:pt>
                <c:pt idx="4">
                  <c:v>5.252694793156417E-2</c:v>
                </c:pt>
                <c:pt idx="5">
                  <c:v>8.4727730412692284E-2</c:v>
                </c:pt>
                <c:pt idx="6">
                  <c:v>7.532473305572944E-2</c:v>
                </c:pt>
              </c:numCache>
            </c:numRef>
          </c:val>
          <c:smooth val="0"/>
          <c:extLst>
            <c:ext xmlns:c16="http://schemas.microsoft.com/office/drawing/2014/chart" uri="{C3380CC4-5D6E-409C-BE32-E72D297353CC}">
              <c16:uniqueId val="{00000003-0E25-4A79-B5E0-8919945BFAC7}"/>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Subunfit45!$A$3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Subunfit45!$B$3:$H$3</c:f>
              <c:numCache>
                <c:formatCode>0.0%</c:formatCode>
                <c:ptCount val="7"/>
                <c:pt idx="0">
                  <c:v>0.49894643357133617</c:v>
                </c:pt>
                <c:pt idx="1">
                  <c:v>0.45626935321970202</c:v>
                </c:pt>
                <c:pt idx="2">
                  <c:v>0.4476584516694026</c:v>
                </c:pt>
                <c:pt idx="3">
                  <c:v>0.44858743070760687</c:v>
                </c:pt>
                <c:pt idx="4">
                  <c:v>0.41021747774876305</c:v>
                </c:pt>
                <c:pt idx="5">
                  <c:v>0.45141754389998501</c:v>
                </c:pt>
                <c:pt idx="6">
                  <c:v>0.43550335250381084</c:v>
                </c:pt>
              </c:numCache>
            </c:numRef>
          </c:val>
          <c:smooth val="0"/>
          <c:extLst>
            <c:ext xmlns:c16="http://schemas.microsoft.com/office/drawing/2014/chart" uri="{C3380CC4-5D6E-409C-BE32-E72D297353CC}">
              <c16:uniqueId val="{00000000-ECF6-4D11-BCEA-753683D094E0}"/>
            </c:ext>
          </c:extLst>
        </c:ser>
        <c:ser>
          <c:idx val="1"/>
          <c:order val="1"/>
          <c:tx>
            <c:strRef>
              <c:f>Subunfit45!$A$4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Subunfit45!$B$4:$H$4</c:f>
              <c:numCache>
                <c:formatCode>0.0%</c:formatCode>
                <c:ptCount val="7"/>
                <c:pt idx="0">
                  <c:v>0.50220140726005824</c:v>
                </c:pt>
                <c:pt idx="1">
                  <c:v>0.44380619936485349</c:v>
                </c:pt>
                <c:pt idx="2">
                  <c:v>0.52479341796763312</c:v>
                </c:pt>
                <c:pt idx="3">
                  <c:v>0.52292565556135517</c:v>
                </c:pt>
                <c:pt idx="4">
                  <c:v>0.48213423437632702</c:v>
                </c:pt>
                <c:pt idx="5">
                  <c:v>0.49231412325674617</c:v>
                </c:pt>
                <c:pt idx="6">
                  <c:v>0.49096018776213712</c:v>
                </c:pt>
              </c:numCache>
            </c:numRef>
          </c:val>
          <c:smooth val="0"/>
          <c:extLst>
            <c:ext xmlns:c16="http://schemas.microsoft.com/office/drawing/2014/chart" uri="{C3380CC4-5D6E-409C-BE32-E72D297353CC}">
              <c16:uniqueId val="{00000001-ECF6-4D11-BCEA-753683D094E0}"/>
            </c:ext>
          </c:extLst>
        </c:ser>
        <c:ser>
          <c:idx val="2"/>
          <c:order val="2"/>
          <c:tx>
            <c:strRef>
              <c:f>Subunfit45!$A$5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Subunfit45!$B$2:$H$2</c:f>
              <c:numCache>
                <c:formatCode>General</c:formatCode>
                <c:ptCount val="7"/>
                <c:pt idx="0">
                  <c:v>2012</c:v>
                </c:pt>
                <c:pt idx="1">
                  <c:v>2013</c:v>
                </c:pt>
                <c:pt idx="2">
                  <c:v>2014</c:v>
                </c:pt>
                <c:pt idx="3">
                  <c:v>2015</c:v>
                </c:pt>
                <c:pt idx="4">
                  <c:v>2016</c:v>
                </c:pt>
                <c:pt idx="5">
                  <c:v>2017</c:v>
                </c:pt>
                <c:pt idx="6">
                  <c:v>2018</c:v>
                </c:pt>
              </c:numCache>
            </c:numRef>
          </c:cat>
          <c:val>
            <c:numRef>
              <c:f>Subunfit45!$B$5:$H$5</c:f>
              <c:numCache>
                <c:formatCode>0.0%</c:formatCode>
                <c:ptCount val="7"/>
                <c:pt idx="0">
                  <c:v>0.68898523923763821</c:v>
                </c:pt>
                <c:pt idx="1">
                  <c:v>0.57217063348960218</c:v>
                </c:pt>
                <c:pt idx="2">
                  <c:v>0.48621716588096775</c:v>
                </c:pt>
                <c:pt idx="3">
                  <c:v>0.60323902288188003</c:v>
                </c:pt>
                <c:pt idx="4">
                  <c:v>0.55654287233234601</c:v>
                </c:pt>
                <c:pt idx="5">
                  <c:v>0.48884559292680707</c:v>
                </c:pt>
                <c:pt idx="6">
                  <c:v>0.53990032314754233</c:v>
                </c:pt>
              </c:numCache>
            </c:numRef>
          </c:val>
          <c:smooth val="0"/>
          <c:extLst>
            <c:ext xmlns:c16="http://schemas.microsoft.com/office/drawing/2014/chart" uri="{C3380CC4-5D6E-409C-BE32-E72D297353CC}">
              <c16:uniqueId val="{00000002-ECF6-4D11-BCEA-753683D094E0}"/>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Subunfit45!$K$3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Subunfit45!$L$3:$R$3</c:f>
              <c:numCache>
                <c:formatCode>0.0%</c:formatCode>
                <c:ptCount val="7"/>
                <c:pt idx="0">
                  <c:v>0.61835369915685323</c:v>
                </c:pt>
                <c:pt idx="1">
                  <c:v>0.62108883218853927</c:v>
                </c:pt>
                <c:pt idx="2">
                  <c:v>0.59059015394590308</c:v>
                </c:pt>
                <c:pt idx="3">
                  <c:v>0.54776575669488436</c:v>
                </c:pt>
                <c:pt idx="4">
                  <c:v>0.55325603920235922</c:v>
                </c:pt>
                <c:pt idx="5">
                  <c:v>0.58391242158365986</c:v>
                </c:pt>
                <c:pt idx="6">
                  <c:v>0.55380427883879668</c:v>
                </c:pt>
              </c:numCache>
            </c:numRef>
          </c:val>
          <c:smooth val="0"/>
          <c:extLst>
            <c:ext xmlns:c16="http://schemas.microsoft.com/office/drawing/2014/chart" uri="{C3380CC4-5D6E-409C-BE32-E72D297353CC}">
              <c16:uniqueId val="{00000000-89F5-4C11-9BEC-8FD45A3F2BBF}"/>
            </c:ext>
          </c:extLst>
        </c:ser>
        <c:ser>
          <c:idx val="1"/>
          <c:order val="1"/>
          <c:tx>
            <c:strRef>
              <c:f>Subunfit45!$K$4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Subunfit45!$L$4:$R$4</c:f>
              <c:numCache>
                <c:formatCode>0.0%</c:formatCode>
                <c:ptCount val="7"/>
                <c:pt idx="0">
                  <c:v>0.39864763212977494</c:v>
                </c:pt>
                <c:pt idx="1">
                  <c:v>0.45200534759358291</c:v>
                </c:pt>
                <c:pt idx="2">
                  <c:v>0.34444946422653566</c:v>
                </c:pt>
                <c:pt idx="3">
                  <c:v>0.27304353371905732</c:v>
                </c:pt>
                <c:pt idx="4">
                  <c:v>0.34953963188241965</c:v>
                </c:pt>
                <c:pt idx="5">
                  <c:v>0.37672182207546989</c:v>
                </c:pt>
                <c:pt idx="6">
                  <c:v>0.29491162824709066</c:v>
                </c:pt>
              </c:numCache>
            </c:numRef>
          </c:val>
          <c:smooth val="0"/>
          <c:extLst>
            <c:ext xmlns:c16="http://schemas.microsoft.com/office/drawing/2014/chart" uri="{C3380CC4-5D6E-409C-BE32-E72D297353CC}">
              <c16:uniqueId val="{00000001-89F5-4C11-9BEC-8FD45A3F2BBF}"/>
            </c:ext>
          </c:extLst>
        </c:ser>
        <c:ser>
          <c:idx val="2"/>
          <c:order val="2"/>
          <c:tx>
            <c:strRef>
              <c:f>Subunfit45!$K$5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Subunfit45!$L$2:$R$2</c:f>
              <c:numCache>
                <c:formatCode>General</c:formatCode>
                <c:ptCount val="7"/>
                <c:pt idx="0">
                  <c:v>2012</c:v>
                </c:pt>
                <c:pt idx="1">
                  <c:v>2013</c:v>
                </c:pt>
                <c:pt idx="2">
                  <c:v>2014</c:v>
                </c:pt>
                <c:pt idx="3">
                  <c:v>2015</c:v>
                </c:pt>
                <c:pt idx="4">
                  <c:v>2016</c:v>
                </c:pt>
                <c:pt idx="5">
                  <c:v>2017</c:v>
                </c:pt>
                <c:pt idx="6">
                  <c:v>2018</c:v>
                </c:pt>
              </c:numCache>
            </c:numRef>
          </c:cat>
          <c:val>
            <c:numRef>
              <c:f>Subunfit45!$L$5:$R$5</c:f>
              <c:numCache>
                <c:formatCode>0.0%</c:formatCode>
                <c:ptCount val="7"/>
                <c:pt idx="0">
                  <c:v>0.58311274509803923</c:v>
                </c:pt>
                <c:pt idx="1">
                  <c:v>0.67544307196562836</c:v>
                </c:pt>
                <c:pt idx="2">
                  <c:v>0.63602150537634405</c:v>
                </c:pt>
                <c:pt idx="3">
                  <c:v>0.68229166666666663</c:v>
                </c:pt>
                <c:pt idx="4">
                  <c:v>0.59525518341307815</c:v>
                </c:pt>
                <c:pt idx="5">
                  <c:v>0.59600460953374923</c:v>
                </c:pt>
                <c:pt idx="6">
                  <c:v>0.62325452325452324</c:v>
                </c:pt>
              </c:numCache>
            </c:numRef>
          </c:val>
          <c:smooth val="0"/>
          <c:extLst>
            <c:ext xmlns:c16="http://schemas.microsoft.com/office/drawing/2014/chart" uri="{C3380CC4-5D6E-409C-BE32-E72D297353CC}">
              <c16:uniqueId val="{00000002-89F5-4C11-9BEC-8FD45A3F2BBF}"/>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Subunfit5!$A$3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Subunfit5!$B$3:$H$3</c:f>
              <c:numCache>
                <c:formatCode>0.0%</c:formatCode>
                <c:ptCount val="7"/>
                <c:pt idx="0">
                  <c:v>2.4841275493932915E-2</c:v>
                </c:pt>
                <c:pt idx="1">
                  <c:v>2.6561286213215018E-2</c:v>
                </c:pt>
                <c:pt idx="2">
                  <c:v>2.0479030986997295E-2</c:v>
                </c:pt>
                <c:pt idx="3">
                  <c:v>1.5312753599440003E-2</c:v>
                </c:pt>
                <c:pt idx="4">
                  <c:v>1.0444124838243076E-2</c:v>
                </c:pt>
                <c:pt idx="5">
                  <c:v>2.7108598655459556E-2</c:v>
                </c:pt>
                <c:pt idx="6">
                  <c:v>2.1843981044496454E-2</c:v>
                </c:pt>
              </c:numCache>
            </c:numRef>
          </c:val>
          <c:smooth val="0"/>
          <c:extLst>
            <c:ext xmlns:c16="http://schemas.microsoft.com/office/drawing/2014/chart" uri="{C3380CC4-5D6E-409C-BE32-E72D297353CC}">
              <c16:uniqueId val="{00000000-2AD4-4368-A7E0-CADD1751142F}"/>
            </c:ext>
          </c:extLst>
        </c:ser>
        <c:ser>
          <c:idx val="1"/>
          <c:order val="1"/>
          <c:tx>
            <c:strRef>
              <c:f>Subunfit5!$A$4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Subunfit5!$B$4:$H$4</c:f>
              <c:numCache>
                <c:formatCode>0.0%</c:formatCode>
                <c:ptCount val="7"/>
                <c:pt idx="0">
                  <c:v>3.6016052007620925E-2</c:v>
                </c:pt>
                <c:pt idx="1">
                  <c:v>2.0457726224857434E-2</c:v>
                </c:pt>
                <c:pt idx="2">
                  <c:v>3.3651018307477389E-2</c:v>
                </c:pt>
                <c:pt idx="3">
                  <c:v>3.6618453645925565E-2</c:v>
                </c:pt>
                <c:pt idx="4">
                  <c:v>5.981279497227715E-2</c:v>
                </c:pt>
                <c:pt idx="5">
                  <c:v>8.4680992467877723E-3</c:v>
                </c:pt>
                <c:pt idx="6">
                  <c:v>2.1934047207249771E-2</c:v>
                </c:pt>
              </c:numCache>
            </c:numRef>
          </c:val>
          <c:smooth val="0"/>
          <c:extLst>
            <c:ext xmlns:c16="http://schemas.microsoft.com/office/drawing/2014/chart" uri="{C3380CC4-5D6E-409C-BE32-E72D297353CC}">
              <c16:uniqueId val="{00000001-2AD4-4368-A7E0-CADD1751142F}"/>
            </c:ext>
          </c:extLst>
        </c:ser>
        <c:ser>
          <c:idx val="2"/>
          <c:order val="2"/>
          <c:tx>
            <c:strRef>
              <c:f>Subunfit5!$A$5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Subunfit5!$B$2:$H$2</c:f>
              <c:numCache>
                <c:formatCode>General</c:formatCode>
                <c:ptCount val="7"/>
                <c:pt idx="0">
                  <c:v>2012</c:v>
                </c:pt>
                <c:pt idx="1">
                  <c:v>2013</c:v>
                </c:pt>
                <c:pt idx="2">
                  <c:v>2014</c:v>
                </c:pt>
                <c:pt idx="3">
                  <c:v>2015</c:v>
                </c:pt>
                <c:pt idx="4">
                  <c:v>2016</c:v>
                </c:pt>
                <c:pt idx="5">
                  <c:v>2017</c:v>
                </c:pt>
                <c:pt idx="6">
                  <c:v>2018</c:v>
                </c:pt>
              </c:numCache>
            </c:numRef>
          </c:cat>
          <c:val>
            <c:numRef>
              <c:f>Subunfit5!$B$5:$H$5</c:f>
              <c:numCache>
                <c:formatCode>0.0%</c:formatCode>
                <c:ptCount val="7"/>
                <c:pt idx="0">
                  <c:v>4.4002954373806039E-2</c:v>
                </c:pt>
                <c:pt idx="1">
                  <c:v>3.1502058540689992E-2</c:v>
                </c:pt>
                <c:pt idx="2">
                  <c:v>1.7580287929125138E-2</c:v>
                </c:pt>
                <c:pt idx="3">
                  <c:v>2.7123273551844983E-2</c:v>
                </c:pt>
                <c:pt idx="4">
                  <c:v>1.3523391812865496E-2</c:v>
                </c:pt>
                <c:pt idx="5">
                  <c:v>1.7969799167502201E-2</c:v>
                </c:pt>
                <c:pt idx="6">
                  <c:v>2.7063418645287288E-2</c:v>
                </c:pt>
              </c:numCache>
            </c:numRef>
          </c:val>
          <c:smooth val="0"/>
          <c:extLst>
            <c:ext xmlns:c16="http://schemas.microsoft.com/office/drawing/2014/chart" uri="{C3380CC4-5D6E-409C-BE32-E72D297353CC}">
              <c16:uniqueId val="{00000002-2AD4-4368-A7E0-CADD1751142F}"/>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7.0000000000000007E-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Subunfit5!$K$3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Subunfit5!$L$3:$R$3</c:f>
              <c:numCache>
                <c:formatCode>0.0%</c:formatCode>
                <c:ptCount val="7"/>
                <c:pt idx="0" formatCode="0.00%">
                  <c:v>6.4891233197029968E-2</c:v>
                </c:pt>
                <c:pt idx="1">
                  <c:v>5.852245088238299E-2</c:v>
                </c:pt>
                <c:pt idx="2">
                  <c:v>5.6355159213987475E-2</c:v>
                </c:pt>
                <c:pt idx="3">
                  <c:v>4.4921606350749925E-2</c:v>
                </c:pt>
                <c:pt idx="4">
                  <c:v>3.9438013402503441E-2</c:v>
                </c:pt>
                <c:pt idx="5" formatCode="0.00%">
                  <c:v>6.416540257560216E-2</c:v>
                </c:pt>
                <c:pt idx="6">
                  <c:v>5.8769657886682342E-2</c:v>
                </c:pt>
              </c:numCache>
            </c:numRef>
          </c:val>
          <c:smooth val="0"/>
          <c:extLst>
            <c:ext xmlns:c16="http://schemas.microsoft.com/office/drawing/2014/chart" uri="{C3380CC4-5D6E-409C-BE32-E72D297353CC}">
              <c16:uniqueId val="{00000000-7957-4EA6-842C-8D49513DE768}"/>
            </c:ext>
          </c:extLst>
        </c:ser>
        <c:ser>
          <c:idx val="1"/>
          <c:order val="1"/>
          <c:tx>
            <c:strRef>
              <c:f>Subunfit5!$K$4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Subunfit5!$L$4:$R$4</c:f>
              <c:numCache>
                <c:formatCode>0.0%</c:formatCode>
                <c:ptCount val="7"/>
                <c:pt idx="0">
                  <c:v>4.1913469887912704E-2</c:v>
                </c:pt>
                <c:pt idx="1">
                  <c:v>9.399776265421312E-3</c:v>
                </c:pt>
                <c:pt idx="2">
                  <c:v>2.2826764206151044E-2</c:v>
                </c:pt>
                <c:pt idx="3">
                  <c:v>1.4215968890764669E-2</c:v>
                </c:pt>
                <c:pt idx="4">
                  <c:v>1.653508503726149E-2</c:v>
                </c:pt>
                <c:pt idx="5">
                  <c:v>1.8309450114041049E-2</c:v>
                </c:pt>
                <c:pt idx="6">
                  <c:v>1.2313315634725958E-2</c:v>
                </c:pt>
              </c:numCache>
            </c:numRef>
          </c:val>
          <c:smooth val="0"/>
          <c:extLst>
            <c:ext xmlns:c16="http://schemas.microsoft.com/office/drawing/2014/chart" uri="{C3380CC4-5D6E-409C-BE32-E72D297353CC}">
              <c16:uniqueId val="{00000001-7957-4EA6-842C-8D49513DE768}"/>
            </c:ext>
          </c:extLst>
        </c:ser>
        <c:ser>
          <c:idx val="2"/>
          <c:order val="2"/>
          <c:tx>
            <c:strRef>
              <c:f>Subunfit5!$K$5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Subunfit5!$L$2:$R$2</c:f>
              <c:numCache>
                <c:formatCode>General</c:formatCode>
                <c:ptCount val="7"/>
                <c:pt idx="0">
                  <c:v>2012</c:v>
                </c:pt>
                <c:pt idx="1">
                  <c:v>2013</c:v>
                </c:pt>
                <c:pt idx="2">
                  <c:v>2014</c:v>
                </c:pt>
                <c:pt idx="3">
                  <c:v>2015</c:v>
                </c:pt>
                <c:pt idx="4">
                  <c:v>2016</c:v>
                </c:pt>
                <c:pt idx="5">
                  <c:v>2017</c:v>
                </c:pt>
                <c:pt idx="6">
                  <c:v>2018</c:v>
                </c:pt>
              </c:numCache>
            </c:numRef>
          </c:cat>
          <c:val>
            <c:numRef>
              <c:f>Subunfit5!$L$5:$R$5</c:f>
              <c:numCache>
                <c:formatCode>0.0%</c:formatCode>
                <c:ptCount val="7"/>
                <c:pt idx="0" formatCode="0.00%">
                  <c:v>5.2410367546354933E-2</c:v>
                </c:pt>
                <c:pt idx="1">
                  <c:v>3.4574764035570762E-2</c:v>
                </c:pt>
                <c:pt idx="2">
                  <c:v>4.0489870567961682E-2</c:v>
                </c:pt>
                <c:pt idx="3">
                  <c:v>3.27678465761886E-2</c:v>
                </c:pt>
                <c:pt idx="4">
                  <c:v>2.3218857237286797E-2</c:v>
                </c:pt>
                <c:pt idx="5" formatCode="0.00%">
                  <c:v>3.2946296592786001E-2</c:v>
                </c:pt>
                <c:pt idx="6">
                  <c:v>3.9723186313147037E-2</c:v>
                </c:pt>
              </c:numCache>
            </c:numRef>
          </c:val>
          <c:smooth val="0"/>
          <c:extLst>
            <c:ext xmlns:c16="http://schemas.microsoft.com/office/drawing/2014/chart" uri="{C3380CC4-5D6E-409C-BE32-E72D297353CC}">
              <c16:uniqueId val="{00000002-7957-4EA6-842C-8D49513DE768}"/>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OvercrowdingUN!$A$3</c:f>
              <c:strCache>
                <c:ptCount val="1"/>
                <c:pt idx="0">
                  <c:v>Ethnic Georgians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OvercrowdingUN!$B$3:$M$3</c:f>
              <c:numCache>
                <c:formatCode>0.0%</c:formatCode>
                <c:ptCount val="12"/>
                <c:pt idx="0">
                  <c:v>4.0749004174997924E-2</c:v>
                </c:pt>
                <c:pt idx="1">
                  <c:v>3.7828740941580889E-2</c:v>
                </c:pt>
                <c:pt idx="2">
                  <c:v>3.6120476012424234E-2</c:v>
                </c:pt>
                <c:pt idx="3">
                  <c:v>3.7963506691230706E-2</c:v>
                </c:pt>
                <c:pt idx="4">
                  <c:v>3.1241697335044592E-2</c:v>
                </c:pt>
                <c:pt idx="5">
                  <c:v>3.2460430784281742E-2</c:v>
                </c:pt>
                <c:pt idx="6">
                  <c:v>2.7102409780573749E-2</c:v>
                </c:pt>
                <c:pt idx="7">
                  <c:v>2.200093051238889E-2</c:v>
                </c:pt>
                <c:pt idx="8">
                  <c:v>1.6402173785033478E-2</c:v>
                </c:pt>
                <c:pt idx="9">
                  <c:v>2.2614318696379768E-2</c:v>
                </c:pt>
                <c:pt idx="10">
                  <c:v>1.3734351296368144E-2</c:v>
                </c:pt>
                <c:pt idx="11">
                  <c:v>1.4752858362131499E-2</c:v>
                </c:pt>
              </c:numCache>
            </c:numRef>
          </c:val>
          <c:smooth val="0"/>
          <c:extLst>
            <c:ext xmlns:c16="http://schemas.microsoft.com/office/drawing/2014/chart" uri="{C3380CC4-5D6E-409C-BE32-E72D297353CC}">
              <c16:uniqueId val="{00000000-2362-4C34-ABC5-053A572FC479}"/>
            </c:ext>
          </c:extLst>
        </c:ser>
        <c:ser>
          <c:idx val="1"/>
          <c:order val="1"/>
          <c:tx>
            <c:strRef>
              <c:f>OvercrowdingUN!$A$4</c:f>
              <c:strCache>
                <c:ptCount val="1"/>
                <c:pt idx="0">
                  <c:v>Non-ethnic Georgians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OvercrowdingUN!$B$4:$M$4</c:f>
              <c:numCache>
                <c:formatCode>0.0%</c:formatCode>
                <c:ptCount val="12"/>
                <c:pt idx="0">
                  <c:v>4.3976009200265676E-2</c:v>
                </c:pt>
                <c:pt idx="1">
                  <c:v>2.5597971953472208E-2</c:v>
                </c:pt>
                <c:pt idx="2">
                  <c:v>2.2214688599695973E-2</c:v>
                </c:pt>
                <c:pt idx="3">
                  <c:v>2.302375353335883E-2</c:v>
                </c:pt>
                <c:pt idx="4">
                  <c:v>2.0915050583327516E-2</c:v>
                </c:pt>
                <c:pt idx="5">
                  <c:v>3.1838416552492796E-2</c:v>
                </c:pt>
                <c:pt idx="6">
                  <c:v>1.256298938275217E-2</c:v>
                </c:pt>
                <c:pt idx="7">
                  <c:v>1.5978196047676231E-2</c:v>
                </c:pt>
                <c:pt idx="8">
                  <c:v>1.703435177056048E-2</c:v>
                </c:pt>
                <c:pt idx="9">
                  <c:v>2.2712410370891618E-2</c:v>
                </c:pt>
                <c:pt idx="10">
                  <c:v>1.3756936093001666E-2</c:v>
                </c:pt>
                <c:pt idx="11">
                  <c:v>2.4736377688011409E-2</c:v>
                </c:pt>
              </c:numCache>
            </c:numRef>
          </c:val>
          <c:smooth val="0"/>
          <c:extLst>
            <c:ext xmlns:c16="http://schemas.microsoft.com/office/drawing/2014/chart" uri="{C3380CC4-5D6E-409C-BE32-E72D297353CC}">
              <c16:uniqueId val="{00000001-2362-4C34-ABC5-053A572FC479}"/>
            </c:ext>
          </c:extLst>
        </c:ser>
        <c:ser>
          <c:idx val="2"/>
          <c:order val="2"/>
          <c:tx>
            <c:strRef>
              <c:f>OvercrowdingUN!$A$5</c:f>
              <c:strCache>
                <c:ptCount val="1"/>
                <c:pt idx="0">
                  <c:v>Ethnically Mixed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OvercrowdingUN!$B$2:$M$2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OvercrowdingUN!$B$5:$M$5</c:f>
              <c:numCache>
                <c:formatCode>0.0%</c:formatCode>
                <c:ptCount val="12"/>
                <c:pt idx="0">
                  <c:v>4.1846608890403619E-2</c:v>
                </c:pt>
                <c:pt idx="1">
                  <c:v>3.2221483451536644E-2</c:v>
                </c:pt>
                <c:pt idx="2">
                  <c:v>2.9588879439754308E-2</c:v>
                </c:pt>
                <c:pt idx="3">
                  <c:v>5.0499581041860857E-2</c:v>
                </c:pt>
                <c:pt idx="4">
                  <c:v>4.158928926370787E-2</c:v>
                </c:pt>
                <c:pt idx="5">
                  <c:v>5.7755231240837007E-2</c:v>
                </c:pt>
                <c:pt idx="6">
                  <c:v>4.0987874143526871E-2</c:v>
                </c:pt>
                <c:pt idx="7">
                  <c:v>2.8564753413085061E-2</c:v>
                </c:pt>
                <c:pt idx="8">
                  <c:v>2.2291795506081222E-2</c:v>
                </c:pt>
                <c:pt idx="9">
                  <c:v>6.230063795853269E-2</c:v>
                </c:pt>
                <c:pt idx="10">
                  <c:v>3.102694983745025E-2</c:v>
                </c:pt>
                <c:pt idx="11">
                  <c:v>5.4789615657488674E-2</c:v>
                </c:pt>
              </c:numCache>
            </c:numRef>
          </c:val>
          <c:smooth val="0"/>
          <c:extLst>
            <c:ext xmlns:c16="http://schemas.microsoft.com/office/drawing/2014/chart" uri="{C3380CC4-5D6E-409C-BE32-E72D297353CC}">
              <c16:uniqueId val="{00000002-2362-4C34-ABC5-053A572FC479}"/>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7.0000000000000007E-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Unaffordablerent1!$A$3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Unaffordablerent1!$B$3:$M$3</c:f>
              <c:numCache>
                <c:formatCode>0.0%</c:formatCode>
                <c:ptCount val="12"/>
                <c:pt idx="0">
                  <c:v>0.25349216609720809</c:v>
                </c:pt>
                <c:pt idx="1">
                  <c:v>0.18979768925961976</c:v>
                </c:pt>
                <c:pt idx="2">
                  <c:v>0.1902118635741622</c:v>
                </c:pt>
                <c:pt idx="3">
                  <c:v>0.14533685257311929</c:v>
                </c:pt>
                <c:pt idx="4">
                  <c:v>0.15136287380810404</c:v>
                </c:pt>
                <c:pt idx="5">
                  <c:v>0.1292940402464027</c:v>
                </c:pt>
                <c:pt idx="6">
                  <c:v>0.14187339697919638</c:v>
                </c:pt>
                <c:pt idx="7">
                  <c:v>0.17996109753261119</c:v>
                </c:pt>
                <c:pt idx="8">
                  <c:v>0.16010206398137433</c:v>
                </c:pt>
                <c:pt idx="9">
                  <c:v>0.16958164449925078</c:v>
                </c:pt>
                <c:pt idx="10">
                  <c:v>0.24421634118870816</c:v>
                </c:pt>
                <c:pt idx="11">
                  <c:v>0.23214360356372388</c:v>
                </c:pt>
              </c:numCache>
            </c:numRef>
          </c:val>
          <c:smooth val="0"/>
          <c:extLst>
            <c:ext xmlns:c16="http://schemas.microsoft.com/office/drawing/2014/chart" uri="{C3380CC4-5D6E-409C-BE32-E72D297353CC}">
              <c16:uniqueId val="{00000000-52E5-4C27-8FC6-FC15923C4691}"/>
            </c:ext>
          </c:extLst>
        </c:ser>
        <c:ser>
          <c:idx val="1"/>
          <c:order val="1"/>
          <c:tx>
            <c:strRef>
              <c:f>Unaffordablerent1!$A$4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Unaffordablerent1!$B$4:$M$4</c:f>
              <c:numCache>
                <c:formatCode>0.0%</c:formatCode>
                <c:ptCount val="12"/>
                <c:pt idx="0">
                  <c:v>0.16355179076879051</c:v>
                </c:pt>
                <c:pt idx="1">
                  <c:v>0.13531281043000853</c:v>
                </c:pt>
                <c:pt idx="2">
                  <c:v>0.14476752667642306</c:v>
                </c:pt>
                <c:pt idx="3">
                  <c:v>0.10136263108610491</c:v>
                </c:pt>
                <c:pt idx="4">
                  <c:v>9.6628545346756328E-2</c:v>
                </c:pt>
                <c:pt idx="5">
                  <c:v>0.10692236255309524</c:v>
                </c:pt>
                <c:pt idx="6">
                  <c:v>0.11301514894492741</c:v>
                </c:pt>
                <c:pt idx="7">
                  <c:v>0.14232696247788101</c:v>
                </c:pt>
                <c:pt idx="8">
                  <c:v>0.11729381078490753</c:v>
                </c:pt>
                <c:pt idx="9">
                  <c:v>0.1303265356084492</c:v>
                </c:pt>
                <c:pt idx="10">
                  <c:v>0.19101672411958778</c:v>
                </c:pt>
                <c:pt idx="11">
                  <c:v>0.19628041427146631</c:v>
                </c:pt>
              </c:numCache>
            </c:numRef>
          </c:val>
          <c:smooth val="0"/>
          <c:extLst>
            <c:ext xmlns:c16="http://schemas.microsoft.com/office/drawing/2014/chart" uri="{C3380CC4-5D6E-409C-BE32-E72D297353CC}">
              <c16:uniqueId val="{00000001-52E5-4C27-8FC6-FC15923C4691}"/>
            </c:ext>
          </c:extLst>
        </c:ser>
        <c:ser>
          <c:idx val="2"/>
          <c:order val="2"/>
          <c:tx>
            <c:strRef>
              <c:f>Unaffordablerent1!$A$5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Unaffordablerent1!$B$5:$M$5</c:f>
              <c:numCache>
                <c:formatCode>0.0%</c:formatCode>
                <c:ptCount val="12"/>
                <c:pt idx="0">
                  <c:v>0.18418050827405838</c:v>
                </c:pt>
                <c:pt idx="1">
                  <c:v>0.11368756066773586</c:v>
                </c:pt>
                <c:pt idx="2">
                  <c:v>0.10958637130910513</c:v>
                </c:pt>
                <c:pt idx="3">
                  <c:v>9.6663751570220585E-2</c:v>
                </c:pt>
                <c:pt idx="4">
                  <c:v>9.7903514813308071E-2</c:v>
                </c:pt>
                <c:pt idx="5">
                  <c:v>9.0208994708994711E-2</c:v>
                </c:pt>
                <c:pt idx="6">
                  <c:v>0.13226064139680377</c:v>
                </c:pt>
                <c:pt idx="7">
                  <c:v>0.1306925094428632</c:v>
                </c:pt>
                <c:pt idx="8">
                  <c:v>0.13978730348843954</c:v>
                </c:pt>
                <c:pt idx="9">
                  <c:v>0.13800955712591761</c:v>
                </c:pt>
                <c:pt idx="10">
                  <c:v>0.14461287128946265</c:v>
                </c:pt>
                <c:pt idx="11">
                  <c:v>0.1132308117013969</c:v>
                </c:pt>
              </c:numCache>
            </c:numRef>
          </c:val>
          <c:smooth val="0"/>
          <c:extLst>
            <c:ext xmlns:c16="http://schemas.microsoft.com/office/drawing/2014/chart" uri="{C3380CC4-5D6E-409C-BE32-E72D297353CC}">
              <c16:uniqueId val="{00000002-52E5-4C27-8FC6-FC15923C4691}"/>
            </c:ext>
          </c:extLst>
        </c:ser>
        <c:ser>
          <c:idx val="3"/>
          <c:order val="3"/>
          <c:tx>
            <c:strRef>
              <c:f>Unaffordablerent1!$A$6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Unaffordablerent1!$B$6:$M$6</c:f>
              <c:numCache>
                <c:formatCode>0.0%</c:formatCode>
                <c:ptCount val="12"/>
                <c:pt idx="0">
                  <c:v>9.5723372219851097E-2</c:v>
                </c:pt>
                <c:pt idx="1">
                  <c:v>8.2259366859170707E-2</c:v>
                </c:pt>
                <c:pt idx="2">
                  <c:v>5.8557373862203291E-2</c:v>
                </c:pt>
                <c:pt idx="3">
                  <c:v>6.9397976385696586E-2</c:v>
                </c:pt>
                <c:pt idx="4">
                  <c:v>6.5336791624084359E-2</c:v>
                </c:pt>
                <c:pt idx="5">
                  <c:v>5.2150759053765289E-2</c:v>
                </c:pt>
                <c:pt idx="6">
                  <c:v>6.7434029080942148E-2</c:v>
                </c:pt>
                <c:pt idx="7">
                  <c:v>6.0896797271966639E-2</c:v>
                </c:pt>
                <c:pt idx="8">
                  <c:v>6.4957541371112398E-2</c:v>
                </c:pt>
                <c:pt idx="9">
                  <c:v>5.9900746491942346E-2</c:v>
                </c:pt>
                <c:pt idx="10">
                  <c:v>8.1197958701334477E-2</c:v>
                </c:pt>
                <c:pt idx="11">
                  <c:v>6.3946208656279424E-2</c:v>
                </c:pt>
              </c:numCache>
            </c:numRef>
          </c:val>
          <c:smooth val="0"/>
          <c:extLst>
            <c:ext xmlns:c16="http://schemas.microsoft.com/office/drawing/2014/chart" uri="{C3380CC4-5D6E-409C-BE32-E72D297353CC}">
              <c16:uniqueId val="{00000003-52E5-4C27-8FC6-FC15923C4691}"/>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300000000000000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Unaffordablerent1!$P$3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Unaffordablerent1!$Q$3:$AB$3</c:f>
              <c:numCache>
                <c:formatCode>0.00%</c:formatCode>
                <c:ptCount val="12"/>
                <c:pt idx="0">
                  <c:v>9.1898826220804752E-2</c:v>
                </c:pt>
                <c:pt idx="1">
                  <c:v>5.8017703602549986E-2</c:v>
                </c:pt>
                <c:pt idx="2">
                  <c:v>7.4479492483400411E-2</c:v>
                </c:pt>
                <c:pt idx="3">
                  <c:v>7.6544435246027845E-2</c:v>
                </c:pt>
                <c:pt idx="4">
                  <c:v>4.3805312539819258E-2</c:v>
                </c:pt>
                <c:pt idx="5">
                  <c:v>3.0793011752050563E-2</c:v>
                </c:pt>
                <c:pt idx="6">
                  <c:v>3.3576706231881283E-2</c:v>
                </c:pt>
                <c:pt idx="7">
                  <c:v>2.3324299136819621E-2</c:v>
                </c:pt>
                <c:pt idx="8">
                  <c:v>2.4872875877264531E-2</c:v>
                </c:pt>
                <c:pt idx="9">
                  <c:v>2.5413859872809072E-2</c:v>
                </c:pt>
                <c:pt idx="10">
                  <c:v>0.1374479484916378</c:v>
                </c:pt>
                <c:pt idx="11">
                  <c:v>0.10570142189779534</c:v>
                </c:pt>
              </c:numCache>
            </c:numRef>
          </c:val>
          <c:smooth val="0"/>
          <c:extLst>
            <c:ext xmlns:c16="http://schemas.microsoft.com/office/drawing/2014/chart" uri="{C3380CC4-5D6E-409C-BE32-E72D297353CC}">
              <c16:uniqueId val="{00000000-4B1E-449B-9FC7-743C41FC2EA9}"/>
            </c:ext>
          </c:extLst>
        </c:ser>
        <c:ser>
          <c:idx val="1"/>
          <c:order val="1"/>
          <c:tx>
            <c:strRef>
              <c:f>Unaffordablerent1!$P$4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Unaffordablerent1!$Q$4:$AB$4</c:f>
              <c:numCache>
                <c:formatCode>0.0%</c:formatCode>
                <c:ptCount val="12"/>
                <c:pt idx="0">
                  <c:v>3.8661245105851984E-2</c:v>
                </c:pt>
                <c:pt idx="1">
                  <c:v>3.7227524502416259E-2</c:v>
                </c:pt>
                <c:pt idx="2">
                  <c:v>5.6831150071662687E-2</c:v>
                </c:pt>
                <c:pt idx="3">
                  <c:v>3.2469655657795089E-2</c:v>
                </c:pt>
                <c:pt idx="4">
                  <c:v>2.1384492600225898E-2</c:v>
                </c:pt>
                <c:pt idx="5">
                  <c:v>1.7431252300046916E-2</c:v>
                </c:pt>
                <c:pt idx="6">
                  <c:v>1.3529804704470313E-2</c:v>
                </c:pt>
                <c:pt idx="7">
                  <c:v>1.4968602502234689E-2</c:v>
                </c:pt>
                <c:pt idx="8">
                  <c:v>1.3624666266034372E-2</c:v>
                </c:pt>
                <c:pt idx="9">
                  <c:v>1.5648275052058673E-2</c:v>
                </c:pt>
                <c:pt idx="10">
                  <c:v>6.4812673592934397E-2</c:v>
                </c:pt>
                <c:pt idx="11">
                  <c:v>6.1979030692533653E-2</c:v>
                </c:pt>
              </c:numCache>
            </c:numRef>
          </c:val>
          <c:smooth val="0"/>
          <c:extLst>
            <c:ext xmlns:c16="http://schemas.microsoft.com/office/drawing/2014/chart" uri="{C3380CC4-5D6E-409C-BE32-E72D297353CC}">
              <c16:uniqueId val="{00000001-4B1E-449B-9FC7-743C41FC2EA9}"/>
            </c:ext>
          </c:extLst>
        </c:ser>
        <c:ser>
          <c:idx val="2"/>
          <c:order val="2"/>
          <c:tx>
            <c:strRef>
              <c:f>Unaffordablerent1!$P$5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Unaffordablerent1!$Q$5:$AB$5</c:f>
              <c:numCache>
                <c:formatCode>0.0%</c:formatCode>
                <c:ptCount val="12"/>
                <c:pt idx="0">
                  <c:v>3.3245542957914209E-2</c:v>
                </c:pt>
                <c:pt idx="1">
                  <c:v>4.8036606707814671E-2</c:v>
                </c:pt>
                <c:pt idx="2">
                  <c:v>3.6789253925621782E-2</c:v>
                </c:pt>
                <c:pt idx="3">
                  <c:v>3.3701443456489531E-2</c:v>
                </c:pt>
                <c:pt idx="4">
                  <c:v>1.9259044205166737E-2</c:v>
                </c:pt>
                <c:pt idx="5">
                  <c:v>2.4021770636867206E-2</c:v>
                </c:pt>
                <c:pt idx="6">
                  <c:v>1.2268950673711979E-2</c:v>
                </c:pt>
                <c:pt idx="7">
                  <c:v>6.254802141607195E-3</c:v>
                </c:pt>
                <c:pt idx="8">
                  <c:v>1.0725010420832026E-2</c:v>
                </c:pt>
                <c:pt idx="9">
                  <c:v>6.7025742039073313E-3</c:v>
                </c:pt>
                <c:pt idx="10">
                  <c:v>4.7093889198827288E-2</c:v>
                </c:pt>
                <c:pt idx="11">
                  <c:v>3.5896886059907575E-2</c:v>
                </c:pt>
              </c:numCache>
            </c:numRef>
          </c:val>
          <c:smooth val="0"/>
          <c:extLst>
            <c:ext xmlns:c16="http://schemas.microsoft.com/office/drawing/2014/chart" uri="{C3380CC4-5D6E-409C-BE32-E72D297353CC}">
              <c16:uniqueId val="{00000002-4B1E-449B-9FC7-743C41FC2EA9}"/>
            </c:ext>
          </c:extLst>
        </c:ser>
        <c:ser>
          <c:idx val="3"/>
          <c:order val="3"/>
          <c:tx>
            <c:strRef>
              <c:f>Unaffordablerent1!$P$6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Unaffordablerent1!$Q$6:$AB$6</c:f>
              <c:numCache>
                <c:formatCode>0.0%</c:formatCode>
                <c:ptCount val="12"/>
                <c:pt idx="0">
                  <c:v>2.8954398406756704E-2</c:v>
                </c:pt>
                <c:pt idx="1">
                  <c:v>3.3351906945702475E-2</c:v>
                </c:pt>
                <c:pt idx="2">
                  <c:v>3.220913589678296E-2</c:v>
                </c:pt>
                <c:pt idx="3">
                  <c:v>2.1836687696504743E-2</c:v>
                </c:pt>
                <c:pt idx="4">
                  <c:v>2.0149906089089821E-2</c:v>
                </c:pt>
                <c:pt idx="5">
                  <c:v>1.5553611368409955E-2</c:v>
                </c:pt>
                <c:pt idx="6">
                  <c:v>4.7688881927141265E-3</c:v>
                </c:pt>
                <c:pt idx="7">
                  <c:v>2.7432058682058682E-3</c:v>
                </c:pt>
                <c:pt idx="8">
                  <c:v>7.2902443534163964E-3</c:v>
                </c:pt>
                <c:pt idx="9">
                  <c:v>8.3927333194195371E-3</c:v>
                </c:pt>
                <c:pt idx="10">
                  <c:v>2.128269409048502E-2</c:v>
                </c:pt>
                <c:pt idx="11">
                  <c:v>1.7004150304416769E-2</c:v>
                </c:pt>
              </c:numCache>
            </c:numRef>
          </c:val>
          <c:smooth val="0"/>
          <c:extLst>
            <c:ext xmlns:c16="http://schemas.microsoft.com/office/drawing/2014/chart" uri="{C3380CC4-5D6E-409C-BE32-E72D297353CC}">
              <c16:uniqueId val="{00000003-4B1E-449B-9FC7-743C41FC2EA9}"/>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30000000000000004"/>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Unaffordableexp1!$A$3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Unaffordableexp1!$B$3:$M$3</c:f>
              <c:numCache>
                <c:formatCode>0.0%</c:formatCode>
                <c:ptCount val="12"/>
                <c:pt idx="0">
                  <c:v>0.50489599686028253</c:v>
                </c:pt>
                <c:pt idx="1">
                  <c:v>0.45065873099757348</c:v>
                </c:pt>
                <c:pt idx="2">
                  <c:v>0.41464219531809343</c:v>
                </c:pt>
                <c:pt idx="3">
                  <c:v>0.36535570544982715</c:v>
                </c:pt>
                <c:pt idx="4">
                  <c:v>0.37217566104449845</c:v>
                </c:pt>
                <c:pt idx="5">
                  <c:v>0.35404485409560937</c:v>
                </c:pt>
                <c:pt idx="6">
                  <c:v>0.26326118552294103</c:v>
                </c:pt>
                <c:pt idx="7">
                  <c:v>0.28895518774246787</c:v>
                </c:pt>
                <c:pt idx="8">
                  <c:v>0.28938443701374739</c:v>
                </c:pt>
                <c:pt idx="9">
                  <c:v>0.27358627826576271</c:v>
                </c:pt>
                <c:pt idx="10">
                  <c:v>0.40734516063988102</c:v>
                </c:pt>
                <c:pt idx="11">
                  <c:v>0.35048245663087652</c:v>
                </c:pt>
              </c:numCache>
            </c:numRef>
          </c:val>
          <c:smooth val="0"/>
          <c:extLst>
            <c:ext xmlns:c16="http://schemas.microsoft.com/office/drawing/2014/chart" uri="{C3380CC4-5D6E-409C-BE32-E72D297353CC}">
              <c16:uniqueId val="{00000000-0FBE-41B4-B230-B4DBF396E60B}"/>
            </c:ext>
          </c:extLst>
        </c:ser>
        <c:ser>
          <c:idx val="1"/>
          <c:order val="1"/>
          <c:tx>
            <c:strRef>
              <c:f>Unaffordableexp1!$A$4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Unaffordableexp1!$B$4:$M$4</c:f>
              <c:numCache>
                <c:formatCode>0.0%</c:formatCode>
                <c:ptCount val="12"/>
                <c:pt idx="0">
                  <c:v>0.28526867407440315</c:v>
                </c:pt>
                <c:pt idx="1">
                  <c:v>0.2704764580699503</c:v>
                </c:pt>
                <c:pt idx="2">
                  <c:v>0.24164948049978421</c:v>
                </c:pt>
                <c:pt idx="3">
                  <c:v>0.20842877794222561</c:v>
                </c:pt>
                <c:pt idx="4">
                  <c:v>0.20801484201646162</c:v>
                </c:pt>
                <c:pt idx="5">
                  <c:v>0.23184246583410489</c:v>
                </c:pt>
                <c:pt idx="6">
                  <c:v>0.19998558335994249</c:v>
                </c:pt>
                <c:pt idx="7">
                  <c:v>0.1993473641699067</c:v>
                </c:pt>
                <c:pt idx="8">
                  <c:v>0.18730795126610711</c:v>
                </c:pt>
                <c:pt idx="9">
                  <c:v>0.19446777402598736</c:v>
                </c:pt>
                <c:pt idx="10">
                  <c:v>0.31939501809486953</c:v>
                </c:pt>
                <c:pt idx="11">
                  <c:v>0.28887531780404091</c:v>
                </c:pt>
              </c:numCache>
            </c:numRef>
          </c:val>
          <c:smooth val="0"/>
          <c:extLst>
            <c:ext xmlns:c16="http://schemas.microsoft.com/office/drawing/2014/chart" uri="{C3380CC4-5D6E-409C-BE32-E72D297353CC}">
              <c16:uniqueId val="{00000001-0FBE-41B4-B230-B4DBF396E60B}"/>
            </c:ext>
          </c:extLst>
        </c:ser>
        <c:ser>
          <c:idx val="2"/>
          <c:order val="2"/>
          <c:tx>
            <c:strRef>
              <c:f>Unaffordableexp1!$A$5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Unaffordableexp1!$B$5:$M$5</c:f>
              <c:numCache>
                <c:formatCode>0.0%</c:formatCode>
                <c:ptCount val="12"/>
                <c:pt idx="0">
                  <c:v>0.28262099870597002</c:v>
                </c:pt>
                <c:pt idx="1">
                  <c:v>0.21334970951729829</c:v>
                </c:pt>
                <c:pt idx="2">
                  <c:v>0.1660030795211784</c:v>
                </c:pt>
                <c:pt idx="3">
                  <c:v>0.15952083723994137</c:v>
                </c:pt>
                <c:pt idx="4">
                  <c:v>0.16713480062692548</c:v>
                </c:pt>
                <c:pt idx="5">
                  <c:v>0.16325096200096201</c:v>
                </c:pt>
                <c:pt idx="6">
                  <c:v>0.18791958339682169</c:v>
                </c:pt>
                <c:pt idx="7">
                  <c:v>0.19641297436581495</c:v>
                </c:pt>
                <c:pt idx="8">
                  <c:v>0.20846882098366937</c:v>
                </c:pt>
                <c:pt idx="9">
                  <c:v>0.20997557303982861</c:v>
                </c:pt>
                <c:pt idx="10">
                  <c:v>0.22608483143038369</c:v>
                </c:pt>
                <c:pt idx="11">
                  <c:v>0.17790539240330261</c:v>
                </c:pt>
              </c:numCache>
            </c:numRef>
          </c:val>
          <c:smooth val="0"/>
          <c:extLst>
            <c:ext xmlns:c16="http://schemas.microsoft.com/office/drawing/2014/chart" uri="{C3380CC4-5D6E-409C-BE32-E72D297353CC}">
              <c16:uniqueId val="{00000002-0FBE-41B4-B230-B4DBF396E60B}"/>
            </c:ext>
          </c:extLst>
        </c:ser>
        <c:ser>
          <c:idx val="3"/>
          <c:order val="3"/>
          <c:tx>
            <c:strRef>
              <c:f>Unaffordableexp1!$A$6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Unaffordableexp1!$B$6:$M$6</c:f>
              <c:numCache>
                <c:formatCode>0.0%</c:formatCode>
                <c:ptCount val="12"/>
                <c:pt idx="0">
                  <c:v>0.16179230687153223</c:v>
                </c:pt>
                <c:pt idx="1">
                  <c:v>0.12144445803031646</c:v>
                </c:pt>
                <c:pt idx="2">
                  <c:v>9.5127696534545531E-2</c:v>
                </c:pt>
                <c:pt idx="3">
                  <c:v>9.5048742963482952E-2</c:v>
                </c:pt>
                <c:pt idx="4">
                  <c:v>0.10460823032500491</c:v>
                </c:pt>
                <c:pt idx="5">
                  <c:v>9.5962647675636892E-2</c:v>
                </c:pt>
                <c:pt idx="6">
                  <c:v>0.11038157896607412</c:v>
                </c:pt>
                <c:pt idx="7">
                  <c:v>8.6121376523492874E-2</c:v>
                </c:pt>
                <c:pt idx="8">
                  <c:v>9.7599098611498875E-2</c:v>
                </c:pt>
                <c:pt idx="9">
                  <c:v>0.10035005004573148</c:v>
                </c:pt>
                <c:pt idx="10">
                  <c:v>0.12990644312113853</c:v>
                </c:pt>
                <c:pt idx="11">
                  <c:v>0.11839436899927289</c:v>
                </c:pt>
              </c:numCache>
            </c:numRef>
          </c:val>
          <c:smooth val="0"/>
          <c:extLst>
            <c:ext xmlns:c16="http://schemas.microsoft.com/office/drawing/2014/chart" uri="{C3380CC4-5D6E-409C-BE32-E72D297353CC}">
              <c16:uniqueId val="{00000003-0FBE-41B4-B230-B4DBF396E60B}"/>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Housing Stock</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'[All graphs.xlsx]Estimated Number of houses'!$B$2:$F$2</c:f>
              <c:strCache>
                <c:ptCount val="5"/>
                <c:pt idx="0">
                  <c:v>2014</c:v>
                </c:pt>
                <c:pt idx="1">
                  <c:v>2015</c:v>
                </c:pt>
                <c:pt idx="2">
                  <c:v>2016</c:v>
                </c:pt>
                <c:pt idx="3">
                  <c:v>2017</c:v>
                </c:pt>
                <c:pt idx="4">
                  <c:v>2018 (forecasted)</c:v>
                </c:pt>
              </c:strCache>
            </c:strRef>
          </c:cat>
          <c:val>
            <c:numRef>
              <c:f>'[All graphs.xlsx]Estimated Number of houses'!$B$3:$F$3</c:f>
              <c:numCache>
                <c:formatCode>#,##0</c:formatCode>
                <c:ptCount val="5"/>
                <c:pt idx="0">
                  <c:v>1057172</c:v>
                </c:pt>
                <c:pt idx="1">
                  <c:v>1062679</c:v>
                </c:pt>
                <c:pt idx="2">
                  <c:v>1075270</c:v>
                </c:pt>
                <c:pt idx="3">
                  <c:v>1093218</c:v>
                </c:pt>
                <c:pt idx="4">
                  <c:v>1127636</c:v>
                </c:pt>
              </c:numCache>
            </c:numRef>
          </c:val>
          <c:smooth val="0"/>
          <c:extLst>
            <c:ext xmlns:c16="http://schemas.microsoft.com/office/drawing/2014/chart" uri="{C3380CC4-5D6E-409C-BE32-E72D297353CC}">
              <c16:uniqueId val="{00000000-0932-4396-9F15-4F42E8E699CB}"/>
            </c:ext>
          </c:extLst>
        </c:ser>
        <c:ser>
          <c:idx val="1"/>
          <c:order val="1"/>
          <c:tx>
            <c:v>Estimated Number of Households</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'[All graphs.xlsx]Estimated Number of houses'!$B$7:$F$7</c:f>
              <c:numCache>
                <c:formatCode>#,##0</c:formatCode>
                <c:ptCount val="5"/>
                <c:pt idx="0">
                  <c:v>1032598</c:v>
                </c:pt>
                <c:pt idx="1">
                  <c:v>1038922</c:v>
                </c:pt>
                <c:pt idx="2">
                  <c:v>1045141</c:v>
                </c:pt>
                <c:pt idx="3">
                  <c:v>1057582</c:v>
                </c:pt>
                <c:pt idx="4">
                  <c:v>1068959</c:v>
                </c:pt>
              </c:numCache>
            </c:numRef>
          </c:val>
          <c:smooth val="0"/>
          <c:extLst>
            <c:ext xmlns:c16="http://schemas.microsoft.com/office/drawing/2014/chart" uri="{C3380CC4-5D6E-409C-BE32-E72D297353CC}">
              <c16:uniqueId val="{00000000-BA50-4B3C-8371-FB9F04EEE190}"/>
            </c:ext>
          </c:extLst>
        </c:ser>
        <c:dLbls>
          <c:showLegendKey val="0"/>
          <c:showVal val="0"/>
          <c:showCatName val="0"/>
          <c:showSerName val="0"/>
          <c:showPercent val="0"/>
          <c:showBubbleSize val="0"/>
        </c:dLbls>
        <c:marker val="1"/>
        <c:smooth val="0"/>
        <c:axId val="1804801408"/>
        <c:axId val="1804784000"/>
      </c:lineChart>
      <c:catAx>
        <c:axId val="180480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784000"/>
        <c:crosses val="autoZero"/>
        <c:auto val="1"/>
        <c:lblAlgn val="ctr"/>
        <c:lblOffset val="100"/>
        <c:noMultiLvlLbl val="0"/>
      </c:catAx>
      <c:valAx>
        <c:axId val="1804784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4801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Unaffordableexp1!$P$3</c:f>
              <c:strCache>
                <c:ptCount val="1"/>
                <c:pt idx="0">
                  <c:v>Quartile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Unaffordableexp1!$Q$3:$AB$3</c:f>
              <c:numCache>
                <c:formatCode>0.00%</c:formatCode>
                <c:ptCount val="12"/>
                <c:pt idx="0">
                  <c:v>0.27639054603564994</c:v>
                </c:pt>
                <c:pt idx="1">
                  <c:v>0.24684220388147476</c:v>
                </c:pt>
                <c:pt idx="2">
                  <c:v>0.20155873007898795</c:v>
                </c:pt>
                <c:pt idx="3">
                  <c:v>0.21602936733832026</c:v>
                </c:pt>
                <c:pt idx="4">
                  <c:v>0.18517250317477016</c:v>
                </c:pt>
                <c:pt idx="5">
                  <c:v>0.1607055692017835</c:v>
                </c:pt>
                <c:pt idx="6">
                  <c:v>0.12675985946892537</c:v>
                </c:pt>
                <c:pt idx="7">
                  <c:v>0.1203352725007199</c:v>
                </c:pt>
                <c:pt idx="8">
                  <c:v>0.12952552315710467</c:v>
                </c:pt>
                <c:pt idx="9">
                  <c:v>0.11997036280298448</c:v>
                </c:pt>
                <c:pt idx="10">
                  <c:v>0.29393034150315706</c:v>
                </c:pt>
                <c:pt idx="11">
                  <c:v>0.22035732439410552</c:v>
                </c:pt>
              </c:numCache>
            </c:numRef>
          </c:val>
          <c:smooth val="0"/>
          <c:extLst>
            <c:ext xmlns:c16="http://schemas.microsoft.com/office/drawing/2014/chart" uri="{C3380CC4-5D6E-409C-BE32-E72D297353CC}">
              <c16:uniqueId val="{00000000-A04C-472F-B6CB-FFED6409E7F7}"/>
            </c:ext>
          </c:extLst>
        </c:ser>
        <c:ser>
          <c:idx val="1"/>
          <c:order val="1"/>
          <c:tx>
            <c:strRef>
              <c:f>Unaffordableexp1!$P$4</c:f>
              <c:strCache>
                <c:ptCount val="1"/>
                <c:pt idx="0">
                  <c:v>Quartile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Unaffordableexp1!$Q$4:$AB$4</c:f>
              <c:numCache>
                <c:formatCode>0.0%</c:formatCode>
                <c:ptCount val="12"/>
                <c:pt idx="0">
                  <c:v>0.10833163556771261</c:v>
                </c:pt>
                <c:pt idx="1">
                  <c:v>0.11762186651121942</c:v>
                </c:pt>
                <c:pt idx="2">
                  <c:v>0.11289224455669233</c:v>
                </c:pt>
                <c:pt idx="3">
                  <c:v>8.5744558147128142E-2</c:v>
                </c:pt>
                <c:pt idx="4">
                  <c:v>9.1100331084905672E-2</c:v>
                </c:pt>
                <c:pt idx="5">
                  <c:v>8.7356453369796985E-2</c:v>
                </c:pt>
                <c:pt idx="6">
                  <c:v>5.6243177358309956E-2</c:v>
                </c:pt>
                <c:pt idx="7">
                  <c:v>5.4821900765541276E-2</c:v>
                </c:pt>
                <c:pt idx="8">
                  <c:v>6.4565830857964496E-2</c:v>
                </c:pt>
                <c:pt idx="9">
                  <c:v>4.9658763317570007E-2</c:v>
                </c:pt>
                <c:pt idx="10">
                  <c:v>0.14146303707902957</c:v>
                </c:pt>
                <c:pt idx="11">
                  <c:v>0.12150235534435204</c:v>
                </c:pt>
              </c:numCache>
            </c:numRef>
          </c:val>
          <c:smooth val="0"/>
          <c:extLst>
            <c:ext xmlns:c16="http://schemas.microsoft.com/office/drawing/2014/chart" uri="{C3380CC4-5D6E-409C-BE32-E72D297353CC}">
              <c16:uniqueId val="{00000001-A04C-472F-B6CB-FFED6409E7F7}"/>
            </c:ext>
          </c:extLst>
        </c:ser>
        <c:ser>
          <c:idx val="2"/>
          <c:order val="2"/>
          <c:tx>
            <c:strRef>
              <c:f>Unaffordableexp1!$P$5</c:f>
              <c:strCache>
                <c:ptCount val="1"/>
                <c:pt idx="0">
                  <c:v>Quartile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Unaffordableexp1!$Q$5:$AB$5</c:f>
              <c:numCache>
                <c:formatCode>0.0%</c:formatCode>
                <c:ptCount val="12"/>
                <c:pt idx="0">
                  <c:v>7.9374714369237043E-2</c:v>
                </c:pt>
                <c:pt idx="1">
                  <c:v>9.8999292458543248E-2</c:v>
                </c:pt>
                <c:pt idx="2">
                  <c:v>6.9917463180186823E-2</c:v>
                </c:pt>
                <c:pt idx="3">
                  <c:v>6.0610679606031045E-2</c:v>
                </c:pt>
                <c:pt idx="4">
                  <c:v>5.6033312537092511E-2</c:v>
                </c:pt>
                <c:pt idx="5">
                  <c:v>5.7560156998469961E-2</c:v>
                </c:pt>
                <c:pt idx="6">
                  <c:v>3.8458738173747849E-2</c:v>
                </c:pt>
                <c:pt idx="7">
                  <c:v>2.5371251225096161E-2</c:v>
                </c:pt>
                <c:pt idx="8">
                  <c:v>3.3381950112844255E-2</c:v>
                </c:pt>
                <c:pt idx="9">
                  <c:v>2.7916748699651092E-2</c:v>
                </c:pt>
                <c:pt idx="10">
                  <c:v>9.8023345125226952E-2</c:v>
                </c:pt>
                <c:pt idx="11">
                  <c:v>5.8236105499513163E-2</c:v>
                </c:pt>
              </c:numCache>
            </c:numRef>
          </c:val>
          <c:smooth val="0"/>
          <c:extLst>
            <c:ext xmlns:c16="http://schemas.microsoft.com/office/drawing/2014/chart" uri="{C3380CC4-5D6E-409C-BE32-E72D297353CC}">
              <c16:uniqueId val="{00000002-A04C-472F-B6CB-FFED6409E7F7}"/>
            </c:ext>
          </c:extLst>
        </c:ser>
        <c:ser>
          <c:idx val="3"/>
          <c:order val="3"/>
          <c:tx>
            <c:strRef>
              <c:f>Unaffordableexp1!$P$6</c:f>
              <c:strCache>
                <c:ptCount val="1"/>
                <c:pt idx="0">
                  <c:v>Quartile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Unaffordableexp1!$Q$6:$AB$6</c:f>
              <c:numCache>
                <c:formatCode>0.0%</c:formatCode>
                <c:ptCount val="12"/>
                <c:pt idx="0">
                  <c:v>6.2134449430768048E-2</c:v>
                </c:pt>
                <c:pt idx="1">
                  <c:v>5.1967377707541014E-2</c:v>
                </c:pt>
                <c:pt idx="2">
                  <c:v>4.4150882107323368E-2</c:v>
                </c:pt>
                <c:pt idx="3">
                  <c:v>2.9090498919619994E-2</c:v>
                </c:pt>
                <c:pt idx="4">
                  <c:v>2.9234641606059292E-2</c:v>
                </c:pt>
                <c:pt idx="5">
                  <c:v>2.9582775134719051E-2</c:v>
                </c:pt>
                <c:pt idx="6">
                  <c:v>1.2299248870145562E-2</c:v>
                </c:pt>
                <c:pt idx="7">
                  <c:v>7.8473292942471025E-3</c:v>
                </c:pt>
                <c:pt idx="8">
                  <c:v>9.3867887886705109E-3</c:v>
                </c:pt>
                <c:pt idx="9">
                  <c:v>1.3381029143492488E-2</c:v>
                </c:pt>
                <c:pt idx="10">
                  <c:v>3.5940365600611299E-2</c:v>
                </c:pt>
                <c:pt idx="11">
                  <c:v>2.9165968870466932E-2</c:v>
                </c:pt>
              </c:numCache>
            </c:numRef>
          </c:val>
          <c:smooth val="0"/>
          <c:extLst>
            <c:ext xmlns:c16="http://schemas.microsoft.com/office/drawing/2014/chart" uri="{C3380CC4-5D6E-409C-BE32-E72D297353CC}">
              <c16:uniqueId val="{00000003-A04C-472F-B6CB-FFED6409E7F7}"/>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Unaffordablerent!$B$3:$M$3</c:f>
              <c:numCache>
                <c:formatCode>0.0%</c:formatCode>
                <c:ptCount val="12"/>
                <c:pt idx="0">
                  <c:v>1.7562007569836884E-2</c:v>
                </c:pt>
                <c:pt idx="1">
                  <c:v>2.3376788953150804E-2</c:v>
                </c:pt>
                <c:pt idx="2">
                  <c:v>2.6759940515379211E-2</c:v>
                </c:pt>
                <c:pt idx="3">
                  <c:v>2.60627120795968E-2</c:v>
                </c:pt>
                <c:pt idx="4">
                  <c:v>3.1606057196222476E-2</c:v>
                </c:pt>
                <c:pt idx="5">
                  <c:v>2.3126953166404014E-2</c:v>
                </c:pt>
                <c:pt idx="6">
                  <c:v>2.1654295161015403E-2</c:v>
                </c:pt>
                <c:pt idx="7">
                  <c:v>2.2765882514652024E-2</c:v>
                </c:pt>
                <c:pt idx="8">
                  <c:v>1.5806073964930726E-2</c:v>
                </c:pt>
                <c:pt idx="9">
                  <c:v>2.4811459116320982E-2</c:v>
                </c:pt>
                <c:pt idx="10">
                  <c:v>1.9960667401827444E-2</c:v>
                </c:pt>
                <c:pt idx="11">
                  <c:v>2.5698100305239679E-2</c:v>
                </c:pt>
              </c:numCache>
            </c:numRef>
          </c:val>
          <c:smooth val="0"/>
          <c:extLst>
            <c:ext xmlns:c16="http://schemas.microsoft.com/office/drawing/2014/chart" uri="{C3380CC4-5D6E-409C-BE32-E72D297353CC}">
              <c16:uniqueId val="{00000000-176A-4094-9721-EA1B159AF3ED}"/>
            </c:ext>
          </c:extLst>
        </c:ser>
        <c:ser>
          <c:idx val="1"/>
          <c:order val="1"/>
          <c:tx>
            <c:strRef>
              <c:f>Unaffordablerent!$A$4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Unaffordablerent!$B$4:$M$4</c:f>
              <c:numCache>
                <c:formatCode>0.0%</c:formatCode>
                <c:ptCount val="12"/>
                <c:pt idx="0">
                  <c:v>1.3442440479345454E-2</c:v>
                </c:pt>
                <c:pt idx="1">
                  <c:v>1.0702805376972531E-2</c:v>
                </c:pt>
                <c:pt idx="2">
                  <c:v>1.4096566281695005E-2</c:v>
                </c:pt>
                <c:pt idx="3">
                  <c:v>2.3393754331655289E-2</c:v>
                </c:pt>
                <c:pt idx="4">
                  <c:v>2.2259390808635024E-2</c:v>
                </c:pt>
                <c:pt idx="5">
                  <c:v>4.4010358532603225E-2</c:v>
                </c:pt>
                <c:pt idx="6">
                  <c:v>0.01</c:v>
                </c:pt>
                <c:pt idx="7">
                  <c:v>1.7719298245614034E-2</c:v>
                </c:pt>
                <c:pt idx="8">
                  <c:v>3.8461538461538464E-3</c:v>
                </c:pt>
                <c:pt idx="9">
                  <c:v>2.1059697718008984E-2</c:v>
                </c:pt>
                <c:pt idx="10">
                  <c:v>8.0359185541066126E-3</c:v>
                </c:pt>
                <c:pt idx="11">
                  <c:v>2.5380107697180868E-2</c:v>
                </c:pt>
              </c:numCache>
            </c:numRef>
          </c:val>
          <c:smooth val="0"/>
          <c:extLst>
            <c:ext xmlns:c16="http://schemas.microsoft.com/office/drawing/2014/chart" uri="{C3380CC4-5D6E-409C-BE32-E72D297353CC}">
              <c16:uniqueId val="{00000001-176A-4094-9721-EA1B159AF3ED}"/>
            </c:ext>
          </c:extLst>
        </c:ser>
        <c:ser>
          <c:idx val="2"/>
          <c:order val="2"/>
          <c:tx>
            <c:strRef>
              <c:f>Unaffordablerent!$A$5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Unaffordablerent!$B$5:$M$5</c:f>
              <c:numCache>
                <c:formatCode>0.0%</c:formatCode>
                <c:ptCount val="12"/>
                <c:pt idx="0">
                  <c:v>1.8175785124728706E-2</c:v>
                </c:pt>
                <c:pt idx="1">
                  <c:v>1.5937025139665693E-2</c:v>
                </c:pt>
                <c:pt idx="2">
                  <c:v>2.6734409270544331E-2</c:v>
                </c:pt>
                <c:pt idx="3">
                  <c:v>2.154247925656615E-2</c:v>
                </c:pt>
                <c:pt idx="4">
                  <c:v>2.5734207951172462E-2</c:v>
                </c:pt>
                <c:pt idx="5">
                  <c:v>2.3567478513749907E-2</c:v>
                </c:pt>
                <c:pt idx="6">
                  <c:v>2.1890528101651964E-2</c:v>
                </c:pt>
                <c:pt idx="7">
                  <c:v>2.4768303798120728E-2</c:v>
                </c:pt>
                <c:pt idx="8">
                  <c:v>1.6929804554032202E-2</c:v>
                </c:pt>
                <c:pt idx="9">
                  <c:v>2.5845014289155106E-2</c:v>
                </c:pt>
                <c:pt idx="10">
                  <c:v>2.2721339395253316E-2</c:v>
                </c:pt>
                <c:pt idx="11">
                  <c:v>3.1932139649007305E-2</c:v>
                </c:pt>
              </c:numCache>
            </c:numRef>
          </c:val>
          <c:smooth val="0"/>
          <c:extLst>
            <c:ext xmlns:c16="http://schemas.microsoft.com/office/drawing/2014/chart" uri="{C3380CC4-5D6E-409C-BE32-E72D297353CC}">
              <c16:uniqueId val="{00000002-176A-4094-9721-EA1B159AF3ED}"/>
            </c:ext>
          </c:extLst>
        </c:ser>
        <c:ser>
          <c:idx val="3"/>
          <c:order val="3"/>
          <c:tx>
            <c:strRef>
              <c:f>Unaffordablerent!$A$6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Unaffordablerent!$B$2:$M$2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Unaffordablerent!$B$6:$M$6</c:f>
              <c:numCache>
                <c:formatCode>0.0%</c:formatCode>
                <c:ptCount val="12"/>
                <c:pt idx="0">
                  <c:v>5.9727570959920125E-3</c:v>
                </c:pt>
                <c:pt idx="1">
                  <c:v>4.2996993342401032E-3</c:v>
                </c:pt>
                <c:pt idx="2">
                  <c:v>7.7177565737833603E-3</c:v>
                </c:pt>
                <c:pt idx="3">
                  <c:v>7.5359077197312491E-3</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176A-4094-9721-EA1B159AF3ED}"/>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5.000000000000001E-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Unaffordablerent!$P$3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Unaffordablerent!$Q$3:$AB$3</c:f>
              <c:numCache>
                <c:formatCode>0.00%</c:formatCode>
                <c:ptCount val="12"/>
                <c:pt idx="0">
                  <c:v>7.2269067106761767E-3</c:v>
                </c:pt>
                <c:pt idx="1">
                  <c:v>3.2060140234656132E-3</c:v>
                </c:pt>
                <c:pt idx="2">
                  <c:v>4.5425683892079361E-3</c:v>
                </c:pt>
                <c:pt idx="3">
                  <c:v>4.289424771482489E-3</c:v>
                </c:pt>
                <c:pt idx="4">
                  <c:v>1.3154192558575833E-3</c:v>
                </c:pt>
                <c:pt idx="5">
                  <c:v>8.7750378616885936E-4</c:v>
                </c:pt>
                <c:pt idx="6">
                  <c:v>5.8149288559055246E-4</c:v>
                </c:pt>
                <c:pt idx="7">
                  <c:v>7.2908206363735736E-4</c:v>
                </c:pt>
                <c:pt idx="8">
                  <c:v>1.1866393319294904E-3</c:v>
                </c:pt>
                <c:pt idx="9">
                  <c:v>9.0001307566976219E-4</c:v>
                </c:pt>
                <c:pt idx="10">
                  <c:v>3.533011544753507E-3</c:v>
                </c:pt>
                <c:pt idx="11">
                  <c:v>9.1566407553387305E-4</c:v>
                </c:pt>
              </c:numCache>
            </c:numRef>
          </c:val>
          <c:smooth val="0"/>
          <c:extLst>
            <c:ext xmlns:c16="http://schemas.microsoft.com/office/drawing/2014/chart" uri="{C3380CC4-5D6E-409C-BE32-E72D297353CC}">
              <c16:uniqueId val="{00000000-4128-4DD8-B546-770E0351EEB4}"/>
            </c:ext>
          </c:extLst>
        </c:ser>
        <c:ser>
          <c:idx val="1"/>
          <c:order val="1"/>
          <c:tx>
            <c:strRef>
              <c:f>Unaffordablerent!$P$4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Unaffordablerent!$Q$4:$AB$4</c:f>
              <c:numCache>
                <c:formatCode>0.0%</c:formatCode>
                <c:ptCount val="12"/>
                <c:pt idx="0">
                  <c:v>0</c:v>
                </c:pt>
                <c:pt idx="1">
                  <c:v>0</c:v>
                </c:pt>
                <c:pt idx="2">
                  <c:v>0</c:v>
                </c:pt>
                <c:pt idx="3">
                  <c:v>0</c:v>
                </c:pt>
                <c:pt idx="4">
                  <c:v>0</c:v>
                </c:pt>
                <c:pt idx="5">
                  <c:v>4.1666666666666666E-3</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1-4128-4DD8-B546-770E0351EEB4}"/>
            </c:ext>
          </c:extLst>
        </c:ser>
        <c:ser>
          <c:idx val="2"/>
          <c:order val="2"/>
          <c:tx>
            <c:strRef>
              <c:f>Unaffordablerent!$P$5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Unaffordablerent!$Q$5:$AB$5</c:f>
              <c:numCache>
                <c:formatCode>0.0%</c:formatCode>
                <c:ptCount val="12"/>
                <c:pt idx="0">
                  <c:v>3.024059223117782E-3</c:v>
                </c:pt>
                <c:pt idx="1">
                  <c:v>2.5237127371273713E-3</c:v>
                </c:pt>
                <c:pt idx="2">
                  <c:v>2.9599503108451736E-3</c:v>
                </c:pt>
                <c:pt idx="3">
                  <c:v>3.0464820917831645E-3</c:v>
                </c:pt>
                <c:pt idx="4">
                  <c:v>9.5305868299997462E-4</c:v>
                </c:pt>
                <c:pt idx="5">
                  <c:v>5.1975051975051978E-4</c:v>
                </c:pt>
                <c:pt idx="6">
                  <c:v>1.0243237576011742E-3</c:v>
                </c:pt>
                <c:pt idx="7">
                  <c:v>4.7801147227533459E-4</c:v>
                </c:pt>
                <c:pt idx="8">
                  <c:v>2.0040089042007055E-3</c:v>
                </c:pt>
                <c:pt idx="9">
                  <c:v>5.0607287449392713E-4</c:v>
                </c:pt>
                <c:pt idx="10">
                  <c:v>2.4740447520621976E-3</c:v>
                </c:pt>
                <c:pt idx="11">
                  <c:v>0</c:v>
                </c:pt>
              </c:numCache>
            </c:numRef>
          </c:val>
          <c:smooth val="0"/>
          <c:extLst>
            <c:ext xmlns:c16="http://schemas.microsoft.com/office/drawing/2014/chart" uri="{C3380CC4-5D6E-409C-BE32-E72D297353CC}">
              <c16:uniqueId val="{00000002-4128-4DD8-B546-770E0351EEB4}"/>
            </c:ext>
          </c:extLst>
        </c:ser>
        <c:ser>
          <c:idx val="3"/>
          <c:order val="3"/>
          <c:tx>
            <c:strRef>
              <c:f>Unaffordablerent!$P$6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Unaffordablerent!$Q$2:$AB$2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Unaffordablerent!$Q$6:$AB$6</c:f>
              <c:numCache>
                <c:formatCode>0.0%</c:formatCode>
                <c:ptCount val="12"/>
                <c:pt idx="0">
                  <c:v>0</c:v>
                </c:pt>
                <c:pt idx="1">
                  <c:v>2.2477262239687995E-3</c:v>
                </c:pt>
                <c:pt idx="2">
                  <c:v>6.0094060754361436E-3</c:v>
                </c:pt>
                <c:pt idx="3">
                  <c:v>0</c:v>
                </c:pt>
                <c:pt idx="4">
                  <c:v>0</c:v>
                </c:pt>
                <c:pt idx="5">
                  <c:v>0</c:v>
                </c:pt>
                <c:pt idx="6">
                  <c:v>4.2403591065115565E-3</c:v>
                </c:pt>
                <c:pt idx="7">
                  <c:v>0</c:v>
                </c:pt>
                <c:pt idx="8">
                  <c:v>0</c:v>
                </c:pt>
                <c:pt idx="9">
                  <c:v>0</c:v>
                </c:pt>
                <c:pt idx="10">
                  <c:v>0</c:v>
                </c:pt>
                <c:pt idx="11">
                  <c:v>0</c:v>
                </c:pt>
              </c:numCache>
            </c:numRef>
          </c:val>
          <c:smooth val="0"/>
          <c:extLst>
            <c:ext xmlns:c16="http://schemas.microsoft.com/office/drawing/2014/chart" uri="{C3380CC4-5D6E-409C-BE32-E72D297353CC}">
              <c16:uniqueId val="{00000003-4128-4DD8-B546-770E0351EEB4}"/>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5.000000000000001E-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Unaddordableexp!$A$3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Unaddordableexp!$B$2:$M$2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Unaddordableexp!$B$3:$M$3</c:f>
              <c:numCache>
                <c:formatCode>0.0%</c:formatCode>
                <c:ptCount val="12"/>
                <c:pt idx="0">
                  <c:v>0.14018111730594804</c:v>
                </c:pt>
                <c:pt idx="1">
                  <c:v>0.14113351012527778</c:v>
                </c:pt>
                <c:pt idx="2">
                  <c:v>0.12608477329397477</c:v>
                </c:pt>
                <c:pt idx="3">
                  <c:v>0.1169879364290454</c:v>
                </c:pt>
                <c:pt idx="4">
                  <c:v>0.13480603641981292</c:v>
                </c:pt>
                <c:pt idx="5">
                  <c:v>0.1298883315920849</c:v>
                </c:pt>
                <c:pt idx="6">
                  <c:v>7.8796383619158583E-2</c:v>
                </c:pt>
                <c:pt idx="7">
                  <c:v>6.3713989993287742E-2</c:v>
                </c:pt>
                <c:pt idx="8">
                  <c:v>6.4488363977916158E-2</c:v>
                </c:pt>
                <c:pt idx="9">
                  <c:v>6.4819453678547384E-2</c:v>
                </c:pt>
                <c:pt idx="10">
                  <c:v>8.3670371315889128E-2</c:v>
                </c:pt>
                <c:pt idx="11">
                  <c:v>6.7323880150301579E-2</c:v>
                </c:pt>
              </c:numCache>
            </c:numRef>
          </c:val>
          <c:smooth val="0"/>
          <c:extLst>
            <c:ext xmlns:c16="http://schemas.microsoft.com/office/drawing/2014/chart" uri="{C3380CC4-5D6E-409C-BE32-E72D297353CC}">
              <c16:uniqueId val="{00000000-6A01-47A4-A7AD-00E20872F6B0}"/>
            </c:ext>
          </c:extLst>
        </c:ser>
        <c:ser>
          <c:idx val="1"/>
          <c:order val="1"/>
          <c:tx>
            <c:strRef>
              <c:f>Unaddordableexp!$A$4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Unaddordableexp!$B$2:$M$2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Unaddordableexp!$B$4:$M$4</c:f>
              <c:numCache>
                <c:formatCode>0.0%</c:formatCode>
                <c:ptCount val="12"/>
                <c:pt idx="0">
                  <c:v>9.5681208932234071E-2</c:v>
                </c:pt>
                <c:pt idx="1">
                  <c:v>0.10205095332638178</c:v>
                </c:pt>
                <c:pt idx="2">
                  <c:v>9.8427919005973627E-2</c:v>
                </c:pt>
                <c:pt idx="3">
                  <c:v>6.1986925781168836E-2</c:v>
                </c:pt>
                <c:pt idx="4">
                  <c:v>6.7122101708190524E-2</c:v>
                </c:pt>
                <c:pt idx="5">
                  <c:v>0.10724220939716389</c:v>
                </c:pt>
                <c:pt idx="6">
                  <c:v>5.4970161977834615E-2</c:v>
                </c:pt>
                <c:pt idx="7">
                  <c:v>3.1271929824561402E-2</c:v>
                </c:pt>
                <c:pt idx="8">
                  <c:v>3.474670584045584E-2</c:v>
                </c:pt>
                <c:pt idx="9">
                  <c:v>5.8929740263604174E-2</c:v>
                </c:pt>
                <c:pt idx="10">
                  <c:v>4.8964468358829553E-2</c:v>
                </c:pt>
                <c:pt idx="11">
                  <c:v>5.6030060009391973E-2</c:v>
                </c:pt>
              </c:numCache>
            </c:numRef>
          </c:val>
          <c:smooth val="0"/>
          <c:extLst>
            <c:ext xmlns:c16="http://schemas.microsoft.com/office/drawing/2014/chart" uri="{C3380CC4-5D6E-409C-BE32-E72D297353CC}">
              <c16:uniqueId val="{00000001-6A01-47A4-A7AD-00E20872F6B0}"/>
            </c:ext>
          </c:extLst>
        </c:ser>
        <c:ser>
          <c:idx val="2"/>
          <c:order val="2"/>
          <c:tx>
            <c:strRef>
              <c:f>Unaddordableexp!$A$5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Unaddordableexp!$B$2:$M$2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Unaddordableexp!$B$5:$M$5</c:f>
              <c:numCache>
                <c:formatCode>0.0%</c:formatCode>
                <c:ptCount val="12"/>
                <c:pt idx="0">
                  <c:v>0.16444230034295698</c:v>
                </c:pt>
                <c:pt idx="1">
                  <c:v>0.1488141989005603</c:v>
                </c:pt>
                <c:pt idx="2">
                  <c:v>0.14724050892397733</c:v>
                </c:pt>
                <c:pt idx="3">
                  <c:v>0.13486445738133657</c:v>
                </c:pt>
                <c:pt idx="4">
                  <c:v>0.15344173651850471</c:v>
                </c:pt>
                <c:pt idx="5">
                  <c:v>0.15071730808149619</c:v>
                </c:pt>
                <c:pt idx="6">
                  <c:v>8.7294418670845086E-2</c:v>
                </c:pt>
                <c:pt idx="7">
                  <c:v>7.5757720440941811E-2</c:v>
                </c:pt>
                <c:pt idx="8">
                  <c:v>6.8282304868510488E-2</c:v>
                </c:pt>
                <c:pt idx="9">
                  <c:v>7.2389709037794847E-2</c:v>
                </c:pt>
                <c:pt idx="10">
                  <c:v>9.3025478665799022E-2</c:v>
                </c:pt>
                <c:pt idx="11">
                  <c:v>7.8172310625919367E-2</c:v>
                </c:pt>
              </c:numCache>
            </c:numRef>
          </c:val>
          <c:smooth val="0"/>
          <c:extLst>
            <c:ext xmlns:c16="http://schemas.microsoft.com/office/drawing/2014/chart" uri="{C3380CC4-5D6E-409C-BE32-E72D297353CC}">
              <c16:uniqueId val="{00000002-6A01-47A4-A7AD-00E20872F6B0}"/>
            </c:ext>
          </c:extLst>
        </c:ser>
        <c:ser>
          <c:idx val="3"/>
          <c:order val="3"/>
          <c:tx>
            <c:strRef>
              <c:f>Unaddordableexp!$A$6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Unaddordableexp!$B$2:$M$2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Unaddordableexp!$B$6:$M$6</c:f>
              <c:numCache>
                <c:formatCode>0.0%</c:formatCode>
                <c:ptCount val="12"/>
                <c:pt idx="0">
                  <c:v>5.9727570959920125E-3</c:v>
                </c:pt>
                <c:pt idx="1">
                  <c:v>4.2996993342401032E-3</c:v>
                </c:pt>
                <c:pt idx="2">
                  <c:v>7.7177565737833603E-3</c:v>
                </c:pt>
                <c:pt idx="3">
                  <c:v>7.5359077197312491E-3</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6A01-47A4-A7AD-00E20872F6B0}"/>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300000000000000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Unaddordableexp!$P$3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Unaddordableexp!$Q$2:$AB$2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Unaddordableexp!$Q$3:$AB$3</c:f>
              <c:numCache>
                <c:formatCode>0.00%</c:formatCode>
                <c:ptCount val="12"/>
                <c:pt idx="0">
                  <c:v>8.0800141328522604E-2</c:v>
                </c:pt>
                <c:pt idx="1">
                  <c:v>8.3188301226607753E-2</c:v>
                </c:pt>
                <c:pt idx="2">
                  <c:v>5.6204821599781019E-2</c:v>
                </c:pt>
                <c:pt idx="3">
                  <c:v>5.8126280901151142E-2</c:v>
                </c:pt>
                <c:pt idx="4">
                  <c:v>6.0805206905838412E-2</c:v>
                </c:pt>
                <c:pt idx="5">
                  <c:v>5.4932857815646309E-2</c:v>
                </c:pt>
                <c:pt idx="6">
                  <c:v>3.6978424571257537E-2</c:v>
                </c:pt>
                <c:pt idx="7">
                  <c:v>3.8443253283525602E-2</c:v>
                </c:pt>
                <c:pt idx="8">
                  <c:v>4.2599516137933724E-2</c:v>
                </c:pt>
                <c:pt idx="9">
                  <c:v>3.8088340393351801E-2</c:v>
                </c:pt>
                <c:pt idx="10">
                  <c:v>6.4123160708818377E-2</c:v>
                </c:pt>
                <c:pt idx="11">
                  <c:v>3.5688479562906036E-2</c:v>
                </c:pt>
              </c:numCache>
            </c:numRef>
          </c:val>
          <c:smooth val="0"/>
          <c:extLst>
            <c:ext xmlns:c16="http://schemas.microsoft.com/office/drawing/2014/chart" uri="{C3380CC4-5D6E-409C-BE32-E72D297353CC}">
              <c16:uniqueId val="{00000000-9FA8-431F-9640-FF971B6555F9}"/>
            </c:ext>
          </c:extLst>
        </c:ser>
        <c:ser>
          <c:idx val="1"/>
          <c:order val="1"/>
          <c:tx>
            <c:strRef>
              <c:f>Unaddordableexp!$P$4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Unaddordableexp!$Q$2:$AB$2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Unaddordableexp!$Q$4:$AB$4</c:f>
              <c:numCache>
                <c:formatCode>0.0%</c:formatCode>
                <c:ptCount val="12"/>
                <c:pt idx="0">
                  <c:v>5.4649491375497565E-2</c:v>
                </c:pt>
                <c:pt idx="1">
                  <c:v>4.7756211180124228E-2</c:v>
                </c:pt>
                <c:pt idx="2">
                  <c:v>2.8690843313306836E-2</c:v>
                </c:pt>
                <c:pt idx="3">
                  <c:v>1.6627640191645858E-2</c:v>
                </c:pt>
                <c:pt idx="4">
                  <c:v>5.9523809523809521E-3</c:v>
                </c:pt>
                <c:pt idx="5">
                  <c:v>3.5143710339678988E-2</c:v>
                </c:pt>
                <c:pt idx="6">
                  <c:v>1.1363636363636364E-2</c:v>
                </c:pt>
                <c:pt idx="7">
                  <c:v>0</c:v>
                </c:pt>
                <c:pt idx="8">
                  <c:v>6.5789473684210523E-3</c:v>
                </c:pt>
                <c:pt idx="9">
                  <c:v>1.2195121951219513E-2</c:v>
                </c:pt>
                <c:pt idx="10">
                  <c:v>6.1607755662319831E-2</c:v>
                </c:pt>
                <c:pt idx="11">
                  <c:v>1.6821946169772256E-2</c:v>
                </c:pt>
              </c:numCache>
            </c:numRef>
          </c:val>
          <c:smooth val="0"/>
          <c:extLst>
            <c:ext xmlns:c16="http://schemas.microsoft.com/office/drawing/2014/chart" uri="{C3380CC4-5D6E-409C-BE32-E72D297353CC}">
              <c16:uniqueId val="{00000001-9FA8-431F-9640-FF971B6555F9}"/>
            </c:ext>
          </c:extLst>
        </c:ser>
        <c:ser>
          <c:idx val="2"/>
          <c:order val="2"/>
          <c:tx>
            <c:strRef>
              <c:f>Unaddordableexp!$P$5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Unaddordableexp!$Q$2:$AB$2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Unaddordableexp!$Q$5:$AB$5</c:f>
              <c:numCache>
                <c:formatCode>0.0%</c:formatCode>
                <c:ptCount val="12"/>
                <c:pt idx="0">
                  <c:v>8.8140418513092331E-2</c:v>
                </c:pt>
                <c:pt idx="1">
                  <c:v>8.0299070847851345E-2</c:v>
                </c:pt>
                <c:pt idx="2">
                  <c:v>5.7742566269821896E-2</c:v>
                </c:pt>
                <c:pt idx="3">
                  <c:v>5.9307022620483194E-2</c:v>
                </c:pt>
                <c:pt idx="4">
                  <c:v>7.3549950009935597E-2</c:v>
                </c:pt>
                <c:pt idx="5">
                  <c:v>6.1237843431239655E-2</c:v>
                </c:pt>
                <c:pt idx="6">
                  <c:v>3.7282438575277035E-2</c:v>
                </c:pt>
                <c:pt idx="7">
                  <c:v>4.0350143882411094E-2</c:v>
                </c:pt>
                <c:pt idx="8">
                  <c:v>4.8093365426880384E-2</c:v>
                </c:pt>
                <c:pt idx="9">
                  <c:v>4.9063974799708976E-2</c:v>
                </c:pt>
                <c:pt idx="10">
                  <c:v>6.5364723279533715E-2</c:v>
                </c:pt>
                <c:pt idx="11">
                  <c:v>3.626475715354157E-2</c:v>
                </c:pt>
              </c:numCache>
            </c:numRef>
          </c:val>
          <c:smooth val="0"/>
          <c:extLst>
            <c:ext xmlns:c16="http://schemas.microsoft.com/office/drawing/2014/chart" uri="{C3380CC4-5D6E-409C-BE32-E72D297353CC}">
              <c16:uniqueId val="{00000002-9FA8-431F-9640-FF971B6555F9}"/>
            </c:ext>
          </c:extLst>
        </c:ser>
        <c:ser>
          <c:idx val="3"/>
          <c:order val="3"/>
          <c:tx>
            <c:strRef>
              <c:f>Unaddordableexp!$P$6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Unaddordableexp!$Q$2:$AB$2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Unaddordableexp!$Q$6:$AB$6</c:f>
              <c:numCache>
                <c:formatCode>0.0%</c:formatCode>
                <c:ptCount val="12"/>
                <c:pt idx="0">
                  <c:v>0</c:v>
                </c:pt>
                <c:pt idx="1">
                  <c:v>2.2477262239687995E-3</c:v>
                </c:pt>
                <c:pt idx="2">
                  <c:v>6.0094060754361436E-3</c:v>
                </c:pt>
                <c:pt idx="3">
                  <c:v>0</c:v>
                </c:pt>
                <c:pt idx="4">
                  <c:v>0</c:v>
                </c:pt>
                <c:pt idx="5">
                  <c:v>0</c:v>
                </c:pt>
                <c:pt idx="6">
                  <c:v>4.2403591065115565E-3</c:v>
                </c:pt>
                <c:pt idx="7">
                  <c:v>0</c:v>
                </c:pt>
                <c:pt idx="8">
                  <c:v>0</c:v>
                </c:pt>
                <c:pt idx="9">
                  <c:v>0</c:v>
                </c:pt>
                <c:pt idx="10">
                  <c:v>0</c:v>
                </c:pt>
                <c:pt idx="11">
                  <c:v>0</c:v>
                </c:pt>
              </c:numCache>
            </c:numRef>
          </c:val>
          <c:smooth val="0"/>
          <c:extLst>
            <c:ext xmlns:c16="http://schemas.microsoft.com/office/drawing/2014/chart" uri="{C3380CC4-5D6E-409C-BE32-E72D297353CC}">
              <c16:uniqueId val="{00000003-9FA8-431F-9640-FF971B6555F9}"/>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30000000000000004"/>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Unaffordablerent1!$A$3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Unaffordablerent1!$B$3:$M$3</c:f>
              <c:numCache>
                <c:formatCode>0.0%</c:formatCode>
                <c:ptCount val="12"/>
                <c:pt idx="0">
                  <c:v>0.1724312679188674</c:v>
                </c:pt>
                <c:pt idx="1">
                  <c:v>0.12707158664864387</c:v>
                </c:pt>
                <c:pt idx="2">
                  <c:v>0.12108916146369358</c:v>
                </c:pt>
                <c:pt idx="3">
                  <c:v>0.10110929293503639</c:v>
                </c:pt>
                <c:pt idx="4">
                  <c:v>0.10280296069105528</c:v>
                </c:pt>
                <c:pt idx="5">
                  <c:v>9.3021194028043652E-2</c:v>
                </c:pt>
                <c:pt idx="6">
                  <c:v>0.11002848297358207</c:v>
                </c:pt>
                <c:pt idx="7">
                  <c:v>0.1235483487740426</c:v>
                </c:pt>
                <c:pt idx="8">
                  <c:v>0.1155323383820185</c:v>
                </c:pt>
                <c:pt idx="9">
                  <c:v>0.11889812065017442</c:v>
                </c:pt>
                <c:pt idx="10">
                  <c:v>0.15785727196962879</c:v>
                </c:pt>
                <c:pt idx="11">
                  <c:v>0.14572571150949509</c:v>
                </c:pt>
              </c:numCache>
            </c:numRef>
          </c:val>
          <c:smooth val="0"/>
          <c:extLst>
            <c:ext xmlns:c16="http://schemas.microsoft.com/office/drawing/2014/chart" uri="{C3380CC4-5D6E-409C-BE32-E72D297353CC}">
              <c16:uniqueId val="{00000000-B519-427F-A11E-87ADB33C9C36}"/>
            </c:ext>
          </c:extLst>
        </c:ser>
        <c:ser>
          <c:idx val="1"/>
          <c:order val="1"/>
          <c:tx>
            <c:strRef>
              <c:f>Unaffordablerent1!$A$4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Unaffordablerent1!$B$4:$M$4</c:f>
              <c:numCache>
                <c:formatCode>0.0%</c:formatCode>
                <c:ptCount val="12"/>
                <c:pt idx="0">
                  <c:v>7.6048327253978878E-2</c:v>
                </c:pt>
                <c:pt idx="1">
                  <c:v>4.9466586443288434E-2</c:v>
                </c:pt>
                <c:pt idx="2">
                  <c:v>6.3776041061791355E-2</c:v>
                </c:pt>
                <c:pt idx="3">
                  <c:v>7.6067826958844204E-2</c:v>
                </c:pt>
                <c:pt idx="4">
                  <c:v>8.4483212819301629E-2</c:v>
                </c:pt>
                <c:pt idx="5">
                  <c:v>0.10549691082426169</c:v>
                </c:pt>
                <c:pt idx="6">
                  <c:v>0.10506672568693029</c:v>
                </c:pt>
                <c:pt idx="7">
                  <c:v>0.11153508771929824</c:v>
                </c:pt>
                <c:pt idx="8">
                  <c:v>5.4010715870347017E-2</c:v>
                </c:pt>
                <c:pt idx="9">
                  <c:v>7.2019576924221229E-2</c:v>
                </c:pt>
                <c:pt idx="10">
                  <c:v>0.14082564514420029</c:v>
                </c:pt>
                <c:pt idx="11">
                  <c:v>0.13386575196008049</c:v>
                </c:pt>
              </c:numCache>
            </c:numRef>
          </c:val>
          <c:smooth val="0"/>
          <c:extLst>
            <c:ext xmlns:c16="http://schemas.microsoft.com/office/drawing/2014/chart" uri="{C3380CC4-5D6E-409C-BE32-E72D297353CC}">
              <c16:uniqueId val="{00000001-B519-427F-A11E-87ADB33C9C36}"/>
            </c:ext>
          </c:extLst>
        </c:ser>
        <c:ser>
          <c:idx val="2"/>
          <c:order val="2"/>
          <c:tx>
            <c:strRef>
              <c:f>Unaffordablerent1!$A$5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Unaffordablerent1!$B$5:$M$5</c:f>
              <c:numCache>
                <c:formatCode>0.0%</c:formatCode>
                <c:ptCount val="12"/>
                <c:pt idx="0">
                  <c:v>0.18394099254031357</c:v>
                </c:pt>
                <c:pt idx="1">
                  <c:v>0.12679061210114223</c:v>
                </c:pt>
                <c:pt idx="2">
                  <c:v>0.12954969712583098</c:v>
                </c:pt>
                <c:pt idx="3">
                  <c:v>0.10070731019071043</c:v>
                </c:pt>
                <c:pt idx="4">
                  <c:v>9.196123838837153E-2</c:v>
                </c:pt>
                <c:pt idx="5">
                  <c:v>0.10774133548617307</c:v>
                </c:pt>
                <c:pt idx="6">
                  <c:v>0.13787850206967339</c:v>
                </c:pt>
                <c:pt idx="7">
                  <c:v>0.18094706625242102</c:v>
                </c:pt>
                <c:pt idx="8">
                  <c:v>0.14190541973101711</c:v>
                </c:pt>
                <c:pt idx="9">
                  <c:v>0.13969082248729045</c:v>
                </c:pt>
                <c:pt idx="10">
                  <c:v>0.17765267095115003</c:v>
                </c:pt>
                <c:pt idx="11">
                  <c:v>0.1728534538917452</c:v>
                </c:pt>
              </c:numCache>
            </c:numRef>
          </c:val>
          <c:smooth val="0"/>
          <c:extLst>
            <c:ext xmlns:c16="http://schemas.microsoft.com/office/drawing/2014/chart" uri="{C3380CC4-5D6E-409C-BE32-E72D297353CC}">
              <c16:uniqueId val="{00000002-B519-427F-A11E-87ADB33C9C36}"/>
            </c:ext>
          </c:extLst>
        </c:ser>
        <c:ser>
          <c:idx val="3"/>
          <c:order val="3"/>
          <c:tx>
            <c:strRef>
              <c:f>Unaffordablerent1!$A$6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Unaffordablerent1!$B$6:$M$6</c:f>
              <c:numCache>
                <c:formatCode>0.0%</c:formatCode>
                <c:ptCount val="12"/>
                <c:pt idx="0">
                  <c:v>5.9727570959920125E-3</c:v>
                </c:pt>
                <c:pt idx="1">
                  <c:v>4.2996993342401032E-3</c:v>
                </c:pt>
                <c:pt idx="2">
                  <c:v>7.7177565737833603E-3</c:v>
                </c:pt>
                <c:pt idx="3">
                  <c:v>7.5359077197312491E-3</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B519-427F-A11E-87ADB33C9C36}"/>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3000000000000000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Unaffordablerent1!$P$3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Unaffordablerent1!$Q$3:$AB$3</c:f>
              <c:numCache>
                <c:formatCode>0.00%</c:formatCode>
                <c:ptCount val="12"/>
                <c:pt idx="0">
                  <c:v>4.8222091473760352E-2</c:v>
                </c:pt>
                <c:pt idx="1">
                  <c:v>4.455091656894538E-2</c:v>
                </c:pt>
                <c:pt idx="2">
                  <c:v>5.0833081703956833E-2</c:v>
                </c:pt>
                <c:pt idx="3">
                  <c:v>4.1765523084699642E-2</c:v>
                </c:pt>
                <c:pt idx="4">
                  <c:v>2.6109543080365376E-2</c:v>
                </c:pt>
                <c:pt idx="5">
                  <c:v>2.200947806533126E-2</c:v>
                </c:pt>
                <c:pt idx="6">
                  <c:v>1.6431429452091063E-2</c:v>
                </c:pt>
                <c:pt idx="7">
                  <c:v>1.2232126005365072E-2</c:v>
                </c:pt>
                <c:pt idx="8">
                  <c:v>1.4671575714564442E-2</c:v>
                </c:pt>
                <c:pt idx="9">
                  <c:v>1.4655900740789995E-2</c:v>
                </c:pt>
                <c:pt idx="10">
                  <c:v>7.2745794117907187E-2</c:v>
                </c:pt>
                <c:pt idx="11">
                  <c:v>5.7777262622962053E-2</c:v>
                </c:pt>
              </c:numCache>
            </c:numRef>
          </c:val>
          <c:smooth val="0"/>
          <c:extLst>
            <c:ext xmlns:c16="http://schemas.microsoft.com/office/drawing/2014/chart" uri="{C3380CC4-5D6E-409C-BE32-E72D297353CC}">
              <c16:uniqueId val="{00000000-C02C-43A5-AC96-9A20822E2FF2}"/>
            </c:ext>
          </c:extLst>
        </c:ser>
        <c:ser>
          <c:idx val="1"/>
          <c:order val="1"/>
          <c:tx>
            <c:strRef>
              <c:f>Unaffordablerent1!$P$4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Unaffordablerent1!$Q$4:$AB$4</c:f>
              <c:numCache>
                <c:formatCode>0.0%</c:formatCode>
                <c:ptCount val="12"/>
                <c:pt idx="0">
                  <c:v>2.7863777089783281E-2</c:v>
                </c:pt>
                <c:pt idx="1">
                  <c:v>2.4758454106280192E-2</c:v>
                </c:pt>
                <c:pt idx="2">
                  <c:v>2.9192448449743436E-2</c:v>
                </c:pt>
                <c:pt idx="3">
                  <c:v>2.5708099961760805E-2</c:v>
                </c:pt>
                <c:pt idx="4">
                  <c:v>3.0502322880371663E-2</c:v>
                </c:pt>
                <c:pt idx="5">
                  <c:v>8.3333333333333332E-3</c:v>
                </c:pt>
                <c:pt idx="6">
                  <c:v>4.2716977600299494E-2</c:v>
                </c:pt>
                <c:pt idx="7">
                  <c:v>3.8515406162464988E-2</c:v>
                </c:pt>
                <c:pt idx="8">
                  <c:v>5.5555555555555558E-3</c:v>
                </c:pt>
                <c:pt idx="9">
                  <c:v>1.2531328320802004E-2</c:v>
                </c:pt>
                <c:pt idx="10">
                  <c:v>2.9922757465421168E-2</c:v>
                </c:pt>
                <c:pt idx="11">
                  <c:v>3.9766474549083247E-2</c:v>
                </c:pt>
              </c:numCache>
            </c:numRef>
          </c:val>
          <c:smooth val="0"/>
          <c:extLst>
            <c:ext xmlns:c16="http://schemas.microsoft.com/office/drawing/2014/chart" uri="{C3380CC4-5D6E-409C-BE32-E72D297353CC}">
              <c16:uniqueId val="{00000001-C02C-43A5-AC96-9A20822E2FF2}"/>
            </c:ext>
          </c:extLst>
        </c:ser>
        <c:ser>
          <c:idx val="2"/>
          <c:order val="2"/>
          <c:tx>
            <c:strRef>
              <c:f>Unaffordablerent1!$P$5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Unaffordablerent1!$Q$5:$AB$5</c:f>
              <c:numCache>
                <c:formatCode>0.0%</c:formatCode>
                <c:ptCount val="12"/>
                <c:pt idx="0">
                  <c:v>5.755970064843198E-2</c:v>
                </c:pt>
                <c:pt idx="1">
                  <c:v>4.3171430722243727E-2</c:v>
                </c:pt>
                <c:pt idx="2">
                  <c:v>5.5786172566921075E-2</c:v>
                </c:pt>
                <c:pt idx="3">
                  <c:v>4.7834620042171372E-2</c:v>
                </c:pt>
                <c:pt idx="4">
                  <c:v>2.751380777052834E-2</c:v>
                </c:pt>
                <c:pt idx="5">
                  <c:v>2.6483077780247589E-2</c:v>
                </c:pt>
                <c:pt idx="6">
                  <c:v>1.6049696770899759E-2</c:v>
                </c:pt>
                <c:pt idx="7">
                  <c:v>1.4745155703376162E-2</c:v>
                </c:pt>
                <c:pt idx="8">
                  <c:v>2.0410748757088894E-2</c:v>
                </c:pt>
                <c:pt idx="9">
                  <c:v>1.5028824225298588E-2</c:v>
                </c:pt>
                <c:pt idx="10">
                  <c:v>7.6530211099406303E-2</c:v>
                </c:pt>
                <c:pt idx="11">
                  <c:v>5.4746837293314435E-2</c:v>
                </c:pt>
              </c:numCache>
            </c:numRef>
          </c:val>
          <c:smooth val="0"/>
          <c:extLst>
            <c:ext xmlns:c16="http://schemas.microsoft.com/office/drawing/2014/chart" uri="{C3380CC4-5D6E-409C-BE32-E72D297353CC}">
              <c16:uniqueId val="{00000002-C02C-43A5-AC96-9A20822E2FF2}"/>
            </c:ext>
          </c:extLst>
        </c:ser>
        <c:ser>
          <c:idx val="3"/>
          <c:order val="3"/>
          <c:tx>
            <c:strRef>
              <c:f>Unaffordablerent1!$P$6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Unaffordablerent1!$Q$2:$AB$2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Unaffordablerent1!$Q$6:$AB$6</c:f>
              <c:numCache>
                <c:formatCode>0.0%</c:formatCode>
                <c:ptCount val="12"/>
                <c:pt idx="0">
                  <c:v>0</c:v>
                </c:pt>
                <c:pt idx="1">
                  <c:v>2.2477262239687995E-3</c:v>
                </c:pt>
                <c:pt idx="2">
                  <c:v>6.0094060754361436E-3</c:v>
                </c:pt>
                <c:pt idx="3">
                  <c:v>0</c:v>
                </c:pt>
                <c:pt idx="4">
                  <c:v>0</c:v>
                </c:pt>
                <c:pt idx="5">
                  <c:v>0</c:v>
                </c:pt>
                <c:pt idx="6">
                  <c:v>4.2403591065115565E-3</c:v>
                </c:pt>
                <c:pt idx="7">
                  <c:v>0</c:v>
                </c:pt>
                <c:pt idx="8">
                  <c:v>0</c:v>
                </c:pt>
                <c:pt idx="9">
                  <c:v>0</c:v>
                </c:pt>
                <c:pt idx="10">
                  <c:v>0</c:v>
                </c:pt>
                <c:pt idx="11">
                  <c:v>0</c:v>
                </c:pt>
              </c:numCache>
            </c:numRef>
          </c:val>
          <c:smooth val="0"/>
          <c:extLst>
            <c:ext xmlns:c16="http://schemas.microsoft.com/office/drawing/2014/chart" uri="{C3380CC4-5D6E-409C-BE32-E72D297353CC}">
              <c16:uniqueId val="{00000003-C02C-43A5-AC96-9A20822E2FF2}"/>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30000000000000004"/>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Unaffordableexp1!$A$3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Unaffordableexp1!$B$3:$M$3</c:f>
              <c:numCache>
                <c:formatCode>0.0%</c:formatCode>
                <c:ptCount val="12"/>
                <c:pt idx="0">
                  <c:v>0.30562298040658614</c:v>
                </c:pt>
                <c:pt idx="1">
                  <c:v>0.25524762299234038</c:v>
                </c:pt>
                <c:pt idx="2">
                  <c:v>0.2204622776648551</c:v>
                </c:pt>
                <c:pt idx="3">
                  <c:v>0.2000455133874271</c:v>
                </c:pt>
                <c:pt idx="4">
                  <c:v>0.21222427846798347</c:v>
                </c:pt>
                <c:pt idx="5">
                  <c:v>0.20770517816957798</c:v>
                </c:pt>
                <c:pt idx="6">
                  <c:v>0.18434504658457013</c:v>
                </c:pt>
                <c:pt idx="7">
                  <c:v>0.18474539638501442</c:v>
                </c:pt>
                <c:pt idx="8">
                  <c:v>0.18615146925268641</c:v>
                </c:pt>
                <c:pt idx="9">
                  <c:v>0.18578014233218917</c:v>
                </c:pt>
                <c:pt idx="10">
                  <c:v>0.25771732600087693</c:v>
                </c:pt>
                <c:pt idx="11">
                  <c:v>0.2262177357149312</c:v>
                </c:pt>
              </c:numCache>
            </c:numRef>
          </c:val>
          <c:smooth val="0"/>
          <c:extLst>
            <c:ext xmlns:c16="http://schemas.microsoft.com/office/drawing/2014/chart" uri="{C3380CC4-5D6E-409C-BE32-E72D297353CC}">
              <c16:uniqueId val="{00000000-10AE-4324-B1AA-4124864D1AE1}"/>
            </c:ext>
          </c:extLst>
        </c:ser>
        <c:ser>
          <c:idx val="1"/>
          <c:order val="1"/>
          <c:tx>
            <c:strRef>
              <c:f>Unaffordableexp1!$A$4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Unaffordableexp1!$B$4:$M$4</c:f>
              <c:numCache>
                <c:formatCode>0.0%</c:formatCode>
                <c:ptCount val="12"/>
                <c:pt idx="0">
                  <c:v>0.16454513659675007</c:v>
                </c:pt>
                <c:pt idx="1">
                  <c:v>0.15834136110962058</c:v>
                </c:pt>
                <c:pt idx="2">
                  <c:v>0.13990549942381819</c:v>
                </c:pt>
                <c:pt idx="3">
                  <c:v>9.7096862652403804E-2</c:v>
                </c:pt>
                <c:pt idx="4">
                  <c:v>0.13569170915947015</c:v>
                </c:pt>
                <c:pt idx="5">
                  <c:v>0.16891757200781468</c:v>
                </c:pt>
                <c:pt idx="6">
                  <c:v>0.14407305397075221</c:v>
                </c:pt>
                <c:pt idx="7">
                  <c:v>0.14135964912280702</c:v>
                </c:pt>
                <c:pt idx="8">
                  <c:v>0.10836059005884825</c:v>
                </c:pt>
                <c:pt idx="9">
                  <c:v>0.18226436285739789</c:v>
                </c:pt>
                <c:pt idx="10">
                  <c:v>0.23391793005166645</c:v>
                </c:pt>
                <c:pt idx="11">
                  <c:v>0.24406541097695961</c:v>
                </c:pt>
              </c:numCache>
            </c:numRef>
          </c:val>
          <c:smooth val="0"/>
          <c:extLst>
            <c:ext xmlns:c16="http://schemas.microsoft.com/office/drawing/2014/chart" uri="{C3380CC4-5D6E-409C-BE32-E72D297353CC}">
              <c16:uniqueId val="{00000001-10AE-4324-B1AA-4124864D1AE1}"/>
            </c:ext>
          </c:extLst>
        </c:ser>
        <c:ser>
          <c:idx val="2"/>
          <c:order val="2"/>
          <c:tx>
            <c:strRef>
              <c:f>Unaffordableexp1!$A$5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Unaffordableexp1!$B$5:$M$5</c:f>
              <c:numCache>
                <c:formatCode>0.0%</c:formatCode>
                <c:ptCount val="12"/>
                <c:pt idx="0">
                  <c:v>0.33682946475692266</c:v>
                </c:pt>
                <c:pt idx="1">
                  <c:v>0.26834911001560408</c:v>
                </c:pt>
                <c:pt idx="2">
                  <c:v>0.24506490796638991</c:v>
                </c:pt>
                <c:pt idx="3">
                  <c:v>0.22077897934760921</c:v>
                </c:pt>
                <c:pt idx="4">
                  <c:v>0.22035342033630478</c:v>
                </c:pt>
                <c:pt idx="5">
                  <c:v>0.23982316584668301</c:v>
                </c:pt>
                <c:pt idx="6">
                  <c:v>0.21399278191075943</c:v>
                </c:pt>
                <c:pt idx="7">
                  <c:v>0.25162835024867214</c:v>
                </c:pt>
                <c:pt idx="8">
                  <c:v>0.21403019061304626</c:v>
                </c:pt>
                <c:pt idx="9">
                  <c:v>0.19842129914456719</c:v>
                </c:pt>
                <c:pt idx="10">
                  <c:v>0.28179678888561666</c:v>
                </c:pt>
                <c:pt idx="11">
                  <c:v>0.2536036065462009</c:v>
                </c:pt>
              </c:numCache>
            </c:numRef>
          </c:val>
          <c:smooth val="0"/>
          <c:extLst>
            <c:ext xmlns:c16="http://schemas.microsoft.com/office/drawing/2014/chart" uri="{C3380CC4-5D6E-409C-BE32-E72D297353CC}">
              <c16:uniqueId val="{00000002-10AE-4324-B1AA-4124864D1AE1}"/>
            </c:ext>
          </c:extLst>
        </c:ser>
        <c:ser>
          <c:idx val="3"/>
          <c:order val="3"/>
          <c:tx>
            <c:strRef>
              <c:f>Unaffordableexp1!$A$6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Unaffordableexp1!$B$2:$M$2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Unaffordableexp1!$B$6:$M$6</c:f>
              <c:numCache>
                <c:formatCode>0.0%</c:formatCode>
                <c:ptCount val="12"/>
                <c:pt idx="0">
                  <c:v>5.9727570959920125E-3</c:v>
                </c:pt>
                <c:pt idx="1">
                  <c:v>4.2996993342401032E-3</c:v>
                </c:pt>
                <c:pt idx="2">
                  <c:v>7.7177565737833603E-3</c:v>
                </c:pt>
                <c:pt idx="3">
                  <c:v>7.5359077197312491E-3</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10AE-4324-B1AA-4124864D1AE1}"/>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Unaffordableexp1!$P$3</c:f>
              <c:strCache>
                <c:ptCount val="1"/>
                <c:pt idx="0">
                  <c:v>Total Sample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Unaffordableexp1!$Q$3:$AB$3</c:f>
              <c:numCache>
                <c:formatCode>0.00%</c:formatCode>
                <c:ptCount val="12"/>
                <c:pt idx="0">
                  <c:v>0.13188045657211173</c:v>
                </c:pt>
                <c:pt idx="1">
                  <c:v>0.13151606134957844</c:v>
                </c:pt>
                <c:pt idx="2">
                  <c:v>0.10967078269622928</c:v>
                </c:pt>
                <c:pt idx="3">
                  <c:v>0.10041925875097761</c:v>
                </c:pt>
                <c:pt idx="4">
                  <c:v>9.0932505468117042E-2</c:v>
                </c:pt>
                <c:pt idx="5">
                  <c:v>8.4621181433930812E-2</c:v>
                </c:pt>
                <c:pt idx="6">
                  <c:v>6.0396471642557625E-2</c:v>
                </c:pt>
                <c:pt idx="7">
                  <c:v>5.41896095073192E-2</c:v>
                </c:pt>
                <c:pt idx="8">
                  <c:v>6.2901666201340828E-2</c:v>
                </c:pt>
                <c:pt idx="9">
                  <c:v>5.6177420546785845E-2</c:v>
                </c:pt>
                <c:pt idx="10">
                  <c:v>0.15396915321995494</c:v>
                </c:pt>
                <c:pt idx="11">
                  <c:v>0.1130994456618956</c:v>
                </c:pt>
              </c:numCache>
            </c:numRef>
          </c:val>
          <c:smooth val="0"/>
          <c:extLst>
            <c:ext xmlns:c16="http://schemas.microsoft.com/office/drawing/2014/chart" uri="{C3380CC4-5D6E-409C-BE32-E72D297353CC}">
              <c16:uniqueId val="{00000000-85E5-459C-97E5-A032BE0BCDA0}"/>
            </c:ext>
          </c:extLst>
        </c:ser>
        <c:ser>
          <c:idx val="1"/>
          <c:order val="1"/>
          <c:tx>
            <c:strRef>
              <c:f>Unaffordableexp1!$P$4</c:f>
              <c:strCache>
                <c:ptCount val="1"/>
                <c:pt idx="0">
                  <c:v>IDPs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Unaffordableexp1!$Q$4:$AB$4</c:f>
              <c:numCache>
                <c:formatCode>0.0%</c:formatCode>
                <c:ptCount val="12"/>
                <c:pt idx="0">
                  <c:v>9.4418030370042746E-2</c:v>
                </c:pt>
                <c:pt idx="1">
                  <c:v>7.251466528640442E-2</c:v>
                </c:pt>
                <c:pt idx="2">
                  <c:v>6.9053253440306939E-2</c:v>
                </c:pt>
                <c:pt idx="3">
                  <c:v>5.251838855523315E-2</c:v>
                </c:pt>
                <c:pt idx="4">
                  <c:v>4.2552264808362369E-2</c:v>
                </c:pt>
                <c:pt idx="5">
                  <c:v>3.9310377006345654E-2</c:v>
                </c:pt>
                <c:pt idx="6">
                  <c:v>5.9399762900106068E-2</c:v>
                </c:pt>
                <c:pt idx="7">
                  <c:v>3.8515406162464988E-2</c:v>
                </c:pt>
                <c:pt idx="8">
                  <c:v>1.2134502923976609E-2</c:v>
                </c:pt>
                <c:pt idx="9">
                  <c:v>3.8031772400873055E-2</c:v>
                </c:pt>
                <c:pt idx="10">
                  <c:v>0.11358695019950445</c:v>
                </c:pt>
                <c:pt idx="11">
                  <c:v>8.4939753418014297E-2</c:v>
                </c:pt>
              </c:numCache>
            </c:numRef>
          </c:val>
          <c:smooth val="0"/>
          <c:extLst>
            <c:ext xmlns:c16="http://schemas.microsoft.com/office/drawing/2014/chart" uri="{C3380CC4-5D6E-409C-BE32-E72D297353CC}">
              <c16:uniqueId val="{00000001-85E5-459C-97E5-A032BE0BCDA0}"/>
            </c:ext>
          </c:extLst>
        </c:ser>
        <c:ser>
          <c:idx val="2"/>
          <c:order val="2"/>
          <c:tx>
            <c:strRef>
              <c:f>Unaffordableexp1!$P$5</c:f>
              <c:strCache>
                <c:ptCount val="1"/>
                <c:pt idx="0">
                  <c:v>Womanheaded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Unaffordableexp1!$Q$5:$AB$5</c:f>
              <c:numCache>
                <c:formatCode>0.0%</c:formatCode>
                <c:ptCount val="12"/>
                <c:pt idx="0">
                  <c:v>0.15843789376167283</c:v>
                </c:pt>
                <c:pt idx="1">
                  <c:v>0.12550866778509057</c:v>
                </c:pt>
                <c:pt idx="2">
                  <c:v>0.11625855513107236</c:v>
                </c:pt>
                <c:pt idx="3">
                  <c:v>0.10786784256402009</c:v>
                </c:pt>
                <c:pt idx="4">
                  <c:v>0.10288151502617462</c:v>
                </c:pt>
                <c:pt idx="5">
                  <c:v>9.9716670589312106E-2</c:v>
                </c:pt>
                <c:pt idx="6">
                  <c:v>6.077749873826982E-2</c:v>
                </c:pt>
                <c:pt idx="7">
                  <c:v>5.5595299585787253E-2</c:v>
                </c:pt>
                <c:pt idx="8">
                  <c:v>7.2982398565283046E-2</c:v>
                </c:pt>
                <c:pt idx="9">
                  <c:v>6.8286359630321508E-2</c:v>
                </c:pt>
                <c:pt idx="10">
                  <c:v>0.16643857451072536</c:v>
                </c:pt>
                <c:pt idx="11">
                  <c:v>0.11606523245069833</c:v>
                </c:pt>
              </c:numCache>
            </c:numRef>
          </c:val>
          <c:smooth val="0"/>
          <c:extLst>
            <c:ext xmlns:c16="http://schemas.microsoft.com/office/drawing/2014/chart" uri="{C3380CC4-5D6E-409C-BE32-E72D297353CC}">
              <c16:uniqueId val="{00000002-85E5-459C-97E5-A032BE0BCDA0}"/>
            </c:ext>
          </c:extLst>
        </c:ser>
        <c:ser>
          <c:idx val="3"/>
          <c:order val="3"/>
          <c:tx>
            <c:strRef>
              <c:f>Unaffordableexp1!$P$6</c:f>
              <c:strCache>
                <c:ptCount val="1"/>
                <c:pt idx="0">
                  <c:v>Disabled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Unaffordableexp1!$Q$2:$AB$2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Unaffordableexp1!$Q$6:$AB$6</c:f>
              <c:numCache>
                <c:formatCode>0.0%</c:formatCode>
                <c:ptCount val="12"/>
                <c:pt idx="0">
                  <c:v>0</c:v>
                </c:pt>
                <c:pt idx="1">
                  <c:v>2.2477262239687995E-3</c:v>
                </c:pt>
                <c:pt idx="2">
                  <c:v>6.0094060754361436E-3</c:v>
                </c:pt>
                <c:pt idx="3">
                  <c:v>0</c:v>
                </c:pt>
                <c:pt idx="4">
                  <c:v>0</c:v>
                </c:pt>
                <c:pt idx="5">
                  <c:v>0</c:v>
                </c:pt>
                <c:pt idx="6">
                  <c:v>4.2403591065115565E-3</c:v>
                </c:pt>
                <c:pt idx="7">
                  <c:v>0</c:v>
                </c:pt>
                <c:pt idx="8">
                  <c:v>0</c:v>
                </c:pt>
                <c:pt idx="9">
                  <c:v>0</c:v>
                </c:pt>
                <c:pt idx="10">
                  <c:v>0</c:v>
                </c:pt>
                <c:pt idx="11">
                  <c:v>0</c:v>
                </c:pt>
              </c:numCache>
            </c:numRef>
          </c:val>
          <c:smooth val="0"/>
          <c:extLst>
            <c:ext xmlns:c16="http://schemas.microsoft.com/office/drawing/2014/chart" uri="{C3380CC4-5D6E-409C-BE32-E72D297353CC}">
              <c16:uniqueId val="{00000003-85E5-459C-97E5-A032BE0BCDA0}"/>
            </c:ext>
          </c:extLst>
        </c:ser>
        <c:dLbls>
          <c:showLegendKey val="0"/>
          <c:showVal val="0"/>
          <c:showCatName val="0"/>
          <c:showSerName val="0"/>
          <c:showPercent val="0"/>
          <c:showBubbleSize val="0"/>
        </c:dLbls>
        <c:marker val="1"/>
        <c:smooth val="0"/>
        <c:axId val="583776608"/>
        <c:axId val="583777264"/>
      </c:lineChart>
      <c:catAx>
        <c:axId val="5837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7264"/>
        <c:crosses val="autoZero"/>
        <c:auto val="1"/>
        <c:lblAlgn val="ctr"/>
        <c:lblOffset val="100"/>
        <c:noMultiLvlLbl val="0"/>
      </c:catAx>
      <c:valAx>
        <c:axId val="583777264"/>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37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Unaffordablerent1!$A$3</c:f>
              <c:strCache>
                <c:ptCount val="1"/>
                <c:pt idx="0">
                  <c:v>Georgian families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Unaffordablerent1!$B$3:$M$3</c:f>
              <c:numCache>
                <c:formatCode>0.0%</c:formatCode>
                <c:ptCount val="12"/>
                <c:pt idx="0">
                  <c:v>0.17667138959373174</c:v>
                </c:pt>
                <c:pt idx="1">
                  <c:v>0.13017237922071923</c:v>
                </c:pt>
                <c:pt idx="2">
                  <c:v>0.1234806207718218</c:v>
                </c:pt>
                <c:pt idx="3">
                  <c:v>0.1028722077703494</c:v>
                </c:pt>
                <c:pt idx="4">
                  <c:v>0.11206075636781779</c:v>
                </c:pt>
                <c:pt idx="5">
                  <c:v>9.6710380166356774E-2</c:v>
                </c:pt>
                <c:pt idx="6">
                  <c:v>0.11433263342833534</c:v>
                </c:pt>
                <c:pt idx="7">
                  <c:v>0.12424706225716434</c:v>
                </c:pt>
                <c:pt idx="8">
                  <c:v>0.11937620152549644</c:v>
                </c:pt>
                <c:pt idx="9">
                  <c:v>0.12094411643693012</c:v>
                </c:pt>
                <c:pt idx="10">
                  <c:v>0.16195442809060132</c:v>
                </c:pt>
                <c:pt idx="11">
                  <c:v>0.14465282006693844</c:v>
                </c:pt>
              </c:numCache>
            </c:numRef>
          </c:val>
          <c:smooth val="0"/>
          <c:extLst>
            <c:ext xmlns:c16="http://schemas.microsoft.com/office/drawing/2014/chart" uri="{C3380CC4-5D6E-409C-BE32-E72D297353CC}">
              <c16:uniqueId val="{00000000-1F75-42E7-A42C-5FDAA5C5E0AB}"/>
            </c:ext>
          </c:extLst>
        </c:ser>
        <c:ser>
          <c:idx val="1"/>
          <c:order val="1"/>
          <c:tx>
            <c:strRef>
              <c:f>Unaffordablerent1!$A$4</c:f>
              <c:strCache>
                <c:ptCount val="1"/>
                <c:pt idx="0">
                  <c:v>Non-Georgian families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Unaffordablerent1!$B$4:$M$4</c:f>
              <c:numCache>
                <c:formatCode>0.0%</c:formatCode>
                <c:ptCount val="12"/>
                <c:pt idx="0">
                  <c:v>0.16429280132510066</c:v>
                </c:pt>
                <c:pt idx="1">
                  <c:v>9.8319648801141246E-2</c:v>
                </c:pt>
                <c:pt idx="2">
                  <c:v>0.10839396753882019</c:v>
                </c:pt>
                <c:pt idx="3">
                  <c:v>9.0606726602296378E-2</c:v>
                </c:pt>
                <c:pt idx="4">
                  <c:v>3.814547975297275E-2</c:v>
                </c:pt>
                <c:pt idx="5">
                  <c:v>6.4179019091042552E-2</c:v>
                </c:pt>
                <c:pt idx="6">
                  <c:v>9.7633333056430946E-2</c:v>
                </c:pt>
                <c:pt idx="7">
                  <c:v>0.11628638417109854</c:v>
                </c:pt>
                <c:pt idx="8">
                  <c:v>8.9706017114997372E-2</c:v>
                </c:pt>
                <c:pt idx="9">
                  <c:v>0.10871540710723948</c:v>
                </c:pt>
                <c:pt idx="10">
                  <c:v>0.1015488849505243</c:v>
                </c:pt>
                <c:pt idx="11">
                  <c:v>0.14018054387837278</c:v>
                </c:pt>
              </c:numCache>
            </c:numRef>
          </c:val>
          <c:smooth val="0"/>
          <c:extLst>
            <c:ext xmlns:c16="http://schemas.microsoft.com/office/drawing/2014/chart" uri="{C3380CC4-5D6E-409C-BE32-E72D297353CC}">
              <c16:uniqueId val="{00000001-1F75-42E7-A42C-5FDAA5C5E0AB}"/>
            </c:ext>
          </c:extLst>
        </c:ser>
        <c:ser>
          <c:idx val="2"/>
          <c:order val="2"/>
          <c:tx>
            <c:strRef>
              <c:f>Unaffordablerent1!$A$5</c:f>
              <c:strCache>
                <c:ptCount val="1"/>
                <c:pt idx="0">
                  <c:v>Mixed families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Unaffordablerent1!$B$2:$M$2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Unaffordablerent1!$B$5:$M$5</c:f>
              <c:numCache>
                <c:formatCode>0.0%</c:formatCode>
                <c:ptCount val="12"/>
                <c:pt idx="0">
                  <c:v>0.11280855932615999</c:v>
                </c:pt>
                <c:pt idx="1">
                  <c:v>0.13587839834515367</c:v>
                </c:pt>
                <c:pt idx="2">
                  <c:v>9.9379800122111894E-2</c:v>
                </c:pt>
                <c:pt idx="3">
                  <c:v>9.5925630101388021E-2</c:v>
                </c:pt>
                <c:pt idx="4">
                  <c:v>0.10685180452622312</c:v>
                </c:pt>
                <c:pt idx="5">
                  <c:v>0.10289467546314808</c:v>
                </c:pt>
                <c:pt idx="6">
                  <c:v>5.9989932684216853E-2</c:v>
                </c:pt>
                <c:pt idx="7">
                  <c:v>0.12542266883773456</c:v>
                </c:pt>
                <c:pt idx="8">
                  <c:v>0.10447330447330447</c:v>
                </c:pt>
                <c:pt idx="9">
                  <c:v>0.10198792435634541</c:v>
                </c:pt>
                <c:pt idx="10">
                  <c:v>0.18023501352049343</c:v>
                </c:pt>
                <c:pt idx="11">
                  <c:v>0.18181392567857221</c:v>
                </c:pt>
              </c:numCache>
            </c:numRef>
          </c:val>
          <c:smooth val="0"/>
          <c:extLst>
            <c:ext xmlns:c16="http://schemas.microsoft.com/office/drawing/2014/chart" uri="{C3380CC4-5D6E-409C-BE32-E72D297353CC}">
              <c16:uniqueId val="{00000002-1F75-42E7-A42C-5FDAA5C5E0AB}"/>
            </c:ext>
          </c:extLst>
        </c:ser>
        <c:dLbls>
          <c:showLegendKey val="0"/>
          <c:showVal val="0"/>
          <c:showCatName val="0"/>
          <c:showSerName val="0"/>
          <c:showPercent val="0"/>
          <c:showBubbleSize val="0"/>
        </c:dLbls>
        <c:marker val="1"/>
        <c:smooth val="0"/>
        <c:axId val="511447608"/>
        <c:axId val="511442688"/>
      </c:lineChart>
      <c:catAx>
        <c:axId val="51144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2688"/>
        <c:crosses val="autoZero"/>
        <c:auto val="1"/>
        <c:lblAlgn val="ctr"/>
        <c:lblOffset val="100"/>
        <c:noMultiLvlLbl val="0"/>
      </c:catAx>
      <c:valAx>
        <c:axId val="511442688"/>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447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withinLinear" id="14">
  <a:schemeClr val="accent1"/>
</cs:colorStyle>
</file>

<file path=word/charts/colors4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Eco07</b:Tag>
    <b:SourceType>Report</b:SourceType>
    <b:Guid>{D6FCA0FC-B67A-420B-BA99-2F75F4473356}</b:Guid>
    <b:Author>
      <b:Author>
        <b:Corporate>Economic Commission for Europe</b:Corporate>
      </b:Author>
    </b:Author>
    <b:Title>Country Profiles on the Housing Sector – Georgia</b:Title>
    <b:Year>2007</b:Year>
    <b:Publisher>United Nations</b:Publisher>
    <b:City>Geneva</b:City>
    <b:RefOrder>10</b:RefOrder>
  </b:Source>
  <b:Source>
    <b:Tag>JAn</b:Tag>
    <b:SourceType>JournalArticle</b:SourceType>
    <b:Guid>{E492A839-1049-492C-80BD-84F246F1AEFE}</b:Guid>
    <b:Title>Economic Prosperity and Housing Affordability in the United States: Lessons from Booming 1990s</b:Title>
    <b:Author>
      <b:Author>
        <b:NameList>
          <b:Person>
            <b:Last>Anthony</b:Last>
            <b:First>J.</b:First>
          </b:Person>
        </b:NameList>
      </b:Author>
    </b:Author>
    <b:JournalName>Housing Policy Debate</b:JournalName>
    <b:Year>2018</b:Year>
    <b:RefOrder>9</b:RefOrder>
  </b:Source>
  <b:Source>
    <b:Tag>Car04</b:Tag>
    <b:SourceType>JournalArticle</b:SourceType>
    <b:Guid>{C7F13B70-6841-47DE-918D-033E85F1779A}</b:Guid>
    <b:Author>
      <b:Author>
        <b:NameList>
          <b:Person>
            <b:Last>Carol S. Cohen</b:Last>
            <b:First>Elizabhet</b:First>
            <b:Middle>Mulroy, Tanya Tull, Catherine White, Sheila Crowley</b:Middle>
          </b:Person>
        </b:NameList>
      </b:Author>
    </b:Author>
    <b:Title>Husing Plus Services: Supporting Vulnerable Families in Permanent Housing</b:Title>
    <b:JournalName>Child Welfare</b:JournalName>
    <b:Year>2004</b:Year>
    <b:RefOrder>11</b:RefOrder>
  </b:Source>
  <b:Source>
    <b:Tag>BOF19</b:Tag>
    <b:SourceType>JournalArticle</b:SourceType>
    <b:Guid>{E4DB4969-81EA-4874-AF31-B0D4209859C5}</b:Guid>
    <b:Title>Homelessness research: A guide for economists (and friends)</b:Title>
    <b:JournalName>Journal of Housing Economics</b:JournalName>
    <b:Year>2019</b:Year>
    <b:Pages>1-25</b:Pages>
    <b:Author>
      <b:Author>
        <b:NameList>
          <b:Person>
            <b:Last>O'Flaherty</b:Last>
            <b:First>B.</b:First>
          </b:Person>
        </b:NameList>
      </b:Author>
    </b:Author>
    <b:RefOrder>3</b:RefOrder>
  </b:Source>
  <b:Source>
    <b:Tag>JMu07</b:Tag>
    <b:SourceType>JournalArticle</b:SourceType>
    <b:Guid>{8F03C2D0-3384-4898-9AB1-0801236C531D}</b:Guid>
    <b:Author>
      <b:Author>
        <b:NameList>
          <b:Person>
            <b:Last>Munnery</b:Last>
            <b:First>J.</b:First>
          </b:Person>
        </b:NameList>
      </b:Author>
    </b:Author>
    <b:Title>Approaches to Homelessness Policy in Europe, the United States, and Australia</b:Title>
    <b:JournalName>Journal of Social Issues</b:JournalName>
    <b:Year>2007</b:Year>
    <b:Pages>641-655</b:Pages>
    <b:RefOrder>4</b:RefOrder>
  </b:Source>
  <b:Source>
    <b:Tag>NSw18</b:Tag>
    <b:SourceType>Report</b:SourceType>
    <b:Guid>{E48BC769-7230-4518-8CD4-19A27A47089C}</b:Guid>
    <b:Title>The Efefct of Homelessness on Employment Entry and Exists: Evidence from the Journays Home Survey</b:Title>
    <b:Year>2018</b:Year>
    <b:Author>
      <b:Author>
        <b:NameList>
          <b:Person>
            <b:Last>Swami</b:Last>
            <b:First>N.</b:First>
          </b:Person>
        </b:NameList>
      </b:Author>
    </b:Author>
    <b:Publisher>University of Melbourne</b:Publisher>
    <b:City>Melbourne</b:City>
    <b:RefOrder>5</b:RefOrder>
  </b:Source>
  <b:Source>
    <b:Tag>She03</b:Tag>
    <b:SourceType>JournalArticle</b:SourceType>
    <b:Guid>{0D720EEF-3802-4625-8CAD-E9A99F27081D}</b:Guid>
    <b:Author>
      <b:Author>
        <b:NameList>
          <b:Person>
            <b:Last>Crowley</b:Last>
            <b:First>Sheila</b:First>
          </b:Person>
        </b:NameList>
      </b:Author>
    </b:Author>
    <b:Title>The Affordable Housing Crisis: Residential Mobility of Poor Families and School Mobility of Poor Children </b:Title>
    <b:JournalName>The Journal of Negro Education</b:JournalName>
    <b:Year>2003</b:Year>
    <b:Pages>22-38</b:Pages>
    <b:RefOrder>6</b:RefOrder>
  </b:Source>
  <b:Source>
    <b:Tag>Eli07</b:Tag>
    <b:SourceType>JournalArticle</b:SourceType>
    <b:Guid>{63D74108-BEBB-437A-B405-6CE3A034CF2A}</b:Guid>
    <b:Author>
      <b:Author>
        <b:NameList>
          <b:Person>
            <b:Last>Elizabeth J. Muller</b:Last>
            <b:First>J,</b:First>
            <b:Middle>Rosie Tighie</b:Middle>
          </b:Person>
        </b:NameList>
      </b:Author>
    </b:Author>
    <b:Title>Making the Case for Affordable Housing: Connecting Housing with Health and Education Autcomes</b:Title>
    <b:JournalName>Journal of Planning Literature</b:JournalName>
    <b:Year>2007</b:Year>
    <b:RefOrder>8</b:RefOrder>
  </b:Source>
  <b:Source>
    <b:Tag>Wor15</b:Tag>
    <b:SourceType>Report</b:SourceType>
    <b:Guid>{B369A0A8-6C30-44EB-8F23-165E1DAA9762}</b:Guid>
    <b:Author>
      <b:Author>
        <b:Corporate>World Bank</b:Corporate>
      </b:Author>
    </b:Author>
    <b:Title>Georga Urban Strategy. Priority Area IV: Housing</b:Title>
    <b:Year>2015</b:Year>
    <b:City>Tbilisi</b:City>
    <b:Publisher>World Bank Group</b:Publisher>
    <b:RefOrder>7</b:RefOrder>
  </b:Source>
  <b:Source>
    <b:Tag>Swi15</b:Tag>
    <b:SourceType>Report</b:SourceType>
    <b:Guid>{C4ADD6B6-98D5-4FFD-9FA8-5600ADF7A6D0}</b:Guid>
    <b:Author>
      <b:Author>
        <b:Corporate>Swiss Agency for Developmen Cooperation (SDC)</b:Corporate>
      </b:Author>
    </b:Author>
    <b:Title>Social Housing -– Georgian Reality in International Context</b:Title>
    <b:Year>2015</b:Year>
    <b:Publisher>SDC</b:Publisher>
    <b:City>Tbilisi</b:City>
    <b:RefOrder>2</b:RefOrder>
  </b:Source>
  <b:Source>
    <b:Tag>She031</b:Tag>
    <b:SourceType>JournalArticle</b:SourceType>
    <b:Guid>{A8F29345-9A02-44C4-89C0-0FD4BC3656C7}</b:Guid>
    <b:Title>The Affordable Housing Crisis: Residential Mobility of Poor Families and School Mobility of Poor Children </b:Title>
    <b:Year>2003</b:Year>
    <b:Author>
      <b:Author>
        <b:NameList>
          <b:Person>
            <b:Last>Crowley</b:Last>
            <b:First>Sheila</b:First>
          </b:Person>
        </b:NameList>
      </b:Author>
    </b:Author>
    <b:JournalName>Jounral of Negro Education</b:JournalName>
    <b:Pages>22-38</b:Pages>
    <b:RefOrder>14</b:RefOrder>
  </b:Source>
  <b:Source>
    <b:Tag>Sheila03</b:Tag>
    <b:SourceType>JournalArticle</b:SourceType>
    <b:Guid>{679AA77F-5E14-467B-973A-AFEA49B4D750}</b:Guid>
    <b:Author>
      <b:Author>
        <b:NameList>
          <b:Person>
            <b:Last>Crowley</b:Last>
            <b:First>Sheila</b:First>
          </b:Person>
        </b:NameList>
      </b:Author>
    </b:Author>
    <b:Title>The affordable housing crisis: residential mobility of poor families and school mobility of poor children</b:Title>
    <b:JournalName>Journal of Negro Education</b:JournalName>
    <b:Year>2003</b:Year>
    <b:Pages>22-38</b:Pages>
    <b:RefOrder>15</b:RefOrder>
  </b:Source>
  <b:Source>
    <b:Tag>Geo14</b:Tag>
    <b:SourceType>Report</b:SourceType>
    <b:Guid>{4D062BBC-D347-4C9C-A365-F0BB8F1C0284}</b:Guid>
    <b:Title>State Policy in Providing Housing for IDPs</b:Title>
    <b:Year>2014</b:Year>
    <b:Author>
      <b:Author>
        <b:Corporate>Georgian Young Lawyers Association</b:Corporate>
      </b:Author>
    </b:Author>
    <b:Publisher>Georgian Young Lawyers Association</b:Publisher>
    <b:City>Tbilisi</b:City>
    <b:RefOrder>12</b:RefOrder>
  </b:Source>
  <b:Source>
    <b:Tag>Hum16</b:Tag>
    <b:SourceType>Report</b:SourceType>
    <b:Guid>{3F38897A-4533-4285-8D60-B42FF5417D4A}</b:Guid>
    <b:Author>
      <b:Author>
        <b:Corporate>Human Rights Education and Monitoring Center</b:Corporate>
      </b:Author>
    </b:Author>
    <b:Title>Homelessness. Analyses of State Policies</b:Title>
    <b:Year>2016</b:Year>
    <b:Publisher>Open Society Georgia Foundation</b:Publisher>
    <b:City>Tbilisi</b:City>
    <b:RefOrder>1</b:RefOrder>
  </b:Source>
  <b:Source>
    <b:Tag>Segnaposto1</b:Tag>
    <b:SourceType>Report</b:SourceType>
    <b:Guid>{A25E6EF6-1DB0-40A2-82FE-C0157645C19C}</b:Guid>
    <b:Author>
      <b:Author>
        <b:Corporate>Human Rights Education and Monitoring Center</b:Corporate>
      </b:Author>
    </b:Author>
    <b:Title>Homelessness. Analyses of State Policies</b:Title>
    <b:Year>2016</b:Year>
    <b:Publisher>Open Society Georgia Foundation</b:Publisher>
    <b:City>Tbilisi</b:City>
    <b:RefOrder>13</b:RefOrder>
  </b:Source>
</b:Sources>
</file>

<file path=customXml/itemProps1.xml><?xml version="1.0" encoding="utf-8"?>
<ds:datastoreItem xmlns:ds="http://schemas.openxmlformats.org/officeDocument/2006/customXml" ds:itemID="{FFB5F46F-DC1C-4F7D-8556-827FBF463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87</Pages>
  <Words>20543</Words>
  <Characters>117096</Characters>
  <Application>Microsoft Office Word</Application>
  <DocSecurity>0</DocSecurity>
  <Lines>975</Lines>
  <Paragraphs>274</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137365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Mariam Chachava</dc:creator>
  <cp:keywords/>
  <dc:description/>
  <cp:lastModifiedBy>Marika Gorgadze</cp:lastModifiedBy>
  <cp:revision>2</cp:revision>
  <cp:lastPrinted>2019-07-22T09:48:00Z</cp:lastPrinted>
  <dcterms:created xsi:type="dcterms:W3CDTF">2019-10-23T12:35:00Z</dcterms:created>
  <dcterms:modified xsi:type="dcterms:W3CDTF">2019-10-23T12:35:00Z</dcterms:modified>
</cp:coreProperties>
</file>