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82" w:rsidRPr="00F0248B" w:rsidRDefault="00484F82" w:rsidP="00484F82">
      <w:pPr>
        <w:jc w:val="right"/>
        <w:rPr>
          <w:rFonts w:ascii="Sylfaen" w:hAnsi="Sylfaen"/>
          <w:i/>
          <w:u w:val="single"/>
          <w:lang w:val="ka-GE"/>
        </w:rPr>
      </w:pPr>
      <w:r w:rsidRPr="00F0248B">
        <w:rPr>
          <w:rFonts w:ascii="Sylfaen" w:hAnsi="Sylfaen" w:cs="Sylfaen"/>
          <w:i/>
          <w:u w:val="single"/>
          <w:lang w:val="ka-GE"/>
        </w:rPr>
        <w:t>პროექტი</w:t>
      </w:r>
    </w:p>
    <w:p w:rsidR="00484F82" w:rsidRPr="00F0248B" w:rsidRDefault="00484F82" w:rsidP="00484F82">
      <w:pPr>
        <w:spacing w:after="0"/>
        <w:ind w:firstLine="720"/>
        <w:jc w:val="center"/>
        <w:rPr>
          <w:rFonts w:ascii="Sylfaen" w:hAnsi="Sylfaen"/>
          <w:b/>
          <w:lang w:val="ka-GE"/>
        </w:rPr>
      </w:pPr>
      <w:r w:rsidRPr="00F0248B">
        <w:rPr>
          <w:rFonts w:ascii="Sylfaen" w:hAnsi="Sylfaen" w:cs="Sylfaen"/>
          <w:b/>
          <w:lang w:val="ka-GE"/>
        </w:rPr>
        <w:t>საქართველოს</w:t>
      </w:r>
      <w:r w:rsidRPr="00F0248B">
        <w:rPr>
          <w:rFonts w:ascii="Sylfaen" w:hAnsi="Sylfaen"/>
          <w:b/>
          <w:lang w:val="ka-GE"/>
        </w:rPr>
        <w:t xml:space="preserve"> </w:t>
      </w:r>
      <w:r w:rsidRPr="00F0248B">
        <w:rPr>
          <w:rFonts w:ascii="Sylfaen" w:hAnsi="Sylfaen" w:cs="Sylfaen"/>
          <w:b/>
          <w:lang w:val="ka-GE"/>
        </w:rPr>
        <w:t>კანონი</w:t>
      </w:r>
    </w:p>
    <w:p w:rsidR="00484F82" w:rsidRPr="00F0248B" w:rsidRDefault="00484F82" w:rsidP="00484F82">
      <w:pPr>
        <w:spacing w:after="0"/>
        <w:ind w:firstLine="720"/>
        <w:jc w:val="center"/>
        <w:rPr>
          <w:rFonts w:ascii="Sylfaen" w:hAnsi="Sylfaen" w:cs="Sylfaen"/>
          <w:b/>
          <w:lang w:val="ka-GE"/>
        </w:rPr>
      </w:pPr>
    </w:p>
    <w:p w:rsidR="00484F82" w:rsidRPr="00F0248B" w:rsidRDefault="00484F82" w:rsidP="00484F82">
      <w:pPr>
        <w:ind w:firstLine="720"/>
        <w:jc w:val="center"/>
        <w:rPr>
          <w:rFonts w:ascii="Sylfaen" w:hAnsi="Sylfaen"/>
          <w:b/>
          <w:lang w:val="ka-GE"/>
        </w:rPr>
      </w:pPr>
      <w:r w:rsidRPr="00F0248B">
        <w:rPr>
          <w:rFonts w:ascii="Sylfaen" w:hAnsi="Sylfaen" w:cs="Sylfaen"/>
          <w:b/>
          <w:lang w:val="ka-GE"/>
        </w:rPr>
        <w:t>საქართველოს ადმინისტრაციულ სამართალდარღვევათა კოდექსში ცვლილების</w:t>
      </w:r>
      <w:r w:rsidRPr="00F0248B">
        <w:rPr>
          <w:rFonts w:ascii="Sylfaen" w:hAnsi="Sylfaen"/>
          <w:b/>
          <w:lang w:val="ka-GE"/>
        </w:rPr>
        <w:t xml:space="preserve"> </w:t>
      </w:r>
      <w:r w:rsidRPr="00F0248B">
        <w:rPr>
          <w:rFonts w:ascii="Sylfaen" w:hAnsi="Sylfaen" w:cs="Sylfaen"/>
          <w:b/>
          <w:lang w:val="ka-GE"/>
        </w:rPr>
        <w:t>შეტანის</w:t>
      </w:r>
      <w:r w:rsidRPr="00F0248B">
        <w:rPr>
          <w:rFonts w:ascii="Sylfaen" w:hAnsi="Sylfaen"/>
          <w:b/>
          <w:lang w:val="ka-GE"/>
        </w:rPr>
        <w:t xml:space="preserve"> </w:t>
      </w:r>
      <w:r w:rsidRPr="00F0248B">
        <w:rPr>
          <w:rFonts w:ascii="Sylfaen" w:hAnsi="Sylfaen" w:cs="Sylfaen"/>
          <w:b/>
          <w:lang w:val="ka-GE"/>
        </w:rPr>
        <w:t>თაობაზე</w:t>
      </w:r>
    </w:p>
    <w:p w:rsidR="00484F82" w:rsidRPr="00F0248B" w:rsidRDefault="00484F82" w:rsidP="00484F82">
      <w:pPr>
        <w:ind w:firstLine="720"/>
        <w:jc w:val="both"/>
        <w:rPr>
          <w:rFonts w:ascii="Sylfaen" w:hAnsi="Sylfaen"/>
          <w:lang w:val="ka-GE"/>
        </w:rPr>
      </w:pPr>
      <w:r w:rsidRPr="00F0248B">
        <w:rPr>
          <w:rFonts w:ascii="Sylfaen" w:hAnsi="Sylfaen"/>
          <w:lang w:val="ka-GE"/>
        </w:rPr>
        <w:t xml:space="preserve"> </w:t>
      </w:r>
      <w:r w:rsidRPr="00F0248B">
        <w:rPr>
          <w:rFonts w:ascii="Sylfaen" w:hAnsi="Sylfaen" w:cs="Sylfaen"/>
          <w:b/>
          <w:lang w:val="ka-GE"/>
        </w:rPr>
        <w:t>მუხლი</w:t>
      </w:r>
      <w:r w:rsidRPr="00F0248B">
        <w:rPr>
          <w:rFonts w:ascii="Sylfaen" w:hAnsi="Sylfaen"/>
          <w:b/>
          <w:lang w:val="ka-GE"/>
        </w:rPr>
        <w:t xml:space="preserve"> 1.</w:t>
      </w:r>
      <w:r w:rsidRPr="00F0248B">
        <w:rPr>
          <w:rFonts w:ascii="Sylfaen" w:hAnsi="Sylfaen"/>
          <w:lang w:val="ka-GE"/>
        </w:rPr>
        <w:t xml:space="preserve"> </w:t>
      </w:r>
      <w:r w:rsidRPr="00F0248B">
        <w:rPr>
          <w:rFonts w:ascii="Sylfaen" w:hAnsi="Sylfaen" w:cs="Sylfaen"/>
          <w:lang w:val="ka-GE"/>
        </w:rPr>
        <w:t>საქართველოს</w:t>
      </w:r>
      <w:r w:rsidRPr="00F0248B">
        <w:rPr>
          <w:rFonts w:ascii="Sylfaen" w:hAnsi="Sylfaen"/>
          <w:lang w:val="ka-GE"/>
        </w:rPr>
        <w:t xml:space="preserve"> </w:t>
      </w:r>
      <w:r w:rsidR="00C142D3" w:rsidRPr="00F0248B">
        <w:rPr>
          <w:rFonts w:ascii="Sylfaen" w:hAnsi="Sylfaen" w:cs="Sylfaen"/>
          <w:lang w:val="ka-GE"/>
        </w:rPr>
        <w:t>ადმინისტრაციულ სამართალდარღვევათა</w:t>
      </w:r>
      <w:r w:rsidRPr="00F0248B">
        <w:rPr>
          <w:rFonts w:ascii="Sylfaen" w:hAnsi="Sylfaen"/>
          <w:lang w:val="ka-GE"/>
        </w:rPr>
        <w:t xml:space="preserve"> </w:t>
      </w:r>
      <w:r w:rsidRPr="00F0248B">
        <w:rPr>
          <w:rFonts w:ascii="Sylfaen" w:hAnsi="Sylfaen" w:cs="Sylfaen"/>
          <w:lang w:val="ka-GE"/>
        </w:rPr>
        <w:t>კოდექსის</w:t>
      </w:r>
      <w:r w:rsidRPr="00F0248B">
        <w:rPr>
          <w:rFonts w:ascii="Sylfaen" w:hAnsi="Sylfaen"/>
          <w:lang w:val="ka-GE"/>
        </w:rPr>
        <w:t xml:space="preserve"> (</w:t>
      </w:r>
      <w:r w:rsidRPr="00F0248B">
        <w:rPr>
          <w:rFonts w:ascii="Sylfaen" w:hAnsi="Sylfaen" w:cs="Sylfaen"/>
          <w:lang w:val="ka-GE"/>
        </w:rPr>
        <w:t>საქართველოს სსრ უმაღლესი საბჭოს უწყებები, №12, 1984 წელი, მუხ. 421</w:t>
      </w:r>
      <w:r w:rsidRPr="00F0248B">
        <w:rPr>
          <w:rFonts w:ascii="Sylfaen" w:hAnsi="Sylfaen"/>
          <w:lang w:val="ka-GE"/>
        </w:rPr>
        <w:t xml:space="preserve">) </w:t>
      </w:r>
      <w:r w:rsidRPr="00F0248B">
        <w:rPr>
          <w:rFonts w:ascii="Sylfaen" w:hAnsi="Sylfaen" w:cs="Sylfaen"/>
          <w:lang w:val="ka-GE"/>
        </w:rPr>
        <w:t>172-ე მუხლი ჩამოყალიბდეს შემდეგი რედაქციით:</w:t>
      </w:r>
      <w:r w:rsidRPr="00F0248B">
        <w:rPr>
          <w:rFonts w:ascii="Sylfaen" w:hAnsi="Sylfaen"/>
          <w:lang w:val="ka-GE"/>
        </w:rPr>
        <w:t xml:space="preserve"> </w:t>
      </w:r>
    </w:p>
    <w:p w:rsidR="00484F82" w:rsidRPr="00F0248B" w:rsidRDefault="00484F82" w:rsidP="00484F82">
      <w:pPr>
        <w:ind w:firstLine="720"/>
        <w:jc w:val="both"/>
        <w:rPr>
          <w:rFonts w:ascii="Sylfaen" w:hAnsi="Sylfaen"/>
          <w:b/>
          <w:lang w:val="ka-GE"/>
        </w:rPr>
      </w:pPr>
      <w:r w:rsidRPr="00F0248B">
        <w:rPr>
          <w:rFonts w:ascii="Sylfaen" w:hAnsi="Sylfaen"/>
          <w:lang w:val="ka-GE"/>
        </w:rPr>
        <w:t>„</w:t>
      </w:r>
      <w:r w:rsidRPr="00F0248B">
        <w:rPr>
          <w:rFonts w:ascii="Sylfaen" w:hAnsi="Sylfaen"/>
          <w:b/>
          <w:lang w:val="ka-GE"/>
        </w:rPr>
        <w:t>მუხლი 172. მშობლის ან მისი შემცვლელი პირის მიერ არასრულწლოვნის აღზრდისა და სწავლების მოვალეობათა შეუსრულებლობა</w:t>
      </w:r>
    </w:p>
    <w:p w:rsidR="00484F82" w:rsidRPr="00F0248B" w:rsidRDefault="00484F82" w:rsidP="00484F82">
      <w:pPr>
        <w:ind w:firstLine="720"/>
        <w:jc w:val="both"/>
        <w:rPr>
          <w:rFonts w:ascii="Sylfaen" w:hAnsi="Sylfaen"/>
          <w:lang w:val="ka-GE"/>
        </w:rPr>
      </w:pPr>
      <w:r w:rsidRPr="00F0248B">
        <w:rPr>
          <w:rFonts w:ascii="Sylfaen" w:hAnsi="Sylfaen"/>
          <w:lang w:val="ka-GE"/>
        </w:rPr>
        <w:t xml:space="preserve">1. მშობლის ან მისი შემცვლელი პირის მიერ არასრულწლოვნის აღზრდისა და სწავლების ან მის მიმართ სხვა მოვალეობათა შეუსრულებლობა, რაც გამოიხატება არასრულწლოვნის აღზრდის, სწავლების, საცხოვრებლით, საკვებით და ნორმალური განვითარებისთვის საჭირო სხვა პირობებით უზრუნველყოფის მოვალეობათა ბოროტად შეუსრულებლობით, არასრულწლოვნის მიერ ნარკოტიკული ნივთიერების ექიმის დანიშნულების გარეშე მოხმარებით, წვრილმანი ხულიგნობით, ხულიგნობით, ალკოჰოლიანი სასმელის სმით, ცივი იარაღის ტარებით, სქესობრივი თავისუფლებისა და ხელშეუხებლობის წინააღმდეგ მიმართული უკანონო ქმედების ჩადენით, საგანგებო (ექსტრემალური) სამსახურების გამოძახების ერთიანი სატელეფონო ნომრის − „112“-ის − არამიზნობრივი გამოყენებით, აგრეთვე </w:t>
      </w:r>
      <w:r w:rsidR="00F07CBF" w:rsidRPr="00F0248B">
        <w:rPr>
          <w:rFonts w:ascii="Sylfaen" w:hAnsi="Sylfaen"/>
          <w:lang w:val="ka-GE"/>
        </w:rPr>
        <w:t xml:space="preserve">ბავშვთა რეფერირების ცენტრთან </w:t>
      </w:r>
      <w:r w:rsidR="00AE45CF" w:rsidRPr="00F0248B">
        <w:rPr>
          <w:rFonts w:ascii="Sylfaen" w:hAnsi="Sylfaen"/>
          <w:lang w:val="ka-GE"/>
        </w:rPr>
        <w:t xml:space="preserve">ხელშეკრულების გაფორმებაზე უარი ან </w:t>
      </w:r>
      <w:r w:rsidR="00F07CBF" w:rsidRPr="00F0248B">
        <w:rPr>
          <w:rFonts w:ascii="Sylfaen" w:hAnsi="Sylfaen"/>
          <w:lang w:val="ka-GE"/>
        </w:rPr>
        <w:t>გაფორმებული</w:t>
      </w:r>
      <w:r w:rsidRPr="00F0248B">
        <w:rPr>
          <w:rFonts w:ascii="Sylfaen" w:hAnsi="Sylfaen"/>
          <w:lang w:val="ka-GE"/>
        </w:rPr>
        <w:t xml:space="preserve"> ხელშეკრულები</w:t>
      </w:r>
      <w:r w:rsidR="00074D6C" w:rsidRPr="00F0248B">
        <w:rPr>
          <w:rFonts w:ascii="Sylfaen" w:hAnsi="Sylfaen"/>
          <w:lang w:val="ka-GE"/>
        </w:rPr>
        <w:t xml:space="preserve">ს </w:t>
      </w:r>
      <w:r w:rsidR="0076722A">
        <w:rPr>
          <w:rFonts w:ascii="Sylfaen" w:hAnsi="Sylfaen"/>
          <w:lang w:val="ka-GE"/>
        </w:rPr>
        <w:t>დარღვევ</w:t>
      </w:r>
      <w:r w:rsidR="00AE45CF" w:rsidRPr="00F0248B">
        <w:rPr>
          <w:rFonts w:ascii="Sylfaen" w:hAnsi="Sylfaen"/>
          <w:lang w:val="ka-GE"/>
        </w:rPr>
        <w:t>ა</w:t>
      </w:r>
      <w:r w:rsidRPr="00F0248B">
        <w:rPr>
          <w:rFonts w:ascii="Sylfaen" w:hAnsi="Sylfaen"/>
          <w:lang w:val="ka-GE"/>
        </w:rPr>
        <w:t xml:space="preserve">  −</w:t>
      </w:r>
    </w:p>
    <w:p w:rsidR="00484F82" w:rsidRPr="00F0248B" w:rsidRDefault="00484F82" w:rsidP="00484F82">
      <w:pPr>
        <w:ind w:firstLine="720"/>
        <w:jc w:val="both"/>
        <w:rPr>
          <w:rFonts w:ascii="Sylfaen" w:hAnsi="Sylfaen"/>
          <w:lang w:val="ka-GE"/>
        </w:rPr>
      </w:pPr>
      <w:r w:rsidRPr="00F0248B">
        <w:rPr>
          <w:rFonts w:ascii="Sylfaen" w:hAnsi="Sylfaen"/>
          <w:lang w:val="ka-GE"/>
        </w:rPr>
        <w:t>გამოიწვევს მშობლის ან მისი შემცვლელი პირის დაჯარიმებას 100 ლარიდან 300 ლარამდე ოდენობით.</w:t>
      </w:r>
    </w:p>
    <w:p w:rsidR="00484F82" w:rsidRPr="00F0248B" w:rsidRDefault="00484F82" w:rsidP="00484F82">
      <w:pPr>
        <w:ind w:firstLine="720"/>
        <w:jc w:val="both"/>
        <w:rPr>
          <w:rFonts w:ascii="Sylfaen" w:hAnsi="Sylfaen"/>
          <w:lang w:val="ka-GE"/>
        </w:rPr>
      </w:pPr>
      <w:r w:rsidRPr="00F0248B">
        <w:rPr>
          <w:rFonts w:ascii="Sylfaen" w:hAnsi="Sylfaen"/>
          <w:lang w:val="ka-GE"/>
        </w:rPr>
        <w:t>2. ამ მუხლის პირველი ნაწილით გათვალისწინებული სამართალდარღვევის განმეორებით ჩადენა 1 წლის განმავლობაში –</w:t>
      </w:r>
    </w:p>
    <w:p w:rsidR="00484F82" w:rsidRPr="00F0248B" w:rsidRDefault="00484F82" w:rsidP="00484F82">
      <w:pPr>
        <w:ind w:firstLine="720"/>
        <w:jc w:val="both"/>
        <w:rPr>
          <w:rFonts w:ascii="Sylfaen" w:hAnsi="Sylfaen"/>
          <w:lang w:val="ka-GE"/>
        </w:rPr>
      </w:pPr>
      <w:r w:rsidRPr="00F0248B">
        <w:rPr>
          <w:rFonts w:ascii="Sylfaen" w:hAnsi="Sylfaen"/>
          <w:lang w:val="ka-GE"/>
        </w:rPr>
        <w:t>გამოიწვევს მშობლის ან მისი შემცვლელი პირის დაჯარიმებას 500 ლარის ოდენობით.</w:t>
      </w:r>
    </w:p>
    <w:p w:rsidR="00484F82" w:rsidRPr="00F0248B" w:rsidRDefault="00484F82" w:rsidP="00484F82">
      <w:pPr>
        <w:ind w:firstLine="720"/>
        <w:jc w:val="both"/>
        <w:rPr>
          <w:rFonts w:ascii="Sylfaen" w:hAnsi="Sylfaen"/>
          <w:lang w:val="ka-GE"/>
        </w:rPr>
      </w:pPr>
      <w:r w:rsidRPr="00F0248B">
        <w:rPr>
          <w:rFonts w:ascii="Sylfaen" w:hAnsi="Sylfaen"/>
          <w:lang w:val="ka-GE"/>
        </w:rPr>
        <w:t>3. მშობლის ან მისი შემცვლელი პირის მიერ არასრულწლოვნის მიმართ განსაზღვრული მოვალეობის შეუსრულებლობა, რაც გამოიხატება 14 წლამდე არასრულწლოვნის მიერ ტერორიზმის შესახებ ცრუ შეტყობინებით, −</w:t>
      </w:r>
    </w:p>
    <w:p w:rsidR="00484F82" w:rsidRPr="00F0248B" w:rsidRDefault="00484F82" w:rsidP="00484F82">
      <w:pPr>
        <w:ind w:firstLine="720"/>
        <w:jc w:val="both"/>
        <w:rPr>
          <w:rFonts w:ascii="Sylfaen" w:hAnsi="Sylfaen"/>
          <w:lang w:val="ka-GE"/>
        </w:rPr>
      </w:pPr>
      <w:r w:rsidRPr="00F0248B">
        <w:rPr>
          <w:rFonts w:ascii="Sylfaen" w:hAnsi="Sylfaen"/>
          <w:lang w:val="ka-GE"/>
        </w:rPr>
        <w:t>გამოიწვევს მშობლის ან მისი შემცვლელი პირის დაჯარიმებას 1500 ლარის ოდენობით.</w:t>
      </w:r>
    </w:p>
    <w:p w:rsidR="00484F82" w:rsidRPr="00F0248B" w:rsidRDefault="00484F82" w:rsidP="00484F82">
      <w:pPr>
        <w:ind w:firstLine="720"/>
        <w:jc w:val="both"/>
        <w:rPr>
          <w:rFonts w:ascii="Sylfaen" w:hAnsi="Sylfaen"/>
          <w:lang w:val="ka-GE"/>
        </w:rPr>
      </w:pPr>
      <w:r w:rsidRPr="00F0248B">
        <w:rPr>
          <w:rFonts w:ascii="Sylfaen" w:hAnsi="Sylfaen"/>
          <w:lang w:val="ka-GE"/>
        </w:rPr>
        <w:t>4. ამ მუხლის მე-3 ნაწილით გათვალისწინებული სამართალდარღვევის განმეორებით ჩადენა 1 წლის განმავლობაში −</w:t>
      </w:r>
    </w:p>
    <w:p w:rsidR="00484F82" w:rsidRPr="00F0248B" w:rsidRDefault="00484F82" w:rsidP="00484F82">
      <w:pPr>
        <w:ind w:firstLine="720"/>
        <w:jc w:val="both"/>
        <w:rPr>
          <w:rFonts w:ascii="Sylfaen" w:hAnsi="Sylfaen"/>
          <w:lang w:val="ka-GE"/>
        </w:rPr>
      </w:pPr>
      <w:r w:rsidRPr="00F0248B">
        <w:rPr>
          <w:rFonts w:ascii="Sylfaen" w:hAnsi="Sylfaen"/>
          <w:lang w:val="ka-GE"/>
        </w:rPr>
        <w:lastRenderedPageBreak/>
        <w:t>გამოიწვევს მშობლის ან მისი შემცვლელი პირის დაჯარიმებას 2500 ლარის ოდენობით.“</w:t>
      </w:r>
    </w:p>
    <w:p w:rsidR="00484F82" w:rsidRPr="00F0248B" w:rsidRDefault="00484F82" w:rsidP="00484F82">
      <w:pPr>
        <w:ind w:firstLine="720"/>
        <w:jc w:val="both"/>
        <w:rPr>
          <w:rFonts w:ascii="Sylfaen" w:hAnsi="Sylfaen"/>
          <w:lang w:val="ka-GE"/>
        </w:rPr>
      </w:pPr>
    </w:p>
    <w:p w:rsidR="00484F82" w:rsidRPr="00F0248B" w:rsidRDefault="00484F82" w:rsidP="00484F82">
      <w:pPr>
        <w:ind w:firstLine="720"/>
        <w:jc w:val="both"/>
        <w:rPr>
          <w:rFonts w:ascii="Sylfaen" w:hAnsi="Sylfaen"/>
          <w:lang w:val="ka-GE"/>
        </w:rPr>
      </w:pPr>
      <w:r w:rsidRPr="00F0248B">
        <w:rPr>
          <w:rFonts w:ascii="Sylfaen" w:hAnsi="Sylfaen" w:cs="Sylfaen"/>
          <w:b/>
          <w:lang w:val="ka-GE"/>
        </w:rPr>
        <w:t>მუხლი</w:t>
      </w:r>
      <w:r w:rsidRPr="00F0248B">
        <w:rPr>
          <w:rFonts w:ascii="Sylfaen" w:hAnsi="Sylfaen"/>
          <w:b/>
          <w:lang w:val="ka-GE"/>
        </w:rPr>
        <w:t xml:space="preserve"> 2.</w:t>
      </w:r>
      <w:r w:rsidRPr="00F0248B">
        <w:rPr>
          <w:rFonts w:ascii="Sylfaen" w:hAnsi="Sylfaen"/>
          <w:lang w:val="ka-GE"/>
        </w:rPr>
        <w:t xml:space="preserve"> </w:t>
      </w:r>
      <w:r w:rsidRPr="00F0248B">
        <w:rPr>
          <w:rFonts w:ascii="Sylfaen" w:hAnsi="Sylfaen" w:cs="Sylfaen"/>
          <w:lang w:val="ka-GE"/>
        </w:rPr>
        <w:t>ეს</w:t>
      </w:r>
      <w:r w:rsidRPr="00F0248B">
        <w:rPr>
          <w:rFonts w:ascii="Sylfaen" w:hAnsi="Sylfaen"/>
          <w:lang w:val="ka-GE"/>
        </w:rPr>
        <w:t xml:space="preserve"> </w:t>
      </w:r>
      <w:r w:rsidRPr="00F0248B">
        <w:rPr>
          <w:rFonts w:ascii="Sylfaen" w:hAnsi="Sylfaen" w:cs="Sylfaen"/>
          <w:lang w:val="ka-GE"/>
        </w:rPr>
        <w:t>კანონი</w:t>
      </w:r>
      <w:r w:rsidRPr="00F0248B">
        <w:rPr>
          <w:rFonts w:ascii="Sylfaen" w:hAnsi="Sylfaen"/>
          <w:lang w:val="ka-GE"/>
        </w:rPr>
        <w:t xml:space="preserve"> </w:t>
      </w:r>
      <w:r w:rsidRPr="00F0248B">
        <w:rPr>
          <w:rFonts w:ascii="Sylfaen" w:hAnsi="Sylfaen" w:cs="Sylfaen"/>
          <w:lang w:val="ka-GE"/>
        </w:rPr>
        <w:t>ამოქმედდეს</w:t>
      </w:r>
      <w:r w:rsidRPr="00F0248B">
        <w:rPr>
          <w:rFonts w:ascii="Sylfaen" w:hAnsi="Sylfaen"/>
          <w:lang w:val="ka-GE"/>
        </w:rPr>
        <w:t xml:space="preserve"> </w:t>
      </w:r>
      <w:r w:rsidR="0076722A">
        <w:rPr>
          <w:rFonts w:ascii="Sylfaen" w:hAnsi="Sylfaen" w:cs="Sylfaen"/>
        </w:rPr>
        <w:t xml:space="preserve">2019 </w:t>
      </w:r>
      <w:r w:rsidR="0076722A">
        <w:rPr>
          <w:rFonts w:ascii="Sylfaen" w:hAnsi="Sylfaen" w:cs="Sylfaen"/>
          <w:lang w:val="ka-GE"/>
        </w:rPr>
        <w:t>წლის 1 იანვრიდან</w:t>
      </w:r>
      <w:r w:rsidRPr="00F0248B">
        <w:rPr>
          <w:rFonts w:ascii="Sylfaen" w:hAnsi="Sylfaen"/>
          <w:lang w:val="ka-GE"/>
        </w:rPr>
        <w:t>.</w:t>
      </w:r>
    </w:p>
    <w:p w:rsidR="00484F82" w:rsidRPr="00F0248B" w:rsidRDefault="00484F82" w:rsidP="00484F82">
      <w:pPr>
        <w:ind w:firstLine="720"/>
        <w:jc w:val="both"/>
        <w:rPr>
          <w:rFonts w:ascii="Sylfaen" w:hAnsi="Sylfaen"/>
          <w:lang w:val="ka-GE"/>
        </w:rPr>
      </w:pPr>
    </w:p>
    <w:p w:rsidR="00484F82" w:rsidRPr="00F0248B" w:rsidRDefault="00484F82" w:rsidP="00484F82">
      <w:pPr>
        <w:pStyle w:val="abzacixml"/>
        <w:spacing w:before="0" w:beforeAutospacing="0" w:after="200" w:afterAutospacing="0" w:line="276" w:lineRule="auto"/>
        <w:ind w:right="-450"/>
        <w:jc w:val="both"/>
        <w:rPr>
          <w:rFonts w:ascii="Sylfaen" w:hAnsi="Sylfaen"/>
          <w:sz w:val="22"/>
          <w:szCs w:val="22"/>
          <w:lang w:val="ka-GE"/>
        </w:rPr>
      </w:pPr>
      <w:r w:rsidRPr="00F0248B">
        <w:rPr>
          <w:rFonts w:ascii="Sylfaen" w:hAnsi="Sylfaen" w:cs="Sylfaen"/>
          <w:b/>
          <w:sz w:val="22"/>
          <w:szCs w:val="22"/>
          <w:lang w:val="ka-GE"/>
        </w:rPr>
        <w:t>საქართველოს</w:t>
      </w:r>
      <w:r w:rsidRPr="00F0248B">
        <w:rPr>
          <w:rFonts w:ascii="Sylfaen" w:hAnsi="Sylfaen"/>
          <w:b/>
          <w:sz w:val="22"/>
          <w:szCs w:val="22"/>
          <w:lang w:val="ka-GE"/>
        </w:rPr>
        <w:t xml:space="preserve"> </w:t>
      </w:r>
      <w:r w:rsidRPr="00F0248B">
        <w:rPr>
          <w:rFonts w:ascii="Sylfaen" w:hAnsi="Sylfaen" w:cs="Sylfaen"/>
          <w:b/>
          <w:sz w:val="22"/>
          <w:szCs w:val="22"/>
          <w:lang w:val="ka-GE"/>
        </w:rPr>
        <w:t>პრეზიდენტი</w:t>
      </w:r>
      <w:r w:rsidRPr="00F0248B">
        <w:rPr>
          <w:rFonts w:ascii="Sylfaen" w:hAnsi="Sylfaen"/>
          <w:b/>
          <w:sz w:val="22"/>
          <w:szCs w:val="22"/>
          <w:lang w:val="ka-GE"/>
        </w:rPr>
        <w:t xml:space="preserve">                                                                                          </w:t>
      </w:r>
      <w:r w:rsidRPr="00F0248B">
        <w:rPr>
          <w:rFonts w:ascii="Sylfaen" w:hAnsi="Sylfaen" w:cs="Sylfaen"/>
          <w:b/>
          <w:i/>
          <w:sz w:val="22"/>
          <w:szCs w:val="22"/>
          <w:lang w:val="ka-GE"/>
        </w:rPr>
        <w:t>გ</w:t>
      </w:r>
      <w:r w:rsidRPr="00F0248B">
        <w:rPr>
          <w:rFonts w:ascii="Sylfaen" w:hAnsi="Sylfaen"/>
          <w:b/>
          <w:i/>
          <w:sz w:val="22"/>
          <w:szCs w:val="22"/>
          <w:lang w:val="ka-GE"/>
        </w:rPr>
        <w:t xml:space="preserve">. </w:t>
      </w:r>
      <w:r w:rsidRPr="00F0248B">
        <w:rPr>
          <w:rFonts w:ascii="Sylfaen" w:hAnsi="Sylfaen" w:cs="Sylfaen"/>
          <w:b/>
          <w:i/>
          <w:sz w:val="22"/>
          <w:szCs w:val="22"/>
          <w:lang w:val="ka-GE"/>
        </w:rPr>
        <w:t>მარგველაშვილი</w:t>
      </w:r>
    </w:p>
    <w:p w:rsidR="00484F82" w:rsidRPr="00F0248B" w:rsidRDefault="00484F82" w:rsidP="00484F82">
      <w:pPr>
        <w:rPr>
          <w:rFonts w:ascii="Sylfaen" w:hAnsi="Sylfaen" w:cs="Sylfaen"/>
          <w:b/>
          <w:lang w:val="ka-GE"/>
        </w:rPr>
      </w:pPr>
      <w:r w:rsidRPr="00F0248B">
        <w:rPr>
          <w:rFonts w:ascii="Sylfaen" w:hAnsi="Sylfaen" w:cs="Sylfaen"/>
          <w:b/>
          <w:lang w:val="ka-GE"/>
        </w:rPr>
        <w:br w:type="page"/>
      </w:r>
    </w:p>
    <w:p w:rsidR="00484F82" w:rsidRPr="00F0248B" w:rsidRDefault="00484F82" w:rsidP="00484F82">
      <w:pPr>
        <w:jc w:val="center"/>
        <w:rPr>
          <w:rFonts w:ascii="Sylfaen" w:hAnsi="Sylfaen"/>
          <w:b/>
          <w:lang w:val="ka-GE"/>
        </w:rPr>
      </w:pPr>
      <w:r w:rsidRPr="00F0248B">
        <w:rPr>
          <w:rFonts w:ascii="Sylfaen" w:hAnsi="Sylfaen" w:cs="Sylfaen"/>
          <w:b/>
          <w:lang w:val="ka-GE"/>
        </w:rPr>
        <w:lastRenderedPageBreak/>
        <w:t>განმარტებითი</w:t>
      </w:r>
      <w:r w:rsidRPr="00F0248B">
        <w:rPr>
          <w:rFonts w:ascii="Sylfaen" w:hAnsi="Sylfaen"/>
          <w:b/>
          <w:lang w:val="ka-GE"/>
        </w:rPr>
        <w:t xml:space="preserve"> </w:t>
      </w:r>
      <w:r w:rsidRPr="00F0248B">
        <w:rPr>
          <w:rFonts w:ascii="Sylfaen" w:hAnsi="Sylfaen" w:cs="Sylfaen"/>
          <w:b/>
          <w:lang w:val="ka-GE"/>
        </w:rPr>
        <w:t>ბარათი</w:t>
      </w:r>
    </w:p>
    <w:p w:rsidR="00484F82" w:rsidRPr="00F0248B" w:rsidRDefault="00484F82" w:rsidP="00484F82">
      <w:pPr>
        <w:jc w:val="center"/>
        <w:rPr>
          <w:rFonts w:ascii="Sylfaen" w:hAnsi="Sylfaen"/>
          <w:b/>
          <w:lang w:val="ka-GE"/>
        </w:rPr>
      </w:pPr>
      <w:r w:rsidRPr="00F0248B">
        <w:rPr>
          <w:rFonts w:ascii="Sylfaen" w:hAnsi="Sylfaen"/>
          <w:b/>
          <w:lang w:val="ka-GE"/>
        </w:rPr>
        <w:t>„საქართველოს ადმინისტრაციულ სამართალდარღვევათა კოდექსში ცვლილებების შეტანის თაობაზე“</w:t>
      </w:r>
    </w:p>
    <w:p w:rsidR="00484F82" w:rsidRPr="00F0248B" w:rsidRDefault="00484F82" w:rsidP="00484F82">
      <w:pPr>
        <w:jc w:val="center"/>
        <w:rPr>
          <w:rFonts w:ascii="Sylfaen" w:hAnsi="Sylfaen" w:cs="Sylfaen"/>
          <w:b/>
          <w:lang w:val="ka-GE"/>
        </w:rPr>
      </w:pPr>
      <w:r w:rsidRPr="00F0248B">
        <w:rPr>
          <w:rFonts w:ascii="Sylfaen" w:hAnsi="Sylfaen" w:cs="Sylfaen"/>
          <w:b/>
          <w:lang w:val="ka-GE"/>
        </w:rPr>
        <w:t>საქართველოს</w:t>
      </w:r>
      <w:r w:rsidRPr="00F0248B">
        <w:rPr>
          <w:rFonts w:ascii="Sylfaen" w:hAnsi="Sylfaen"/>
          <w:b/>
          <w:lang w:val="ka-GE"/>
        </w:rPr>
        <w:t xml:space="preserve"> </w:t>
      </w:r>
      <w:r w:rsidRPr="00F0248B">
        <w:rPr>
          <w:rFonts w:ascii="Sylfaen" w:hAnsi="Sylfaen" w:cs="Sylfaen"/>
          <w:b/>
          <w:lang w:val="ka-GE"/>
        </w:rPr>
        <w:t>კანონის</w:t>
      </w:r>
      <w:r w:rsidRPr="00F0248B">
        <w:rPr>
          <w:rFonts w:ascii="Sylfaen" w:hAnsi="Sylfaen"/>
          <w:b/>
          <w:lang w:val="ka-GE"/>
        </w:rPr>
        <w:t xml:space="preserve"> </w:t>
      </w:r>
      <w:r w:rsidRPr="00F0248B">
        <w:rPr>
          <w:rFonts w:ascii="Sylfaen" w:hAnsi="Sylfaen" w:cs="Sylfaen"/>
          <w:b/>
          <w:lang w:val="ka-GE"/>
        </w:rPr>
        <w:t>პროექტზე</w:t>
      </w:r>
    </w:p>
    <w:p w:rsidR="00484F82" w:rsidRPr="00F0248B" w:rsidRDefault="00484F82" w:rsidP="00484F82">
      <w:pPr>
        <w:ind w:firstLine="720"/>
        <w:jc w:val="both"/>
        <w:rPr>
          <w:rFonts w:ascii="Sylfaen" w:hAnsi="Sylfaen"/>
          <w:b/>
          <w:bCs/>
          <w:lang w:val="ka-GE"/>
        </w:rPr>
      </w:pPr>
      <w:r w:rsidRPr="00F0248B">
        <w:rPr>
          <w:rFonts w:ascii="Sylfaen" w:hAnsi="Sylfaen"/>
          <w:b/>
          <w:bCs/>
          <w:lang w:val="ka-GE"/>
        </w:rPr>
        <w:t>ა) ზოგადი ინფორმაცია კანონპროექტის შესახებ</w:t>
      </w:r>
    </w:p>
    <w:p w:rsidR="00484F82" w:rsidRPr="00F0248B" w:rsidRDefault="00484F82" w:rsidP="00484F82">
      <w:pPr>
        <w:ind w:firstLine="720"/>
        <w:jc w:val="both"/>
        <w:rPr>
          <w:rFonts w:ascii="Sylfaen" w:hAnsi="Sylfaen"/>
          <w:b/>
          <w:bCs/>
          <w:lang w:val="ka-GE"/>
        </w:rPr>
      </w:pPr>
      <w:r w:rsidRPr="00F0248B">
        <w:rPr>
          <w:rFonts w:ascii="Sylfaen" w:hAnsi="Sylfaen"/>
          <w:b/>
          <w:bCs/>
          <w:lang w:val="ka-GE"/>
        </w:rPr>
        <w:t>ა.ა) კანონპროექტის მიღების მიზეზი:</w:t>
      </w:r>
    </w:p>
    <w:p w:rsidR="00AA409A" w:rsidRPr="00F0248B" w:rsidRDefault="00AA409A" w:rsidP="00F0248B">
      <w:pPr>
        <w:ind w:firstLine="708"/>
        <w:jc w:val="both"/>
        <w:rPr>
          <w:rFonts w:ascii="Sylfaen" w:hAnsi="Sylfaen"/>
          <w:bCs/>
          <w:lang w:val="ka-GE"/>
        </w:rPr>
      </w:pPr>
      <w:r w:rsidRPr="00F0248B">
        <w:rPr>
          <w:rFonts w:ascii="Sylfaen" w:hAnsi="Sylfaen"/>
          <w:bCs/>
          <w:lang w:val="ka-GE"/>
        </w:rPr>
        <w:t>კანონპროექტის მიღების მიზეზია საკანონმდებლო საფუძვლის არარსებობა იმ მშობლისთვის პასუხისმგებლობის დაკისრებისთვის, რომელიც ბავშვთა რეფერირების ცენტრთან ხელშეკრულების გაფორმებაზე უარს ამბობს, არღვევს გაფორმებულ ხელშეკრულებას, ან ხელს უშლის სკოლა-პანსიონში ბავშვის გაგზავნის შესახებ გადაწყვეტილების აღსრულებას.</w:t>
      </w:r>
    </w:p>
    <w:p w:rsidR="00484F82" w:rsidRPr="00F0248B" w:rsidRDefault="00484F82" w:rsidP="00484F82">
      <w:pPr>
        <w:ind w:firstLine="720"/>
        <w:jc w:val="both"/>
        <w:rPr>
          <w:rFonts w:ascii="Sylfaen" w:hAnsi="Sylfaen"/>
          <w:b/>
          <w:bCs/>
          <w:lang w:val="ka-GE"/>
        </w:rPr>
      </w:pPr>
      <w:r w:rsidRPr="00F0248B">
        <w:rPr>
          <w:rFonts w:ascii="Sylfaen" w:hAnsi="Sylfaen" w:cs="Sylfaen"/>
          <w:b/>
          <w:bCs/>
          <w:lang w:val="ka-GE"/>
        </w:rPr>
        <w:t>ა</w:t>
      </w:r>
      <w:r w:rsidRPr="00F0248B">
        <w:rPr>
          <w:rFonts w:ascii="Sylfaen" w:hAnsi="Sylfaen"/>
          <w:b/>
          <w:bCs/>
          <w:lang w:val="ka-GE"/>
        </w:rPr>
        <w:t>.</w:t>
      </w:r>
      <w:r w:rsidRPr="00F0248B">
        <w:rPr>
          <w:rFonts w:ascii="Sylfaen" w:hAnsi="Sylfaen" w:cs="Sylfaen"/>
          <w:b/>
          <w:bCs/>
          <w:lang w:val="ka-GE"/>
        </w:rPr>
        <w:t>ბ</w:t>
      </w:r>
      <w:r w:rsidRPr="00F0248B">
        <w:rPr>
          <w:rFonts w:ascii="Sylfaen" w:hAnsi="Sylfaen"/>
          <w:b/>
          <w:bCs/>
          <w:lang w:val="ka-GE"/>
        </w:rPr>
        <w:t xml:space="preserve">) </w:t>
      </w:r>
      <w:r w:rsidRPr="00F0248B">
        <w:rPr>
          <w:rFonts w:ascii="Sylfaen" w:hAnsi="Sylfaen" w:cs="Sylfaen"/>
          <w:b/>
          <w:bCs/>
          <w:lang w:val="ka-GE"/>
        </w:rPr>
        <w:t>კანონპროექტის</w:t>
      </w:r>
      <w:r w:rsidRPr="00F0248B">
        <w:rPr>
          <w:rFonts w:ascii="Sylfaen" w:hAnsi="Sylfaen"/>
          <w:b/>
          <w:bCs/>
          <w:lang w:val="ka-GE"/>
        </w:rPr>
        <w:t xml:space="preserve"> </w:t>
      </w:r>
      <w:r w:rsidRPr="00F0248B">
        <w:rPr>
          <w:rFonts w:ascii="Sylfaen" w:hAnsi="Sylfaen" w:cs="Sylfaen"/>
          <w:b/>
          <w:bCs/>
          <w:lang w:val="ka-GE"/>
        </w:rPr>
        <w:t>მიზანი</w:t>
      </w:r>
      <w:r w:rsidRPr="00F0248B">
        <w:rPr>
          <w:rFonts w:ascii="Sylfaen" w:hAnsi="Sylfaen"/>
          <w:b/>
          <w:bCs/>
          <w:lang w:val="ka-GE"/>
        </w:rPr>
        <w:t>:</w:t>
      </w:r>
    </w:p>
    <w:p w:rsidR="00AA409A" w:rsidRPr="00F0248B" w:rsidRDefault="00AA409A" w:rsidP="00F0248B">
      <w:pPr>
        <w:ind w:firstLine="708"/>
        <w:jc w:val="both"/>
        <w:rPr>
          <w:rFonts w:ascii="Sylfaen" w:hAnsi="Sylfaen"/>
          <w:bCs/>
          <w:lang w:val="ka-GE"/>
        </w:rPr>
      </w:pPr>
      <w:r w:rsidRPr="00F0248B">
        <w:rPr>
          <w:rFonts w:ascii="Sylfaen" w:hAnsi="Sylfaen"/>
          <w:bCs/>
          <w:lang w:val="ka-GE"/>
        </w:rPr>
        <w:t xml:space="preserve">კანონპროექტის მიზანია საკანონმდებლო საფუძვლის შექმნა იმ მშობლისთვის პასუხისმგებლობის დაკისრებისთვის, რომელიც ბავშვთა რეფერირების ცენტრთან ხელშეკრულების გაფორმებაზე უარს ამბობს </w:t>
      </w:r>
      <w:r w:rsidR="0076722A" w:rsidRPr="00F0248B">
        <w:rPr>
          <w:rFonts w:ascii="Sylfaen" w:hAnsi="Sylfaen"/>
          <w:bCs/>
          <w:lang w:val="ka-GE"/>
        </w:rPr>
        <w:t xml:space="preserve">ან </w:t>
      </w:r>
      <w:r w:rsidRPr="00F0248B">
        <w:rPr>
          <w:rFonts w:ascii="Sylfaen" w:hAnsi="Sylfaen"/>
          <w:bCs/>
          <w:lang w:val="ka-GE"/>
        </w:rPr>
        <w:t>არღვევს გაფორმებულ ხელშეკრულებას.</w:t>
      </w:r>
    </w:p>
    <w:p w:rsidR="00484F82" w:rsidRPr="00F0248B" w:rsidRDefault="00484F82" w:rsidP="00484F82">
      <w:pPr>
        <w:ind w:firstLine="709"/>
        <w:jc w:val="both"/>
        <w:rPr>
          <w:rFonts w:ascii="Sylfaen" w:hAnsi="Sylfaen" w:cs="Sylfaen"/>
          <w:b/>
          <w:bCs/>
          <w:lang w:val="ka-GE"/>
        </w:rPr>
      </w:pPr>
      <w:r w:rsidRPr="00F0248B">
        <w:rPr>
          <w:rFonts w:ascii="Sylfaen" w:hAnsi="Sylfaen" w:cs="Sylfaen"/>
          <w:b/>
          <w:bCs/>
          <w:lang w:val="ka-GE"/>
        </w:rPr>
        <w:t>ა.გ) კანონპროექტის ძირითადი არსი:</w:t>
      </w:r>
    </w:p>
    <w:p w:rsidR="00AA409A" w:rsidRPr="00F0248B" w:rsidRDefault="00AA409A" w:rsidP="00F0248B">
      <w:pPr>
        <w:ind w:firstLine="708"/>
        <w:jc w:val="both"/>
        <w:rPr>
          <w:rFonts w:ascii="Sylfaen" w:hAnsi="Sylfaen" w:cs="Sylfaen"/>
          <w:bCs/>
          <w:lang w:val="ka-GE"/>
        </w:rPr>
      </w:pPr>
      <w:r w:rsidRPr="00F0248B">
        <w:rPr>
          <w:rFonts w:ascii="Sylfaen" w:hAnsi="Sylfaen" w:cs="Sylfaen"/>
          <w:bCs/>
          <w:lang w:val="ka-GE"/>
        </w:rPr>
        <w:t>კანონპროექტის თანახმად მშობლის ან მისი შემცვლელი პირის მიერ ბავშვთა რეფერირების ცენტრთან ხელშეკრულების გაფორმებაზე უარი ან გაფორმებული ხელშეკრულების დარღვევა</w:t>
      </w:r>
      <w:r w:rsidR="0076722A">
        <w:rPr>
          <w:rFonts w:ascii="Sylfaen" w:hAnsi="Sylfaen" w:cs="Sylfaen"/>
          <w:bCs/>
          <w:lang w:val="ka-GE"/>
        </w:rPr>
        <w:t xml:space="preserve"> </w:t>
      </w:r>
      <w:r w:rsidRPr="00F0248B">
        <w:rPr>
          <w:rFonts w:ascii="Sylfaen" w:hAnsi="Sylfaen" w:cs="Sylfaen"/>
          <w:bCs/>
          <w:lang w:val="ka-GE"/>
        </w:rPr>
        <w:t xml:space="preserve">გამოიწვევს მშობლის ან მისი შემცვლელი პირის დაჯარიმებას 100 ლარიდან 300 ლარამდე ოდენობით. იგივე ქმედების განმეორებით ჩადენა 1 წლის განმავლობაში გამოიწვევს მშობლის ან მისი შემცვლელი პირის დაჯარიმებას 500 ლარის ოდენობით. </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t>ბ) კანონპროექტის ფინანსური დასაბუთება</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t>ბ.ა) კანონპროექტის მიღებასთან დაკავშირებული აუცილებელი ხარჯების დაფინანსების წყარო</w:t>
      </w:r>
    </w:p>
    <w:p w:rsidR="00484F82" w:rsidRPr="00F0248B" w:rsidRDefault="00484F82" w:rsidP="00484F82">
      <w:pPr>
        <w:ind w:firstLine="720"/>
        <w:jc w:val="both"/>
        <w:rPr>
          <w:rFonts w:ascii="Sylfaen" w:hAnsi="Sylfaen" w:cs="AcadNusx"/>
          <w:b/>
          <w:bCs/>
          <w:lang w:val="ka-GE"/>
        </w:rPr>
      </w:pPr>
      <w:r w:rsidRPr="00F0248B">
        <w:rPr>
          <w:rFonts w:ascii="Sylfaen" w:hAnsi="Sylfaen" w:cs="AcadNusx"/>
          <w:lang w:val="ka-GE"/>
        </w:rPr>
        <w:t>კანონპროექტის მიღება არ გამოიწვევს 2018 წლის სახელმწიფო ბიუჯეტიდან ხარჯების გამოყოფას.</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t>ბ.ბ) კანონპროექტის გავლენა ბიუჯეტის საშემოსავლო ნაწილზე</w:t>
      </w:r>
    </w:p>
    <w:p w:rsidR="00484F82" w:rsidRPr="00F0248B" w:rsidRDefault="00484F82" w:rsidP="00484F82">
      <w:pPr>
        <w:ind w:firstLine="720"/>
        <w:jc w:val="both"/>
        <w:rPr>
          <w:rFonts w:ascii="Sylfaen" w:hAnsi="Sylfaen" w:cs="AcadNusx"/>
          <w:lang w:val="ka-GE"/>
        </w:rPr>
      </w:pPr>
      <w:r w:rsidRPr="00F0248B">
        <w:rPr>
          <w:rFonts w:ascii="Sylfaen" w:hAnsi="Sylfaen" w:cs="AcadNusx"/>
          <w:lang w:val="ka-GE"/>
        </w:rPr>
        <w:t xml:space="preserve">კანონპროექტის მიღება არ გამოიწვევს სახელმწიფო ბიუჯეტის საშემოსავლო ნაწილის ცვლილებას. </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lastRenderedPageBreak/>
        <w:t>ბ.გ) კანონპროექტის გავლენა ბიუჯეტის ხარჯვით ნაწილზე</w:t>
      </w:r>
    </w:p>
    <w:p w:rsidR="00484F82" w:rsidRPr="00F0248B" w:rsidRDefault="00484F82" w:rsidP="00484F82">
      <w:pPr>
        <w:ind w:firstLine="720"/>
        <w:jc w:val="both"/>
        <w:rPr>
          <w:rFonts w:ascii="Sylfaen" w:hAnsi="Sylfaen" w:cs="AcadNusx"/>
          <w:lang w:val="ka-GE"/>
        </w:rPr>
      </w:pPr>
      <w:r w:rsidRPr="00F0248B">
        <w:rPr>
          <w:rFonts w:ascii="Sylfaen" w:hAnsi="Sylfaen" w:cs="AcadNusx"/>
          <w:lang w:val="ka-GE"/>
        </w:rPr>
        <w:t xml:space="preserve">კანონპროექტის მიღება არ გამოიწვევს 2018 წლის სახელმწიფო ბიუჯეტის ხარჯვითი ნაწილის ცვლილებას. </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t>ბ.დ) სახელმწიფოს ახალი ფინანსური ვალდებულებები</w:t>
      </w:r>
    </w:p>
    <w:p w:rsidR="00484F82" w:rsidRPr="00F0248B" w:rsidRDefault="00484F82" w:rsidP="00484F82">
      <w:pPr>
        <w:ind w:firstLine="720"/>
        <w:jc w:val="both"/>
        <w:rPr>
          <w:rFonts w:ascii="Sylfaen" w:hAnsi="Sylfaen" w:cs="AcadNusx"/>
          <w:lang w:val="ka-GE"/>
        </w:rPr>
      </w:pPr>
      <w:r w:rsidRPr="00F0248B">
        <w:rPr>
          <w:rFonts w:ascii="Sylfaen" w:hAnsi="Sylfaen" w:cs="AcadNusx"/>
          <w:lang w:val="ka-GE"/>
        </w:rPr>
        <w:t>კანონპროექტის მიღება არ ითვალისწინებს სახელმწიფოს მიერ ახალი ფინანსური ვალდებულებების აღებას.</w:t>
      </w:r>
    </w:p>
    <w:p w:rsidR="00484F82" w:rsidRPr="00F0248B" w:rsidRDefault="00484F82" w:rsidP="00484F82">
      <w:pPr>
        <w:ind w:firstLine="720"/>
        <w:jc w:val="both"/>
        <w:rPr>
          <w:rFonts w:ascii="Sylfaen" w:hAnsi="Sylfaen"/>
          <w:b/>
          <w:lang w:val="ka-GE"/>
        </w:rPr>
      </w:pPr>
      <w:r w:rsidRPr="00F0248B">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484F82" w:rsidRPr="00F0248B" w:rsidRDefault="00484F82" w:rsidP="00484F82">
      <w:pPr>
        <w:ind w:firstLine="720"/>
        <w:jc w:val="both"/>
        <w:rPr>
          <w:rFonts w:ascii="Sylfaen" w:hAnsi="Sylfaen"/>
          <w:lang w:val="ka-GE"/>
        </w:rPr>
      </w:pPr>
      <w:r w:rsidRPr="00F0248B">
        <w:rPr>
          <w:rFonts w:ascii="Sylfaen" w:hAnsi="Sylfaen" w:cs="AcadNusx"/>
          <w:lang w:val="ka-GE"/>
        </w:rPr>
        <w:t xml:space="preserve">კანონპროექტის მიღება </w:t>
      </w:r>
      <w:r w:rsidRPr="00F0248B">
        <w:rPr>
          <w:rFonts w:ascii="Sylfaen" w:hAnsi="Sylfaen"/>
          <w:lang w:val="ka-GE"/>
        </w:rPr>
        <w:t xml:space="preserve">არ იწვევს ფინანსურ შედეგებს. </w:t>
      </w:r>
    </w:p>
    <w:p w:rsidR="00484F82" w:rsidRPr="00F0248B" w:rsidRDefault="00484F82" w:rsidP="00484F82">
      <w:pPr>
        <w:ind w:firstLine="720"/>
        <w:jc w:val="both"/>
        <w:rPr>
          <w:rFonts w:ascii="Sylfaen" w:hAnsi="Sylfaen"/>
          <w:b/>
          <w:lang w:val="ka-GE"/>
        </w:rPr>
      </w:pPr>
      <w:r w:rsidRPr="00F0248B">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პრინციპი:</w:t>
      </w:r>
    </w:p>
    <w:p w:rsidR="00484F82" w:rsidRPr="00F0248B" w:rsidRDefault="00484F82" w:rsidP="00484F82">
      <w:pPr>
        <w:ind w:firstLine="720"/>
        <w:jc w:val="both"/>
        <w:rPr>
          <w:rFonts w:ascii="Sylfaen" w:hAnsi="Sylfaen"/>
          <w:lang w:val="ka-GE"/>
        </w:rPr>
      </w:pPr>
      <w:r w:rsidRPr="00F0248B">
        <w:rPr>
          <w:rFonts w:ascii="Sylfaen" w:hAnsi="Sylfaen"/>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t>გ) კანონპროექტის მიმართება საერთაშორისო სამართლებრივ   სტანდარტებთან</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t>გ.ა) კანონპროექტის მიმართება ევროკავშირის დირექტივებთან</w:t>
      </w:r>
    </w:p>
    <w:p w:rsidR="00484F82" w:rsidRPr="00F0248B" w:rsidRDefault="00484F82" w:rsidP="00484F82">
      <w:pPr>
        <w:ind w:firstLine="720"/>
        <w:jc w:val="both"/>
        <w:rPr>
          <w:rFonts w:ascii="Sylfaen" w:hAnsi="Sylfaen" w:cs="AcadNusx"/>
          <w:lang w:val="ka-GE"/>
        </w:rPr>
      </w:pPr>
      <w:r w:rsidRPr="00F0248B">
        <w:rPr>
          <w:rFonts w:ascii="Sylfaen" w:hAnsi="Sylfaen" w:cs="AcadNusx"/>
          <w:lang w:val="ka-GE"/>
        </w:rPr>
        <w:t>კანონპროექტი არ ეწინააღმდეგება ევროკავშირის დირექტივებს.</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484F82" w:rsidRPr="00F0248B" w:rsidRDefault="00484F82" w:rsidP="00484F82">
      <w:pPr>
        <w:ind w:firstLine="720"/>
        <w:jc w:val="both"/>
        <w:rPr>
          <w:rFonts w:ascii="Sylfaen" w:hAnsi="Sylfaen" w:cs="AcadNusx"/>
          <w:lang w:val="ka-GE"/>
        </w:rPr>
      </w:pPr>
      <w:r w:rsidRPr="00F0248B">
        <w:rPr>
          <w:rFonts w:ascii="Sylfaen" w:hAnsi="Sylfaen" w:cs="AcadNusx"/>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t>გ.გ) კანონპროექტის მიმართება საქართველოს ორმხრივ და მრავალმხრივ ხელშეკრულებებთან</w:t>
      </w:r>
    </w:p>
    <w:p w:rsidR="00484F82" w:rsidRPr="00F0248B" w:rsidRDefault="00484F82" w:rsidP="00484F82">
      <w:pPr>
        <w:ind w:firstLine="720"/>
        <w:jc w:val="both"/>
        <w:rPr>
          <w:rFonts w:ascii="Sylfaen" w:hAnsi="Sylfaen" w:cs="AcadNusx"/>
          <w:bCs/>
          <w:lang w:val="ka-GE"/>
        </w:rPr>
      </w:pPr>
      <w:r w:rsidRPr="00F0248B">
        <w:rPr>
          <w:rFonts w:ascii="Sylfaen" w:hAnsi="Sylfaen" w:cs="AcadNusx"/>
          <w:lang w:val="ka-GE"/>
        </w:rPr>
        <w:t xml:space="preserve">კანონპროექტი არ ეწინააღმდეგება </w:t>
      </w:r>
      <w:r w:rsidRPr="00F0248B">
        <w:rPr>
          <w:rFonts w:ascii="Sylfaen" w:hAnsi="Sylfaen" w:cs="AcadNusx"/>
          <w:bCs/>
          <w:lang w:val="ka-GE"/>
        </w:rPr>
        <w:t xml:space="preserve">საქართველოს ორმხრივ და მრავალმხრივ ხელშეკრულებებს. </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t>დ) კანონპროექტის მომზადების პროცესში მიღებული კონსულტაციები</w:t>
      </w:r>
      <w:r w:rsidRPr="00F0248B">
        <w:rPr>
          <w:rFonts w:ascii="Sylfaen" w:hAnsi="Sylfaen" w:cs="AcadNusx"/>
          <w:b/>
          <w:bCs/>
          <w:lang w:val="ka-GE"/>
        </w:rPr>
        <w:tab/>
      </w:r>
    </w:p>
    <w:p w:rsidR="00484F82" w:rsidRPr="00F0248B" w:rsidRDefault="00484F82" w:rsidP="00484F82">
      <w:pPr>
        <w:ind w:firstLine="720"/>
        <w:jc w:val="both"/>
        <w:rPr>
          <w:rFonts w:ascii="Sylfaen" w:hAnsi="Sylfaen"/>
          <w:b/>
          <w:lang w:val="ka-GE"/>
        </w:rPr>
      </w:pPr>
      <w:r w:rsidRPr="00F0248B">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w:t>
      </w:r>
    </w:p>
    <w:p w:rsidR="00484F82" w:rsidRPr="00F0248B" w:rsidRDefault="00484F82" w:rsidP="00484F82">
      <w:pPr>
        <w:ind w:firstLine="720"/>
        <w:jc w:val="both"/>
        <w:rPr>
          <w:rFonts w:ascii="Sylfaen" w:hAnsi="Sylfaen"/>
          <w:b/>
          <w:lang w:val="ka-GE"/>
        </w:rPr>
      </w:pPr>
      <w:r w:rsidRPr="00F0248B">
        <w:rPr>
          <w:rFonts w:ascii="Sylfaen" w:hAnsi="Sylfaen" w:cs="AcadNusx"/>
          <w:lang w:val="ka-GE"/>
        </w:rPr>
        <w:lastRenderedPageBreak/>
        <w:t> </w:t>
      </w:r>
      <w:r w:rsidRPr="00F0248B">
        <w:rPr>
          <w:rFonts w:ascii="Sylfaen" w:hAnsi="Sylfaen"/>
          <w:b/>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484F82" w:rsidRPr="00F0248B" w:rsidRDefault="00484F82" w:rsidP="00484F82">
      <w:pPr>
        <w:ind w:firstLine="720"/>
        <w:jc w:val="both"/>
        <w:rPr>
          <w:rFonts w:ascii="Sylfaen" w:hAnsi="Sylfaen" w:cs="AcadNusx"/>
          <w:lang w:val="ka-GE"/>
        </w:rPr>
      </w:pPr>
      <w:r w:rsidRPr="00F0248B">
        <w:rPr>
          <w:rFonts w:ascii="Sylfaen" w:hAnsi="Sylfaen" w:cs="AcadNusx"/>
          <w:lang w:val="ka-GE"/>
        </w:rPr>
        <w:t>ასეთი არ არსებობს.</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t>ე) კანონპროექტის ავტორი:</w:t>
      </w:r>
    </w:p>
    <w:p w:rsidR="00484F82" w:rsidRPr="00F0248B" w:rsidRDefault="00484F82" w:rsidP="00484F82">
      <w:pPr>
        <w:ind w:firstLine="720"/>
        <w:jc w:val="both"/>
        <w:rPr>
          <w:rFonts w:ascii="Sylfaen" w:hAnsi="Sylfaen" w:cs="AcadNusx"/>
          <w:lang w:val="ka-GE"/>
        </w:rPr>
      </w:pPr>
      <w:r w:rsidRPr="00F0248B">
        <w:rPr>
          <w:rFonts w:ascii="Sylfaen" w:hAnsi="Sylfaen" w:cs="AcadNusx"/>
          <w:lang w:val="ka-GE"/>
        </w:rPr>
        <w:t>კანონპროექტის ავტორია საქართველოს იუსტიციის სამინისტრო.</w:t>
      </w:r>
    </w:p>
    <w:p w:rsidR="00484F82" w:rsidRPr="00F0248B" w:rsidRDefault="00484F82" w:rsidP="00484F82">
      <w:pPr>
        <w:ind w:firstLine="720"/>
        <w:jc w:val="both"/>
        <w:rPr>
          <w:rFonts w:ascii="Sylfaen" w:hAnsi="Sylfaen" w:cs="AcadNusx"/>
          <w:b/>
          <w:bCs/>
          <w:lang w:val="ka-GE"/>
        </w:rPr>
      </w:pPr>
      <w:r w:rsidRPr="00F0248B">
        <w:rPr>
          <w:rFonts w:ascii="Sylfaen" w:hAnsi="Sylfaen" w:cs="AcadNusx"/>
          <w:b/>
          <w:bCs/>
          <w:lang w:val="ka-GE"/>
        </w:rPr>
        <w:t>ვ) კანონპროექტის ინიციატორი:</w:t>
      </w:r>
    </w:p>
    <w:p w:rsidR="00484F82" w:rsidRPr="00F0248B" w:rsidRDefault="00484F82" w:rsidP="00484F82">
      <w:pPr>
        <w:ind w:firstLine="720"/>
        <w:jc w:val="both"/>
        <w:rPr>
          <w:rFonts w:ascii="Sylfaen" w:hAnsi="Sylfaen" w:cs="AcadNusx"/>
          <w:lang w:val="ka-GE"/>
        </w:rPr>
      </w:pPr>
      <w:r w:rsidRPr="00F0248B">
        <w:rPr>
          <w:rFonts w:ascii="Sylfaen" w:hAnsi="Sylfaen" w:cs="AcadNusx"/>
          <w:lang w:val="ka-GE"/>
        </w:rPr>
        <w:t>კანონპროექტის ინიციატორია საქართველოს მთავრობა.</w:t>
      </w:r>
    </w:p>
    <w:p w:rsidR="00484F82" w:rsidRPr="00F0248B" w:rsidRDefault="00484F82" w:rsidP="00484F82">
      <w:pPr>
        <w:rPr>
          <w:rFonts w:ascii="Sylfaen" w:hAnsi="Sylfaen" w:cs="AcadNusx"/>
          <w:lang w:val="ka-GE"/>
        </w:rPr>
      </w:pPr>
      <w:r w:rsidRPr="00F0248B">
        <w:rPr>
          <w:rFonts w:ascii="Sylfaen" w:hAnsi="Sylfaen" w:cs="AcadNusx"/>
          <w:lang w:val="ka-GE"/>
        </w:rPr>
        <w:br w:type="page"/>
      </w:r>
    </w:p>
    <w:p w:rsidR="00484F82" w:rsidRPr="00F0248B" w:rsidRDefault="00484F82" w:rsidP="00484F82">
      <w:pPr>
        <w:jc w:val="center"/>
        <w:rPr>
          <w:rFonts w:ascii="Sylfaen" w:hAnsi="Sylfaen" w:cs="Sylfaen"/>
          <w:b/>
          <w:lang w:val="ka-GE"/>
        </w:rPr>
      </w:pPr>
      <w:r w:rsidRPr="00F0248B">
        <w:rPr>
          <w:rFonts w:ascii="Sylfaen" w:hAnsi="Sylfaen"/>
          <w:b/>
          <w:lang w:val="ka-GE"/>
        </w:rPr>
        <w:lastRenderedPageBreak/>
        <w:t xml:space="preserve">საქართველოს ადმინისტრაციულ სამართალდარღვევათა კოდექსის </w:t>
      </w:r>
      <w:r w:rsidRPr="00F0248B">
        <w:rPr>
          <w:rFonts w:ascii="Sylfaen" w:hAnsi="Sylfaen" w:cs="Sylfaen"/>
          <w:b/>
          <w:lang w:val="ka-GE"/>
        </w:rPr>
        <w:t>იმ</w:t>
      </w:r>
      <w:r w:rsidRPr="00F0248B">
        <w:rPr>
          <w:rFonts w:ascii="Sylfaen" w:hAnsi="Sylfaen"/>
          <w:b/>
          <w:lang w:val="ka-GE"/>
        </w:rPr>
        <w:t xml:space="preserve"> </w:t>
      </w:r>
      <w:r w:rsidRPr="00F0248B">
        <w:rPr>
          <w:rFonts w:ascii="Sylfaen" w:hAnsi="Sylfaen" w:cs="Sylfaen"/>
          <w:b/>
          <w:lang w:val="ka-GE"/>
        </w:rPr>
        <w:t>მუხლების</w:t>
      </w:r>
      <w:r w:rsidRPr="00F0248B">
        <w:rPr>
          <w:rFonts w:ascii="Sylfaen" w:hAnsi="Sylfaen"/>
          <w:b/>
          <w:lang w:val="ka-GE"/>
        </w:rPr>
        <w:t xml:space="preserve"> მოქმედი </w:t>
      </w:r>
      <w:r w:rsidRPr="00F0248B">
        <w:rPr>
          <w:rFonts w:ascii="Sylfaen" w:hAnsi="Sylfaen" w:cs="Sylfaen"/>
          <w:b/>
          <w:lang w:val="ka-GE"/>
        </w:rPr>
        <w:t>სრული</w:t>
      </w:r>
      <w:r w:rsidRPr="00F0248B">
        <w:rPr>
          <w:rFonts w:ascii="Sylfaen" w:hAnsi="Sylfaen"/>
          <w:b/>
          <w:lang w:val="ka-GE"/>
        </w:rPr>
        <w:t xml:space="preserve">  </w:t>
      </w:r>
      <w:r w:rsidRPr="00F0248B">
        <w:rPr>
          <w:rFonts w:ascii="Sylfaen" w:hAnsi="Sylfaen" w:cs="Sylfaen"/>
          <w:b/>
          <w:lang w:val="ka-GE"/>
        </w:rPr>
        <w:t>რედაქცია</w:t>
      </w:r>
      <w:r w:rsidRPr="00F0248B">
        <w:rPr>
          <w:rFonts w:ascii="Sylfaen" w:hAnsi="Sylfaen"/>
          <w:b/>
          <w:lang w:val="ka-GE"/>
        </w:rPr>
        <w:t xml:space="preserve">, </w:t>
      </w:r>
      <w:r w:rsidRPr="00F0248B">
        <w:rPr>
          <w:rFonts w:ascii="Sylfaen" w:hAnsi="Sylfaen" w:cs="Sylfaen"/>
          <w:b/>
          <w:lang w:val="ka-GE"/>
        </w:rPr>
        <w:t>რომლებშიც</w:t>
      </w:r>
      <w:r w:rsidRPr="00F0248B">
        <w:rPr>
          <w:rFonts w:ascii="Sylfaen" w:hAnsi="Sylfaen"/>
          <w:b/>
          <w:lang w:val="ka-GE"/>
        </w:rPr>
        <w:t xml:space="preserve"> წ</w:t>
      </w:r>
      <w:bookmarkStart w:id="0" w:name="_GoBack"/>
      <w:bookmarkEnd w:id="0"/>
      <w:r w:rsidRPr="00F0248B">
        <w:rPr>
          <w:rFonts w:ascii="Sylfaen" w:hAnsi="Sylfaen"/>
          <w:b/>
          <w:lang w:val="ka-GE"/>
        </w:rPr>
        <w:t xml:space="preserve">არმოდგენილი კანონპროექტით </w:t>
      </w:r>
      <w:r w:rsidRPr="00F0248B">
        <w:rPr>
          <w:rFonts w:ascii="Sylfaen" w:hAnsi="Sylfaen" w:cs="Sylfaen"/>
          <w:b/>
          <w:lang w:val="ka-GE"/>
        </w:rPr>
        <w:t>შედის</w:t>
      </w:r>
      <w:r w:rsidRPr="00F0248B">
        <w:rPr>
          <w:rFonts w:ascii="Sylfaen" w:hAnsi="Sylfaen"/>
          <w:b/>
          <w:lang w:val="ka-GE"/>
        </w:rPr>
        <w:t xml:space="preserve"> </w:t>
      </w:r>
      <w:r w:rsidRPr="00F0248B">
        <w:rPr>
          <w:rFonts w:ascii="Sylfaen" w:hAnsi="Sylfaen" w:cs="Sylfaen"/>
          <w:b/>
          <w:lang w:val="ka-GE"/>
        </w:rPr>
        <w:t>ცვლილება</w:t>
      </w:r>
    </w:p>
    <w:p w:rsidR="00484F82" w:rsidRPr="00F0248B" w:rsidRDefault="00484F82" w:rsidP="00484F82">
      <w:pPr>
        <w:rPr>
          <w:rFonts w:ascii="Sylfaen" w:hAnsi="Sylfaen" w:cs="Sylfaen"/>
          <w:b/>
          <w:bCs/>
          <w:lang w:val="ka-GE"/>
        </w:rPr>
      </w:pPr>
      <w:r w:rsidRPr="00F0248B">
        <w:rPr>
          <w:rFonts w:ascii="Sylfaen" w:hAnsi="Sylfaen" w:cs="Sylfaen"/>
          <w:b/>
          <w:bCs/>
          <w:lang w:val="ka-GE"/>
        </w:rPr>
        <w:t>მუხლი 172. მშობლის ან მისი შემცვლელი პირის მიერ არასრულწლოვნის აღზრდისა და სწავლების მოვალეობათა შეუსრულებლობა</w:t>
      </w:r>
    </w:p>
    <w:p w:rsidR="00484F82" w:rsidRPr="00F0248B" w:rsidRDefault="00484F82" w:rsidP="00484F82">
      <w:pPr>
        <w:jc w:val="both"/>
        <w:rPr>
          <w:rFonts w:ascii="Sylfaen" w:hAnsi="Sylfaen" w:cs="Sylfaen"/>
          <w:bCs/>
          <w:lang w:val="ka-GE"/>
        </w:rPr>
      </w:pPr>
      <w:r w:rsidRPr="00F0248B">
        <w:rPr>
          <w:rFonts w:ascii="Sylfaen" w:hAnsi="Sylfaen" w:cs="Sylfaen"/>
          <w:bCs/>
          <w:lang w:val="ka-GE"/>
        </w:rPr>
        <w:t>1. მშობლის ან მისი შემცვლელი პირის მიერ არასრულწლოვნის აღზრდისა და სწავლების ან მის მიმართ სხვა მოვალეობათა შეუსრულებლობა, რაც გამოიხატება არასრულწლოვნის აღზრდის, სწავლების, საცხოვრებლით, საკვებით და ნორმალური განვითარებისთვის საჭირო სხვა პირობებით უზრუნველყოფის მოვალეობათა ბოროტად შეუსრულებლობით, არასრულწლოვნის მიერ ნარკოტიკული ნივთიერების ექიმის დანიშნულების გარეშე მოხმარებით, წვრილმანი ხულიგნობით, ხულიგნობით, ალკოჰოლიანი სასმელის სმით, ცივი იარაღის ტარებით, სქესობრივი თავისუფლებისა და ხელშეუხებლობის წინააღმდეგ მიმართული უკანონო ქმედების ჩადენით, საგანგებო (ექსტრემალური) სამსახურების გამოძახების ერთიანი სატელეფონო ნომრის − „112“-ის − არამიზნობრივი გამოყენებით, −</w:t>
      </w:r>
    </w:p>
    <w:p w:rsidR="00484F82" w:rsidRPr="00F0248B" w:rsidRDefault="00484F82" w:rsidP="00484F82">
      <w:pPr>
        <w:jc w:val="both"/>
        <w:rPr>
          <w:rFonts w:ascii="Sylfaen" w:hAnsi="Sylfaen" w:cs="Sylfaen"/>
          <w:bCs/>
          <w:lang w:val="ka-GE"/>
        </w:rPr>
      </w:pPr>
      <w:r w:rsidRPr="00F0248B">
        <w:rPr>
          <w:rFonts w:ascii="Sylfaen" w:hAnsi="Sylfaen" w:cs="Sylfaen"/>
          <w:bCs/>
          <w:lang w:val="ka-GE"/>
        </w:rPr>
        <w:t>გამოიწვევს მშობლის ან მისი შემცვლელი პირის დაჯარიმებას 100 ლარიდან 300 ლარამდე ოდენობით.</w:t>
      </w:r>
    </w:p>
    <w:p w:rsidR="00484F82" w:rsidRPr="00F0248B" w:rsidRDefault="00484F82" w:rsidP="00484F82">
      <w:pPr>
        <w:jc w:val="both"/>
        <w:rPr>
          <w:rFonts w:ascii="Sylfaen" w:hAnsi="Sylfaen" w:cs="Sylfaen"/>
          <w:bCs/>
          <w:lang w:val="ka-GE"/>
        </w:rPr>
      </w:pPr>
      <w:r w:rsidRPr="00F0248B">
        <w:rPr>
          <w:rFonts w:ascii="Sylfaen" w:hAnsi="Sylfaen" w:cs="Sylfaen"/>
          <w:bCs/>
          <w:lang w:val="ka-GE"/>
        </w:rPr>
        <w:t>2. ამ მუხლის პირველი ნაწილით გათვალისწინებული სამართალდარღვევის განმეორებით ჩადენა 1 წლის განმავლობაში –</w:t>
      </w:r>
    </w:p>
    <w:p w:rsidR="00484F82" w:rsidRPr="00F0248B" w:rsidRDefault="00484F82" w:rsidP="00484F82">
      <w:pPr>
        <w:jc w:val="both"/>
        <w:rPr>
          <w:rFonts w:ascii="Sylfaen" w:hAnsi="Sylfaen" w:cs="Sylfaen"/>
          <w:bCs/>
          <w:lang w:val="ka-GE"/>
        </w:rPr>
      </w:pPr>
      <w:r w:rsidRPr="00F0248B">
        <w:rPr>
          <w:rFonts w:ascii="Sylfaen" w:hAnsi="Sylfaen" w:cs="Sylfaen"/>
          <w:bCs/>
          <w:lang w:val="ka-GE"/>
        </w:rPr>
        <w:t>გამოიწვევს მშობლის ან მისი შემცვლელი პირის დაჯარიმებას 500 ლარის ოდენობით.</w:t>
      </w:r>
    </w:p>
    <w:p w:rsidR="00484F82" w:rsidRPr="00F0248B" w:rsidRDefault="00484F82" w:rsidP="00484F82">
      <w:pPr>
        <w:jc w:val="both"/>
        <w:rPr>
          <w:rFonts w:ascii="Sylfaen" w:hAnsi="Sylfaen" w:cs="Sylfaen"/>
          <w:bCs/>
          <w:lang w:val="ka-GE"/>
        </w:rPr>
      </w:pPr>
      <w:r w:rsidRPr="00F0248B">
        <w:rPr>
          <w:rFonts w:ascii="Sylfaen" w:hAnsi="Sylfaen" w:cs="Sylfaen"/>
          <w:bCs/>
          <w:lang w:val="ka-GE"/>
        </w:rPr>
        <w:t>3. მშობლის ან მისი შემცვლელი პირის მიერ არასრულწლოვნის მიმართ განსაზღვრული მოვალეობის შეუსრულებლობა, რაც გამოიხატება 14 წლამდე არასრულწლოვნის მიერ ტერორიზმის შესახებ ცრუ შეტყობინებით, −</w:t>
      </w:r>
    </w:p>
    <w:p w:rsidR="00484F82" w:rsidRPr="00F0248B" w:rsidRDefault="00484F82" w:rsidP="00484F82">
      <w:pPr>
        <w:jc w:val="both"/>
        <w:rPr>
          <w:rFonts w:ascii="Sylfaen" w:hAnsi="Sylfaen" w:cs="Sylfaen"/>
          <w:bCs/>
          <w:lang w:val="ka-GE"/>
        </w:rPr>
      </w:pPr>
      <w:r w:rsidRPr="00F0248B">
        <w:rPr>
          <w:rFonts w:ascii="Sylfaen" w:hAnsi="Sylfaen" w:cs="Sylfaen"/>
          <w:bCs/>
          <w:lang w:val="ka-GE"/>
        </w:rPr>
        <w:t>გამოიწვევს მშობლის ან მისი შემცვლელი პირის დაჯარიმებას 1500 ლარის ოდენობით.</w:t>
      </w:r>
    </w:p>
    <w:p w:rsidR="00484F82" w:rsidRPr="00F0248B" w:rsidRDefault="00484F82" w:rsidP="00484F82">
      <w:pPr>
        <w:jc w:val="both"/>
        <w:rPr>
          <w:rFonts w:ascii="Sylfaen" w:hAnsi="Sylfaen" w:cs="Sylfaen"/>
          <w:bCs/>
          <w:lang w:val="ka-GE"/>
        </w:rPr>
      </w:pPr>
      <w:r w:rsidRPr="00F0248B">
        <w:rPr>
          <w:rFonts w:ascii="Sylfaen" w:hAnsi="Sylfaen" w:cs="Sylfaen"/>
          <w:bCs/>
          <w:lang w:val="ka-GE"/>
        </w:rPr>
        <w:t>4. ამ მუხლის მე-3 ნაწილით გათვალისწინებული სამართალდარღვევის განმეორებით ჩადენა 1 წლის განმავლობაში −</w:t>
      </w:r>
    </w:p>
    <w:p w:rsidR="00F05007" w:rsidRPr="00F0248B" w:rsidRDefault="00484F82" w:rsidP="00484F82">
      <w:pPr>
        <w:jc w:val="both"/>
        <w:rPr>
          <w:rFonts w:ascii="Sylfaen" w:hAnsi="Sylfaen"/>
        </w:rPr>
      </w:pPr>
      <w:r w:rsidRPr="00F0248B">
        <w:rPr>
          <w:rFonts w:ascii="Sylfaen" w:hAnsi="Sylfaen" w:cs="Sylfaen"/>
          <w:bCs/>
          <w:lang w:val="ka-GE"/>
        </w:rPr>
        <w:t>გამოიწვევს მშობლის ან მისი შემცვლელი პირის დაჯარიმებას 2500 ლარის ოდენობით.</w:t>
      </w:r>
    </w:p>
    <w:sectPr w:rsidR="00F05007" w:rsidRPr="00F0248B">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DD4" w:rsidRDefault="00355DD4" w:rsidP="00F0248B">
      <w:pPr>
        <w:spacing w:after="0" w:line="240" w:lineRule="auto"/>
      </w:pPr>
      <w:r>
        <w:separator/>
      </w:r>
    </w:p>
  </w:endnote>
  <w:endnote w:type="continuationSeparator" w:id="0">
    <w:p w:rsidR="00355DD4" w:rsidRDefault="00355DD4" w:rsidP="00F0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766927"/>
      <w:docPartObj>
        <w:docPartGallery w:val="Page Numbers (Bottom of Page)"/>
        <w:docPartUnique/>
      </w:docPartObj>
    </w:sdtPr>
    <w:sdtEndPr>
      <w:rPr>
        <w:noProof/>
      </w:rPr>
    </w:sdtEndPr>
    <w:sdtContent>
      <w:p w:rsidR="00F0248B" w:rsidRDefault="00F0248B">
        <w:pPr>
          <w:pStyle w:val="Footer"/>
          <w:jc w:val="right"/>
        </w:pPr>
        <w:r>
          <w:fldChar w:fldCharType="begin"/>
        </w:r>
        <w:r>
          <w:instrText xml:space="preserve"> PAGE   \* MERGEFORMAT </w:instrText>
        </w:r>
        <w:r>
          <w:fldChar w:fldCharType="separate"/>
        </w:r>
        <w:r w:rsidR="00036EBE">
          <w:rPr>
            <w:noProof/>
          </w:rPr>
          <w:t>5</w:t>
        </w:r>
        <w:r>
          <w:rPr>
            <w:noProof/>
          </w:rPr>
          <w:fldChar w:fldCharType="end"/>
        </w:r>
      </w:p>
    </w:sdtContent>
  </w:sdt>
  <w:p w:rsidR="00F0248B" w:rsidRDefault="00F02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DD4" w:rsidRDefault="00355DD4" w:rsidP="00F0248B">
      <w:pPr>
        <w:spacing w:after="0" w:line="240" w:lineRule="auto"/>
      </w:pPr>
      <w:r>
        <w:separator/>
      </w:r>
    </w:p>
  </w:footnote>
  <w:footnote w:type="continuationSeparator" w:id="0">
    <w:p w:rsidR="00355DD4" w:rsidRDefault="00355DD4" w:rsidP="00F02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D7"/>
    <w:rsid w:val="00036EBE"/>
    <w:rsid w:val="00074D6C"/>
    <w:rsid w:val="00114BFE"/>
    <w:rsid w:val="00355DD4"/>
    <w:rsid w:val="00484F82"/>
    <w:rsid w:val="00711167"/>
    <w:rsid w:val="0076722A"/>
    <w:rsid w:val="00993ED7"/>
    <w:rsid w:val="00AA409A"/>
    <w:rsid w:val="00AE45CF"/>
    <w:rsid w:val="00C142D3"/>
    <w:rsid w:val="00E067EF"/>
    <w:rsid w:val="00F0248B"/>
    <w:rsid w:val="00F05007"/>
    <w:rsid w:val="00F07CBF"/>
    <w:rsid w:val="00FC104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F0F022-A659-4ACA-BA5F-3F7BDEC3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F82"/>
    <w:pPr>
      <w:spacing w:after="200" w:line="276" w:lineRule="auto"/>
    </w:pPr>
    <w:rPr>
      <w:lang w:val="en-US"/>
    </w:rPr>
  </w:style>
  <w:style w:type="paragraph" w:styleId="Heading1">
    <w:name w:val="heading 1"/>
    <w:basedOn w:val="Normal"/>
    <w:next w:val="Normal"/>
    <w:link w:val="Heading1Char"/>
    <w:autoRedefine/>
    <w:uiPriority w:val="9"/>
    <w:qFormat/>
    <w:rsid w:val="00114BFE"/>
    <w:pPr>
      <w:keepNext/>
      <w:spacing w:before="240" w:after="60" w:line="240" w:lineRule="auto"/>
      <w:jc w:val="center"/>
      <w:outlineLvl w:val="0"/>
    </w:pPr>
    <w:rPr>
      <w:rFonts w:asciiTheme="majorHAnsi" w:eastAsia="Times New Roman" w:hAnsiTheme="majorHAnsi" w:cs="Times New Roman"/>
      <w:b/>
      <w:bCs/>
      <w:color w:val="FFFFFF" w:themeColor="background1"/>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FE"/>
    <w:rPr>
      <w:rFonts w:asciiTheme="majorHAnsi" w:eastAsia="Times New Roman" w:hAnsiTheme="majorHAnsi" w:cs="Times New Roman"/>
      <w:b/>
      <w:bCs/>
      <w:color w:val="FFFFFF" w:themeColor="background1"/>
      <w:kern w:val="32"/>
      <w:sz w:val="40"/>
      <w:szCs w:val="32"/>
      <w:lang w:val="en-US"/>
    </w:rPr>
  </w:style>
  <w:style w:type="paragraph" w:customStyle="1" w:styleId="abzacixml">
    <w:name w:val="abzacixml"/>
    <w:basedOn w:val="Normal"/>
    <w:rsid w:val="00484F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2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48B"/>
    <w:rPr>
      <w:lang w:val="en-US"/>
    </w:rPr>
  </w:style>
  <w:style w:type="paragraph" w:styleId="Footer">
    <w:name w:val="footer"/>
    <w:basedOn w:val="Normal"/>
    <w:link w:val="FooterChar"/>
    <w:uiPriority w:val="99"/>
    <w:unhideWhenUsed/>
    <w:rsid w:val="00F02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48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4609">
      <w:bodyDiv w:val="1"/>
      <w:marLeft w:val="0"/>
      <w:marRight w:val="0"/>
      <w:marTop w:val="0"/>
      <w:marBottom w:val="0"/>
      <w:divBdr>
        <w:top w:val="none" w:sz="0" w:space="0" w:color="auto"/>
        <w:left w:val="none" w:sz="0" w:space="0" w:color="auto"/>
        <w:bottom w:val="none" w:sz="0" w:space="0" w:color="auto"/>
        <w:right w:val="none" w:sz="0" w:space="0" w:color="auto"/>
      </w:divBdr>
      <w:divsChild>
        <w:div w:id="484862288">
          <w:marLeft w:val="0"/>
          <w:marRight w:val="0"/>
          <w:marTop w:val="0"/>
          <w:marBottom w:val="0"/>
          <w:divBdr>
            <w:top w:val="none" w:sz="0" w:space="0" w:color="auto"/>
            <w:left w:val="none" w:sz="0" w:space="0" w:color="auto"/>
            <w:bottom w:val="none" w:sz="0" w:space="0" w:color="auto"/>
            <w:right w:val="none" w:sz="0" w:space="0" w:color="auto"/>
          </w:divBdr>
        </w:div>
      </w:divsChild>
    </w:div>
    <w:div w:id="1130903424">
      <w:bodyDiv w:val="1"/>
      <w:marLeft w:val="0"/>
      <w:marRight w:val="0"/>
      <w:marTop w:val="0"/>
      <w:marBottom w:val="0"/>
      <w:divBdr>
        <w:top w:val="none" w:sz="0" w:space="0" w:color="auto"/>
        <w:left w:val="none" w:sz="0" w:space="0" w:color="auto"/>
        <w:bottom w:val="none" w:sz="0" w:space="0" w:color="auto"/>
        <w:right w:val="none" w:sz="0" w:space="0" w:color="auto"/>
      </w:divBdr>
      <w:divsChild>
        <w:div w:id="1254707207">
          <w:marLeft w:val="0"/>
          <w:marRight w:val="0"/>
          <w:marTop w:val="0"/>
          <w:marBottom w:val="0"/>
          <w:divBdr>
            <w:top w:val="none" w:sz="0" w:space="0" w:color="auto"/>
            <w:left w:val="none" w:sz="0" w:space="0" w:color="auto"/>
            <w:bottom w:val="none" w:sz="0" w:space="0" w:color="auto"/>
            <w:right w:val="none" w:sz="0" w:space="0" w:color="auto"/>
          </w:divBdr>
        </w:div>
      </w:divsChild>
    </w:div>
    <w:div w:id="1818452916">
      <w:bodyDiv w:val="1"/>
      <w:marLeft w:val="0"/>
      <w:marRight w:val="0"/>
      <w:marTop w:val="0"/>
      <w:marBottom w:val="0"/>
      <w:divBdr>
        <w:top w:val="none" w:sz="0" w:space="0" w:color="auto"/>
        <w:left w:val="none" w:sz="0" w:space="0" w:color="auto"/>
        <w:bottom w:val="none" w:sz="0" w:space="0" w:color="auto"/>
        <w:right w:val="none" w:sz="0" w:space="0" w:color="auto"/>
      </w:divBdr>
      <w:divsChild>
        <w:div w:id="1043022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Maisuradze</dc:creator>
  <cp:keywords/>
  <dc:description/>
  <cp:lastModifiedBy>Zurab Sanikidze</cp:lastModifiedBy>
  <cp:revision>15</cp:revision>
  <dcterms:created xsi:type="dcterms:W3CDTF">2018-06-01T16:36:00Z</dcterms:created>
  <dcterms:modified xsi:type="dcterms:W3CDTF">2018-10-10T14:53:00Z</dcterms:modified>
</cp:coreProperties>
</file>