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82" w:rsidRPr="008723ED" w:rsidRDefault="00484F82" w:rsidP="00484F82">
      <w:pPr>
        <w:jc w:val="right"/>
        <w:rPr>
          <w:rFonts w:ascii="Sylfaen" w:hAnsi="Sylfaen"/>
          <w:i/>
          <w:u w:val="single"/>
          <w:lang w:val="ka-GE"/>
        </w:rPr>
      </w:pPr>
      <w:r w:rsidRPr="008723ED">
        <w:rPr>
          <w:rFonts w:ascii="Sylfaen" w:hAnsi="Sylfaen" w:cs="Sylfaen"/>
          <w:i/>
          <w:u w:val="single"/>
          <w:lang w:val="ka-GE"/>
        </w:rPr>
        <w:t>პროექტი</w:t>
      </w:r>
    </w:p>
    <w:p w:rsidR="00484F82" w:rsidRPr="008723ED" w:rsidRDefault="00484F82" w:rsidP="00484F82">
      <w:pPr>
        <w:spacing w:after="0"/>
        <w:ind w:firstLine="720"/>
        <w:jc w:val="center"/>
        <w:rPr>
          <w:rFonts w:ascii="Sylfaen" w:hAnsi="Sylfaen"/>
          <w:b/>
          <w:lang w:val="ka-GE"/>
        </w:rPr>
      </w:pPr>
      <w:r w:rsidRPr="008723ED">
        <w:rPr>
          <w:rFonts w:ascii="Sylfaen" w:hAnsi="Sylfaen" w:cs="Sylfaen"/>
          <w:b/>
          <w:lang w:val="ka-GE"/>
        </w:rPr>
        <w:t>საქართველოს</w:t>
      </w:r>
      <w:r w:rsidRPr="008723ED">
        <w:rPr>
          <w:rFonts w:ascii="Sylfaen" w:hAnsi="Sylfaen"/>
          <w:b/>
          <w:lang w:val="ka-GE"/>
        </w:rPr>
        <w:t xml:space="preserve"> </w:t>
      </w:r>
      <w:r w:rsidRPr="008723ED">
        <w:rPr>
          <w:rFonts w:ascii="Sylfaen" w:hAnsi="Sylfaen" w:cs="Sylfaen"/>
          <w:b/>
          <w:lang w:val="ka-GE"/>
        </w:rPr>
        <w:t>კანონი</w:t>
      </w:r>
    </w:p>
    <w:p w:rsidR="00484F82" w:rsidRPr="008723ED" w:rsidRDefault="00484F82" w:rsidP="00484F82">
      <w:pPr>
        <w:spacing w:after="0"/>
        <w:ind w:firstLine="720"/>
        <w:jc w:val="center"/>
        <w:rPr>
          <w:rFonts w:ascii="Sylfaen" w:hAnsi="Sylfaen" w:cs="Sylfaen"/>
          <w:b/>
          <w:lang w:val="ka-GE"/>
        </w:rPr>
      </w:pPr>
    </w:p>
    <w:p w:rsidR="00484F82" w:rsidRPr="008723ED" w:rsidRDefault="00484F82" w:rsidP="00484F82">
      <w:pPr>
        <w:ind w:firstLine="720"/>
        <w:jc w:val="center"/>
        <w:rPr>
          <w:rFonts w:ascii="Sylfaen" w:hAnsi="Sylfaen"/>
          <w:b/>
          <w:lang w:val="ka-GE"/>
        </w:rPr>
      </w:pPr>
      <w:r w:rsidRPr="008723ED">
        <w:rPr>
          <w:rFonts w:ascii="Sylfaen" w:hAnsi="Sylfaen" w:cs="Sylfaen"/>
          <w:b/>
          <w:lang w:val="ka-GE"/>
        </w:rPr>
        <w:t xml:space="preserve">საქართველოს ადმინისტრაციულ </w:t>
      </w:r>
      <w:r w:rsidR="008B061C" w:rsidRPr="008723ED">
        <w:rPr>
          <w:rFonts w:ascii="Sylfaen" w:hAnsi="Sylfaen" w:cs="Sylfaen"/>
          <w:b/>
          <w:lang w:val="ka-GE"/>
        </w:rPr>
        <w:t>საპროცესო</w:t>
      </w:r>
      <w:r w:rsidRPr="008723ED">
        <w:rPr>
          <w:rFonts w:ascii="Sylfaen" w:hAnsi="Sylfaen" w:cs="Sylfaen"/>
          <w:b/>
          <w:lang w:val="ka-GE"/>
        </w:rPr>
        <w:t xml:space="preserve"> კოდექსში ცვლილების</w:t>
      </w:r>
      <w:r w:rsidRPr="008723ED">
        <w:rPr>
          <w:rFonts w:ascii="Sylfaen" w:hAnsi="Sylfaen"/>
          <w:b/>
          <w:lang w:val="ka-GE"/>
        </w:rPr>
        <w:t xml:space="preserve"> </w:t>
      </w:r>
      <w:r w:rsidRPr="008723ED">
        <w:rPr>
          <w:rFonts w:ascii="Sylfaen" w:hAnsi="Sylfaen" w:cs="Sylfaen"/>
          <w:b/>
          <w:lang w:val="ka-GE"/>
        </w:rPr>
        <w:t>შეტანის</w:t>
      </w:r>
      <w:r w:rsidRPr="008723ED">
        <w:rPr>
          <w:rFonts w:ascii="Sylfaen" w:hAnsi="Sylfaen"/>
          <w:b/>
          <w:lang w:val="ka-GE"/>
        </w:rPr>
        <w:t xml:space="preserve"> </w:t>
      </w:r>
      <w:r w:rsidRPr="008723ED">
        <w:rPr>
          <w:rFonts w:ascii="Sylfaen" w:hAnsi="Sylfaen" w:cs="Sylfaen"/>
          <w:b/>
          <w:lang w:val="ka-GE"/>
        </w:rPr>
        <w:t>თაობაზე</w:t>
      </w:r>
    </w:p>
    <w:p w:rsidR="008B061C" w:rsidRPr="008723ED" w:rsidRDefault="00484F82" w:rsidP="00E2145E">
      <w:pPr>
        <w:ind w:firstLine="720"/>
        <w:jc w:val="both"/>
        <w:rPr>
          <w:rFonts w:ascii="Sylfaen" w:hAnsi="Sylfaen"/>
          <w:lang w:val="ka-GE"/>
        </w:rPr>
      </w:pPr>
      <w:r w:rsidRPr="008723ED">
        <w:rPr>
          <w:rFonts w:ascii="Sylfaen" w:hAnsi="Sylfaen" w:cs="Sylfaen"/>
          <w:b/>
          <w:lang w:val="ka-GE"/>
        </w:rPr>
        <w:t>მუხლი</w:t>
      </w:r>
      <w:r w:rsidRPr="008723ED">
        <w:rPr>
          <w:rFonts w:ascii="Sylfaen" w:hAnsi="Sylfaen"/>
          <w:b/>
          <w:lang w:val="ka-GE"/>
        </w:rPr>
        <w:t xml:space="preserve"> 1.</w:t>
      </w:r>
      <w:r w:rsidRPr="008723ED">
        <w:rPr>
          <w:rFonts w:ascii="Sylfaen" w:hAnsi="Sylfaen"/>
          <w:lang w:val="ka-GE"/>
        </w:rPr>
        <w:t xml:space="preserve"> </w:t>
      </w:r>
      <w:r w:rsidRPr="008723ED">
        <w:rPr>
          <w:rFonts w:ascii="Sylfaen" w:hAnsi="Sylfaen" w:cs="Sylfaen"/>
          <w:lang w:val="ka-GE"/>
        </w:rPr>
        <w:t>საქართველოს</w:t>
      </w:r>
      <w:r w:rsidRPr="008723ED">
        <w:rPr>
          <w:rFonts w:ascii="Sylfaen" w:hAnsi="Sylfaen"/>
          <w:lang w:val="ka-GE"/>
        </w:rPr>
        <w:t xml:space="preserve"> </w:t>
      </w:r>
      <w:r w:rsidR="00C142D3" w:rsidRPr="008723ED">
        <w:rPr>
          <w:rFonts w:ascii="Sylfaen" w:hAnsi="Sylfaen" w:cs="Sylfaen"/>
          <w:lang w:val="ka-GE"/>
        </w:rPr>
        <w:t xml:space="preserve">ადმინისტრაციულ </w:t>
      </w:r>
      <w:r w:rsidR="008B061C" w:rsidRPr="008723ED">
        <w:rPr>
          <w:rFonts w:ascii="Sylfaen" w:hAnsi="Sylfaen" w:cs="Sylfaen"/>
          <w:lang w:val="ka-GE"/>
        </w:rPr>
        <w:t>საპროცესო</w:t>
      </w:r>
      <w:r w:rsidRPr="008723ED">
        <w:rPr>
          <w:rFonts w:ascii="Sylfaen" w:hAnsi="Sylfaen"/>
          <w:lang w:val="ka-GE"/>
        </w:rPr>
        <w:t xml:space="preserve"> </w:t>
      </w:r>
      <w:r w:rsidRPr="008723ED">
        <w:rPr>
          <w:rFonts w:ascii="Sylfaen" w:hAnsi="Sylfaen" w:cs="Sylfaen"/>
          <w:lang w:val="ka-GE"/>
        </w:rPr>
        <w:t>კოდექს</w:t>
      </w:r>
      <w:r w:rsidR="00AC392D" w:rsidRPr="008723ED">
        <w:rPr>
          <w:rFonts w:ascii="Sylfaen" w:hAnsi="Sylfaen" w:cs="Sylfaen"/>
          <w:lang w:val="ka-GE"/>
        </w:rPr>
        <w:t>ში</w:t>
      </w:r>
      <w:r w:rsidRPr="008723ED">
        <w:rPr>
          <w:rFonts w:ascii="Sylfaen" w:hAnsi="Sylfaen"/>
          <w:lang w:val="ka-GE"/>
        </w:rPr>
        <w:t xml:space="preserve"> </w:t>
      </w:r>
      <w:r w:rsidR="008B061C" w:rsidRPr="008723ED">
        <w:rPr>
          <w:rFonts w:ascii="Sylfaen" w:hAnsi="Sylfaen"/>
          <w:lang w:val="ka-GE"/>
        </w:rPr>
        <w:t>(საქართველოს საკანონმდებლო მაცნე (www.matsne.gov.ge), 21.03.2018, სარეგისტრაციო კოდი: 030000000.05.001.018778</w:t>
      </w:r>
      <w:r w:rsidRPr="008723ED">
        <w:rPr>
          <w:rFonts w:ascii="Sylfaen" w:hAnsi="Sylfaen"/>
          <w:lang w:val="ka-GE"/>
        </w:rPr>
        <w:t xml:space="preserve">) </w:t>
      </w:r>
      <w:r w:rsidR="00AC392D" w:rsidRPr="008723ED">
        <w:rPr>
          <w:rFonts w:ascii="Sylfaen" w:hAnsi="Sylfaen" w:cs="Sylfaen"/>
          <w:lang w:val="ka-GE"/>
        </w:rPr>
        <w:t>შეტანილი იქნეს შემდეგი ცვლილება:</w:t>
      </w:r>
    </w:p>
    <w:p w:rsidR="00AC392D" w:rsidRPr="008723ED" w:rsidRDefault="00AC392D" w:rsidP="008723ED">
      <w:pPr>
        <w:ind w:firstLine="708"/>
        <w:jc w:val="both"/>
        <w:rPr>
          <w:rFonts w:ascii="Sylfaen" w:hAnsi="Sylfaen"/>
          <w:b/>
          <w:lang w:val="ka-GE"/>
        </w:rPr>
      </w:pPr>
      <w:r w:rsidRPr="008723ED">
        <w:rPr>
          <w:rFonts w:ascii="Sylfaen" w:hAnsi="Sylfaen"/>
          <w:lang w:val="ka-GE"/>
        </w:rPr>
        <w:t>1. მუხლი 21</w:t>
      </w:r>
      <w:r w:rsidRPr="008723ED">
        <w:rPr>
          <w:rFonts w:ascii="Sylfaen" w:hAnsi="Sylfaen"/>
          <w:vertAlign w:val="superscript"/>
          <w:lang w:val="ka-GE"/>
        </w:rPr>
        <w:t>35</w:t>
      </w:r>
      <w:r w:rsidRPr="008723ED">
        <w:rPr>
          <w:rFonts w:ascii="Sylfaen" w:hAnsi="Sylfaen"/>
          <w:lang w:val="ka-GE"/>
        </w:rPr>
        <w:t xml:space="preserve"> ჩამოყალიბდეს შემდეგი რედაქციით:</w:t>
      </w:r>
    </w:p>
    <w:p w:rsidR="008B061C" w:rsidRPr="008723ED" w:rsidRDefault="00AC392D" w:rsidP="008723ED">
      <w:pPr>
        <w:ind w:firstLine="708"/>
        <w:jc w:val="both"/>
        <w:rPr>
          <w:rFonts w:ascii="Sylfaen" w:hAnsi="Sylfaen"/>
          <w:b/>
          <w:lang w:val="ka-GE"/>
        </w:rPr>
      </w:pPr>
      <w:r w:rsidRPr="008723ED">
        <w:rPr>
          <w:rFonts w:ascii="Sylfaen" w:hAnsi="Sylfaen"/>
          <w:lang w:val="ka-GE"/>
        </w:rPr>
        <w:t>„</w:t>
      </w:r>
      <w:r w:rsidR="008B061C" w:rsidRPr="008723ED">
        <w:rPr>
          <w:rFonts w:ascii="Sylfaen" w:hAnsi="Sylfaen"/>
          <w:b/>
          <w:lang w:val="ka-GE"/>
        </w:rPr>
        <w:t>მუხლი 21</w:t>
      </w:r>
      <w:r w:rsidR="008B061C" w:rsidRPr="008723ED">
        <w:rPr>
          <w:rFonts w:ascii="Times New Roman" w:hAnsi="Times New Roman" w:cs="Times New Roman"/>
          <w:b/>
          <w:lang w:val="ka-GE"/>
        </w:rPr>
        <w:t>​</w:t>
      </w:r>
      <w:r w:rsidR="008B061C" w:rsidRPr="008723ED">
        <w:rPr>
          <w:rFonts w:ascii="Sylfaen" w:hAnsi="Sylfaen"/>
          <w:b/>
          <w:vertAlign w:val="superscript"/>
          <w:lang w:val="ka-GE"/>
        </w:rPr>
        <w:t>35</w:t>
      </w:r>
      <w:r w:rsidR="008B061C" w:rsidRPr="008723ED">
        <w:rPr>
          <w:rFonts w:ascii="Sylfaen" w:hAnsi="Sylfaen"/>
          <w:b/>
          <w:lang w:val="ka-GE"/>
        </w:rPr>
        <w:t>. სასამართლოსათვის მიმართვა</w:t>
      </w:r>
    </w:p>
    <w:p w:rsidR="008B061C" w:rsidRPr="008723ED" w:rsidRDefault="008B061C" w:rsidP="008723ED">
      <w:pPr>
        <w:ind w:firstLine="708"/>
        <w:jc w:val="both"/>
        <w:rPr>
          <w:rFonts w:ascii="Sylfaen" w:hAnsi="Sylfaen"/>
        </w:rPr>
      </w:pPr>
      <w:r w:rsidRPr="008723ED">
        <w:rPr>
          <w:rFonts w:ascii="Sylfaen" w:hAnsi="Sylfaen"/>
          <w:lang w:val="ka-GE"/>
        </w:rPr>
        <w:t>1. სასამართლო ამ თავით დადგენილი წესით განიხილავს</w:t>
      </w:r>
      <w:r w:rsidR="00E2145E" w:rsidRPr="008723ED">
        <w:rPr>
          <w:rFonts w:ascii="Sylfaen" w:hAnsi="Sylfaen"/>
        </w:rPr>
        <w:t xml:space="preserve"> </w:t>
      </w:r>
      <w:r w:rsidRPr="008723ED">
        <w:rPr>
          <w:rFonts w:ascii="Sylfaen" w:hAnsi="Sylfaen"/>
          <w:lang w:val="ka-GE"/>
        </w:rPr>
        <w:t xml:space="preserve">საქართველოს </w:t>
      </w:r>
      <w:r w:rsidR="003B4FAC">
        <w:rPr>
          <w:rFonts w:ascii="Sylfaen" w:hAnsi="Sylfaen"/>
          <w:lang w:val="ka-GE"/>
        </w:rPr>
        <w:t>განათლების, მეცნიერების, კულტურისა და სპორტის</w:t>
      </w:r>
      <w:r w:rsidR="003B4FAC" w:rsidRPr="008723ED">
        <w:rPr>
          <w:rFonts w:ascii="Sylfaen" w:hAnsi="Sylfaen"/>
          <w:lang w:val="ka-GE"/>
        </w:rPr>
        <w:t xml:space="preserve"> </w:t>
      </w:r>
      <w:r w:rsidRPr="008723ED">
        <w:rPr>
          <w:rFonts w:ascii="Sylfaen" w:hAnsi="Sylfaen"/>
          <w:lang w:val="ka-GE"/>
        </w:rPr>
        <w:t>სამინისტროსთან არსებული ექსპერტთა ჯგუფის შუამდგომლობას არასრულწლოვნის სკოლა-პანსიონში გაგზავნის/სკოლა-პანსიონში ყოფნის ვადის გაგრძელების შესახებ</w:t>
      </w:r>
      <w:r w:rsidR="00E2145E" w:rsidRPr="008723ED">
        <w:rPr>
          <w:rFonts w:ascii="Sylfaen" w:hAnsi="Sylfaen"/>
        </w:rPr>
        <w:t>.</w:t>
      </w:r>
    </w:p>
    <w:p w:rsidR="008B061C" w:rsidRPr="008723ED" w:rsidRDefault="008B061C" w:rsidP="008723ED">
      <w:pPr>
        <w:ind w:firstLine="708"/>
        <w:jc w:val="both"/>
        <w:rPr>
          <w:rFonts w:ascii="Sylfaen" w:hAnsi="Sylfaen"/>
          <w:lang w:val="ka-GE"/>
        </w:rPr>
      </w:pPr>
      <w:r w:rsidRPr="008723ED">
        <w:rPr>
          <w:rFonts w:ascii="Sylfaen" w:hAnsi="Sylfaen"/>
          <w:lang w:val="ka-GE"/>
        </w:rPr>
        <w:t>2. ექსპერტთა ჯგუფის შუამდგომლობა სასამართლოს უნდა წარედგინოს შუამდგომლობის წარდგენის შესახებ გადაწყვეტილების მიღებიდან 10 დღის ვადაში.</w:t>
      </w:r>
      <w:r w:rsidR="00E2145E" w:rsidRPr="008723ED">
        <w:rPr>
          <w:rFonts w:ascii="Sylfaen" w:hAnsi="Sylfaen"/>
          <w:lang w:val="ka-GE"/>
        </w:rPr>
        <w:t>“</w:t>
      </w:r>
    </w:p>
    <w:p w:rsidR="00E2145E" w:rsidRPr="008723ED" w:rsidRDefault="00AC392D" w:rsidP="008723ED">
      <w:pPr>
        <w:ind w:firstLine="708"/>
        <w:jc w:val="both"/>
        <w:rPr>
          <w:rFonts w:ascii="Sylfaen" w:hAnsi="Sylfaen"/>
          <w:lang w:val="ka-GE"/>
        </w:rPr>
      </w:pPr>
      <w:r w:rsidRPr="008723ED">
        <w:rPr>
          <w:rFonts w:ascii="Sylfaen" w:hAnsi="Sylfaen"/>
          <w:lang w:val="ka-GE"/>
        </w:rPr>
        <w:t xml:space="preserve">2. </w:t>
      </w:r>
      <w:r w:rsidR="00E2145E" w:rsidRPr="008723ED">
        <w:rPr>
          <w:rFonts w:ascii="Sylfaen" w:hAnsi="Sylfaen"/>
          <w:lang w:val="ka-GE"/>
        </w:rPr>
        <w:t>მუხლი 21</w:t>
      </w:r>
      <w:r w:rsidR="00E2145E" w:rsidRPr="008723ED">
        <w:rPr>
          <w:rFonts w:ascii="Times New Roman" w:hAnsi="Times New Roman" w:cs="Times New Roman"/>
          <w:lang w:val="ka-GE"/>
        </w:rPr>
        <w:t>​</w:t>
      </w:r>
      <w:r w:rsidR="00E2145E" w:rsidRPr="008723ED">
        <w:rPr>
          <w:rFonts w:ascii="Sylfaen" w:hAnsi="Sylfaen"/>
          <w:vertAlign w:val="superscript"/>
          <w:lang w:val="ka-GE"/>
        </w:rPr>
        <w:t>36</w:t>
      </w:r>
      <w:r w:rsidRPr="008723ED">
        <w:rPr>
          <w:rFonts w:ascii="Sylfaen" w:hAnsi="Sylfaen"/>
          <w:lang w:val="ka-GE"/>
        </w:rPr>
        <w:t xml:space="preserve"> ამოღებულ იქნეს.</w:t>
      </w:r>
    </w:p>
    <w:p w:rsidR="00E2145E" w:rsidRPr="008723ED" w:rsidRDefault="00AC392D" w:rsidP="008723ED">
      <w:pPr>
        <w:ind w:firstLine="708"/>
        <w:jc w:val="both"/>
        <w:rPr>
          <w:rFonts w:ascii="Sylfaen" w:hAnsi="Sylfaen"/>
          <w:b/>
          <w:lang w:val="ka-GE"/>
        </w:rPr>
      </w:pPr>
      <w:r w:rsidRPr="008723ED">
        <w:rPr>
          <w:rFonts w:ascii="Sylfaen" w:hAnsi="Sylfaen"/>
          <w:lang w:val="ka-GE"/>
        </w:rPr>
        <w:t>3. მუხლი 21</w:t>
      </w:r>
      <w:r w:rsidRPr="008723ED">
        <w:rPr>
          <w:rFonts w:ascii="Sylfaen" w:hAnsi="Sylfaen"/>
          <w:vertAlign w:val="superscript"/>
          <w:lang w:val="ka-GE"/>
        </w:rPr>
        <w:t>37</w:t>
      </w:r>
      <w:r w:rsidRPr="008723ED">
        <w:rPr>
          <w:rFonts w:ascii="Sylfaen" w:hAnsi="Sylfaen"/>
          <w:lang w:val="ka-GE"/>
        </w:rPr>
        <w:t xml:space="preserve"> ჩამოყალიბდეს შემდეგი რედაქციით:</w:t>
      </w:r>
    </w:p>
    <w:p w:rsidR="00AC392D" w:rsidRPr="008723ED" w:rsidRDefault="00AC392D" w:rsidP="008723ED">
      <w:pPr>
        <w:ind w:firstLine="708"/>
        <w:jc w:val="both"/>
        <w:rPr>
          <w:rFonts w:ascii="Sylfaen" w:hAnsi="Sylfaen"/>
          <w:b/>
          <w:lang w:val="ka-GE"/>
        </w:rPr>
      </w:pPr>
      <w:r w:rsidRPr="008723ED">
        <w:rPr>
          <w:rFonts w:ascii="Sylfaen" w:hAnsi="Sylfaen"/>
          <w:lang w:val="ka-GE"/>
        </w:rPr>
        <w:t>„</w:t>
      </w:r>
      <w:r w:rsidRPr="008723ED">
        <w:rPr>
          <w:rFonts w:ascii="Sylfaen" w:hAnsi="Sylfaen"/>
          <w:b/>
          <w:lang w:val="ka-GE"/>
        </w:rPr>
        <w:t>მუხლი 21</w:t>
      </w:r>
      <w:r w:rsidRPr="008723ED">
        <w:rPr>
          <w:rFonts w:ascii="Times New Roman" w:hAnsi="Times New Roman" w:cs="Times New Roman"/>
          <w:b/>
          <w:lang w:val="ka-GE"/>
        </w:rPr>
        <w:t>​</w:t>
      </w:r>
      <w:r w:rsidRPr="008723ED">
        <w:rPr>
          <w:rFonts w:ascii="Sylfaen" w:hAnsi="Sylfaen"/>
          <w:b/>
          <w:vertAlign w:val="superscript"/>
          <w:lang w:val="ka-GE"/>
        </w:rPr>
        <w:t>37</w:t>
      </w:r>
      <w:r w:rsidRPr="008723ED">
        <w:rPr>
          <w:rFonts w:ascii="Sylfaen" w:hAnsi="Sylfaen"/>
          <w:b/>
          <w:lang w:val="ka-GE"/>
        </w:rPr>
        <w:t>. საქმის განხილვისა და გადაწყვეტილების მიღების წესი</w:t>
      </w:r>
    </w:p>
    <w:p w:rsidR="00AC392D" w:rsidRPr="008723ED" w:rsidRDefault="00AC392D" w:rsidP="008723ED">
      <w:pPr>
        <w:ind w:firstLine="708"/>
        <w:jc w:val="both"/>
        <w:rPr>
          <w:rFonts w:ascii="Sylfaen" w:hAnsi="Sylfaen"/>
          <w:lang w:val="ka-GE"/>
        </w:rPr>
      </w:pPr>
      <w:r w:rsidRPr="008723ED">
        <w:rPr>
          <w:rFonts w:ascii="Sylfaen" w:hAnsi="Sylfaen"/>
          <w:lang w:val="ka-GE"/>
        </w:rPr>
        <w:t>1. სასამართლო საქმეს განიხილავს და გადაწყვეტილებას იღებს შუამდგომლობის წარდგენიდან 15 დღის ვადაში.</w:t>
      </w:r>
    </w:p>
    <w:p w:rsidR="00AC392D" w:rsidRDefault="00AC392D" w:rsidP="008723ED">
      <w:pPr>
        <w:ind w:firstLine="708"/>
        <w:jc w:val="both"/>
        <w:rPr>
          <w:rFonts w:ascii="Sylfaen" w:hAnsi="Sylfaen"/>
          <w:lang w:val="ka-GE"/>
        </w:rPr>
      </w:pPr>
      <w:r w:rsidRPr="008723ED">
        <w:rPr>
          <w:rFonts w:ascii="Sylfaen" w:hAnsi="Sylfaen"/>
          <w:lang w:val="ka-GE"/>
        </w:rPr>
        <w:t xml:space="preserve">2. მოსამართლე საქმეს განიხილავს დახურულ სასამართლო სხდომაზე. დახურულ სასამართლო სხდომაზე დასწრების უფლება აქვთ: მიმართვის ავტორს, არასრულწლოვანს, არასრულწლოვნის მშობელს/კანონიერ წარმომადგენელს, მეურვეობისა და მზრუნველობის ორგანოს წარმომადგენელს, ექსპერტთა ჯგუფის წევრებს, </w:t>
      </w:r>
      <w:r w:rsidR="003B4FAC">
        <w:rPr>
          <w:rFonts w:ascii="Sylfaen" w:hAnsi="Sylfaen"/>
          <w:lang w:val="ka-GE"/>
        </w:rPr>
        <w:t xml:space="preserve">ბავშვთა რეფერირების ცენტრის წარმომადგენელს, </w:t>
      </w:r>
      <w:r w:rsidRPr="008723ED">
        <w:rPr>
          <w:rFonts w:ascii="Sylfaen" w:hAnsi="Sylfaen"/>
          <w:lang w:val="ka-GE"/>
        </w:rPr>
        <w:t>სოციალურ მუშაკს, არასრულწლოვნის ადვოკატს, აგრეთვე სასამართლოს მიერ მოწვეულ სხვა პირებს.</w:t>
      </w:r>
    </w:p>
    <w:p w:rsidR="003B4FAC" w:rsidRPr="00827B63" w:rsidRDefault="003B4FAC" w:rsidP="008723ED">
      <w:pPr>
        <w:ind w:firstLine="708"/>
        <w:jc w:val="both"/>
        <w:rPr>
          <w:rFonts w:ascii="Sylfaen" w:hAnsi="Sylfaen"/>
        </w:rPr>
      </w:pPr>
      <w:r>
        <w:rPr>
          <w:rFonts w:ascii="Sylfaen" w:hAnsi="Sylfaen"/>
        </w:rPr>
        <w:t>2</w:t>
      </w:r>
      <w:r w:rsidRPr="00827B63">
        <w:rPr>
          <w:rFonts w:ascii="Sylfaen" w:hAnsi="Sylfaen"/>
          <w:vertAlign w:val="superscript"/>
        </w:rPr>
        <w:t>1</w:t>
      </w:r>
      <w:r>
        <w:rPr>
          <w:rFonts w:ascii="Sylfaen" w:hAnsi="Sylfaen"/>
        </w:rPr>
        <w:t>.</w:t>
      </w:r>
      <w:r>
        <w:rPr>
          <w:rFonts w:ascii="Sylfaen" w:hAnsi="Sylfaen"/>
          <w:lang w:val="ka-GE"/>
        </w:rPr>
        <w:t xml:space="preserve"> საქმის განხილვისას, საქმისთვის მნიშვნელოვან სხვა გარემოებებთან ერთად, მოსამართლე ხელმძღვანელობს არასრულწლოვნის</w:t>
      </w:r>
      <w:r w:rsidRPr="003B4FAC">
        <w:rPr>
          <w:rFonts w:ascii="Sylfaen" w:hAnsi="Sylfaen"/>
          <w:lang w:val="ka-GE"/>
        </w:rPr>
        <w:t xml:space="preserve"> ინდივიდუალური შეფასების ანგარიში</w:t>
      </w:r>
      <w:r>
        <w:rPr>
          <w:rFonts w:ascii="Sylfaen" w:hAnsi="Sylfaen"/>
          <w:lang w:val="ka-GE"/>
        </w:rPr>
        <w:t>თ</w:t>
      </w:r>
      <w:r w:rsidRPr="003B4FAC">
        <w:rPr>
          <w:rFonts w:ascii="Sylfaen" w:hAnsi="Sylfaen"/>
          <w:lang w:val="ka-GE"/>
        </w:rPr>
        <w:t xml:space="preserve"> და </w:t>
      </w:r>
      <w:r>
        <w:rPr>
          <w:rFonts w:ascii="Sylfaen" w:hAnsi="Sylfaen"/>
          <w:lang w:val="ka-GE"/>
        </w:rPr>
        <w:t>მისი</w:t>
      </w:r>
      <w:r w:rsidRPr="003B4FAC">
        <w:rPr>
          <w:rFonts w:ascii="Sylfaen" w:hAnsi="Sylfaen"/>
          <w:lang w:val="ka-GE"/>
        </w:rPr>
        <w:t xml:space="preserve"> რთული ქცევის ან/და სავარაუდოდ ჩადენილი დანაშაულის დამადასტურებელი დოკუმენტები</w:t>
      </w:r>
      <w:r>
        <w:rPr>
          <w:rFonts w:ascii="Sylfaen" w:hAnsi="Sylfaen"/>
          <w:lang w:val="ka-GE"/>
        </w:rPr>
        <w:t xml:space="preserve">თ, რომლებიც თან ერთვის შუამდგომლობას. გადაწყვეტილების მიღებისას </w:t>
      </w:r>
      <w:r>
        <w:rPr>
          <w:rFonts w:ascii="Sylfaen" w:hAnsi="Sylfaen"/>
          <w:lang w:val="ka-GE"/>
        </w:rPr>
        <w:lastRenderedPageBreak/>
        <w:t xml:space="preserve">მხედველობაში მიიღება ისეთი გარემოებები, როგორიცაა არასრულწლოვნის ან/და მისი კანონიერი წარმომადგენლის </w:t>
      </w:r>
      <w:r w:rsidR="002677DD">
        <w:rPr>
          <w:rFonts w:ascii="Sylfaen" w:hAnsi="Sylfaen"/>
          <w:lang w:val="ka-GE"/>
        </w:rPr>
        <w:t xml:space="preserve">ბავშვთა </w:t>
      </w:r>
      <w:r>
        <w:rPr>
          <w:rFonts w:ascii="Sylfaen" w:hAnsi="Sylfaen"/>
          <w:lang w:val="ka-GE"/>
        </w:rPr>
        <w:t xml:space="preserve">რეფერირების ცენტრთან თანამშრომლობა; </w:t>
      </w:r>
      <w:r w:rsidR="002677DD">
        <w:rPr>
          <w:rFonts w:ascii="Sylfaen" w:hAnsi="Sylfaen"/>
          <w:lang w:val="ka-GE"/>
        </w:rPr>
        <w:t xml:space="preserve">ბავშვთა </w:t>
      </w:r>
      <w:r>
        <w:rPr>
          <w:rFonts w:ascii="Sylfaen" w:hAnsi="Sylfaen"/>
          <w:lang w:val="ka-GE"/>
        </w:rPr>
        <w:t xml:space="preserve">რეფერირების ცენტრის მიერ შერჩეულ სერვისში/პროგრამაში არასრულწლოვნის მონაწილეობა და მიღწეული შედეგები; </w:t>
      </w:r>
      <w:r w:rsidR="002677DD">
        <w:rPr>
          <w:rFonts w:ascii="Sylfaen" w:hAnsi="Sylfaen"/>
          <w:lang w:val="ka-GE"/>
        </w:rPr>
        <w:t xml:space="preserve">სისხლის სამართლის კოდექსით გათვალისწინებული მართლსაწინააღმდეგო ქმედების ჩადენის შემთხვევაში, მისი ხასიათი/სიმძიმე და სხვა მნიშვნელოვანი გარემოებები. </w:t>
      </w:r>
    </w:p>
    <w:p w:rsidR="00AC392D" w:rsidRPr="008723ED" w:rsidRDefault="00AC392D" w:rsidP="008723ED">
      <w:pPr>
        <w:ind w:firstLine="708"/>
        <w:jc w:val="both"/>
        <w:rPr>
          <w:rFonts w:ascii="Sylfaen" w:hAnsi="Sylfaen"/>
          <w:lang w:val="ka-GE"/>
        </w:rPr>
      </w:pPr>
      <w:r w:rsidRPr="008723ED">
        <w:rPr>
          <w:rFonts w:ascii="Sylfaen" w:hAnsi="Sylfaen"/>
          <w:lang w:val="ka-GE"/>
        </w:rPr>
        <w:t>3. სასამართლო პროცესზე არასრულწლოვანს წარმოადგენს მშობელი ან კანონიერი წარმომადგენელი. თუ არასრულწლოვანს არ ჰყავს მშობელი ან კანონიერი წარმომადგენელი, სასამართლო ვალდებულია მისი ინტერესების დასაცავად საქმეში ჩააბას მეურვეობისა და მზრუნველობის ორგანო.</w:t>
      </w:r>
    </w:p>
    <w:p w:rsidR="00AC392D" w:rsidRPr="008723ED" w:rsidRDefault="00AC392D" w:rsidP="008723ED">
      <w:pPr>
        <w:ind w:firstLine="708"/>
        <w:jc w:val="both"/>
        <w:rPr>
          <w:rFonts w:ascii="Sylfaen" w:hAnsi="Sylfaen"/>
          <w:lang w:val="ka-GE"/>
        </w:rPr>
      </w:pPr>
      <w:r w:rsidRPr="008723ED">
        <w:rPr>
          <w:rFonts w:ascii="Sylfaen" w:hAnsi="Sylfaen"/>
          <w:lang w:val="ka-GE"/>
        </w:rPr>
        <w:t>4. სასამართლოში მხარეთა გამოუცხადებლობა არ აბრკოლებს საქმის განხილვას.</w:t>
      </w:r>
    </w:p>
    <w:p w:rsidR="00AC392D" w:rsidRPr="008723ED" w:rsidRDefault="00AC392D" w:rsidP="008723ED">
      <w:pPr>
        <w:ind w:firstLine="708"/>
        <w:jc w:val="both"/>
        <w:rPr>
          <w:rFonts w:ascii="Sylfaen" w:hAnsi="Sylfaen"/>
          <w:lang w:val="ka-GE"/>
        </w:rPr>
      </w:pPr>
      <w:r w:rsidRPr="008723ED">
        <w:rPr>
          <w:rFonts w:ascii="Sylfaen" w:hAnsi="Sylfaen"/>
          <w:lang w:val="ka-GE"/>
        </w:rPr>
        <w:t>5. თბილისის საქალაქო სასამართლოს გადაწყვეტილება შეიძლება გადაწყვეტილების ჩაბარებიდან 10 დღის ვადაში გასაჩივრდეს თბილისის სააპელაციო სასამართლოში.</w:t>
      </w:r>
    </w:p>
    <w:p w:rsidR="00AC392D" w:rsidRPr="008723ED" w:rsidRDefault="00AC392D" w:rsidP="008723ED">
      <w:pPr>
        <w:ind w:firstLine="708"/>
        <w:jc w:val="both"/>
        <w:rPr>
          <w:rFonts w:ascii="Sylfaen" w:hAnsi="Sylfaen"/>
          <w:lang w:val="ka-GE"/>
        </w:rPr>
      </w:pPr>
      <w:r w:rsidRPr="008723ED">
        <w:rPr>
          <w:rFonts w:ascii="Sylfaen" w:hAnsi="Sylfaen"/>
          <w:lang w:val="ka-GE"/>
        </w:rPr>
        <w:t>6. სააპელაციო საჩივარი წარედგინება თბილისის საქალაქო სასამართლოს, რომელიც მას თანდართულ მასალებთან ერთად დაუყოვნებლივ უგზავნის თბილისის სააპელაციო სასამართლოს. თბილისის საქალაქო სასამართლოს გადაწყვეტილების გასაჩივრება არ აჩერებს მის მოქმედებას.</w:t>
      </w:r>
    </w:p>
    <w:p w:rsidR="00AC392D" w:rsidRPr="008723ED" w:rsidRDefault="00AC392D" w:rsidP="008723ED">
      <w:pPr>
        <w:ind w:firstLine="708"/>
        <w:jc w:val="both"/>
        <w:rPr>
          <w:rFonts w:ascii="Sylfaen" w:hAnsi="Sylfaen"/>
          <w:lang w:val="ka-GE"/>
        </w:rPr>
      </w:pPr>
      <w:r w:rsidRPr="008723ED">
        <w:rPr>
          <w:rFonts w:ascii="Sylfaen" w:hAnsi="Sylfaen"/>
          <w:lang w:val="ka-GE"/>
        </w:rPr>
        <w:t>7. თბილისის სააპელაციო სასამართლო საჩივარს განიხილავს მისი წარმოებაში მიღებიდან 10 დღის ვადაში.</w:t>
      </w:r>
    </w:p>
    <w:p w:rsidR="00484F82" w:rsidRPr="008723ED" w:rsidRDefault="00AC392D" w:rsidP="008723ED">
      <w:pPr>
        <w:ind w:firstLine="708"/>
        <w:jc w:val="both"/>
        <w:rPr>
          <w:rFonts w:ascii="Sylfaen" w:hAnsi="Sylfaen"/>
          <w:lang w:val="ka-GE"/>
        </w:rPr>
      </w:pPr>
      <w:r w:rsidRPr="008723ED">
        <w:rPr>
          <w:rFonts w:ascii="Sylfaen" w:hAnsi="Sylfaen"/>
          <w:lang w:val="ka-GE"/>
        </w:rPr>
        <w:t>8. თბილისის სააპელაციო სასამართლოს მიერ მიღებული გადაწყვეტილება (განჩინება) საბოლოოა და არ საჩივრდება.“</w:t>
      </w:r>
    </w:p>
    <w:p w:rsidR="00484F82" w:rsidRPr="008723ED" w:rsidRDefault="00484F82" w:rsidP="00484F82">
      <w:pPr>
        <w:ind w:firstLine="720"/>
        <w:jc w:val="both"/>
        <w:rPr>
          <w:rFonts w:ascii="Sylfaen" w:hAnsi="Sylfaen"/>
          <w:lang w:val="ka-GE"/>
        </w:rPr>
      </w:pPr>
      <w:r w:rsidRPr="008723ED">
        <w:rPr>
          <w:rFonts w:ascii="Sylfaen" w:hAnsi="Sylfaen" w:cs="Sylfaen"/>
          <w:b/>
          <w:lang w:val="ka-GE"/>
        </w:rPr>
        <w:t>მუხლი</w:t>
      </w:r>
      <w:r w:rsidRPr="008723ED">
        <w:rPr>
          <w:rFonts w:ascii="Sylfaen" w:hAnsi="Sylfaen"/>
          <w:b/>
          <w:lang w:val="ka-GE"/>
        </w:rPr>
        <w:t xml:space="preserve"> 2.</w:t>
      </w:r>
      <w:r w:rsidRPr="008723ED">
        <w:rPr>
          <w:rFonts w:ascii="Sylfaen" w:hAnsi="Sylfaen"/>
          <w:lang w:val="ka-GE"/>
        </w:rPr>
        <w:t xml:space="preserve"> </w:t>
      </w:r>
      <w:r w:rsidRPr="008723ED">
        <w:rPr>
          <w:rFonts w:ascii="Sylfaen" w:hAnsi="Sylfaen" w:cs="Sylfaen"/>
          <w:lang w:val="ka-GE"/>
        </w:rPr>
        <w:t>ეს</w:t>
      </w:r>
      <w:r w:rsidRPr="008723ED">
        <w:rPr>
          <w:rFonts w:ascii="Sylfaen" w:hAnsi="Sylfaen"/>
          <w:lang w:val="ka-GE"/>
        </w:rPr>
        <w:t xml:space="preserve"> </w:t>
      </w:r>
      <w:r w:rsidRPr="008723ED">
        <w:rPr>
          <w:rFonts w:ascii="Sylfaen" w:hAnsi="Sylfaen" w:cs="Sylfaen"/>
          <w:lang w:val="ka-GE"/>
        </w:rPr>
        <w:t>კანონი</w:t>
      </w:r>
      <w:r w:rsidRPr="008723ED">
        <w:rPr>
          <w:rFonts w:ascii="Sylfaen" w:hAnsi="Sylfaen"/>
          <w:lang w:val="ka-GE"/>
        </w:rPr>
        <w:t xml:space="preserve"> </w:t>
      </w:r>
      <w:r w:rsidRPr="008723ED">
        <w:rPr>
          <w:rFonts w:ascii="Sylfaen" w:hAnsi="Sylfaen" w:cs="Sylfaen"/>
          <w:lang w:val="ka-GE"/>
        </w:rPr>
        <w:t>ამოქმედდეს</w:t>
      </w:r>
      <w:r w:rsidRPr="008723ED">
        <w:rPr>
          <w:rFonts w:ascii="Sylfaen" w:hAnsi="Sylfaen"/>
          <w:lang w:val="ka-GE"/>
        </w:rPr>
        <w:t xml:space="preserve"> </w:t>
      </w:r>
      <w:r w:rsidR="001D2D06">
        <w:rPr>
          <w:rFonts w:ascii="Sylfaen" w:hAnsi="Sylfaen" w:cs="Sylfaen"/>
          <w:lang w:val="ka-GE"/>
        </w:rPr>
        <w:t>2019 წლის 1 იანვრიდან</w:t>
      </w:r>
      <w:r w:rsidRPr="008723ED">
        <w:rPr>
          <w:rFonts w:ascii="Sylfaen" w:hAnsi="Sylfaen"/>
          <w:lang w:val="ka-GE"/>
        </w:rPr>
        <w:t>.</w:t>
      </w:r>
    </w:p>
    <w:p w:rsidR="00484F82" w:rsidRPr="008723ED" w:rsidRDefault="00484F82" w:rsidP="00484F82">
      <w:pPr>
        <w:ind w:firstLine="720"/>
        <w:jc w:val="both"/>
        <w:rPr>
          <w:rFonts w:ascii="Sylfaen" w:hAnsi="Sylfaen"/>
          <w:lang w:val="ka-GE"/>
        </w:rPr>
      </w:pPr>
    </w:p>
    <w:p w:rsidR="00484F82" w:rsidRPr="008723ED" w:rsidRDefault="00484F82" w:rsidP="00484F82">
      <w:pPr>
        <w:pStyle w:val="abzacixml"/>
        <w:spacing w:before="0" w:beforeAutospacing="0" w:after="200" w:afterAutospacing="0" w:line="276" w:lineRule="auto"/>
        <w:ind w:right="-450"/>
        <w:jc w:val="both"/>
        <w:rPr>
          <w:rFonts w:ascii="Sylfaen" w:hAnsi="Sylfaen"/>
          <w:sz w:val="22"/>
          <w:szCs w:val="22"/>
          <w:lang w:val="ka-GE"/>
        </w:rPr>
      </w:pPr>
      <w:r w:rsidRPr="008723ED">
        <w:rPr>
          <w:rFonts w:ascii="Sylfaen" w:hAnsi="Sylfaen" w:cs="Sylfaen"/>
          <w:b/>
          <w:sz w:val="22"/>
          <w:szCs w:val="22"/>
          <w:lang w:val="ka-GE"/>
        </w:rPr>
        <w:t>საქართველოს</w:t>
      </w:r>
      <w:r w:rsidRPr="008723ED">
        <w:rPr>
          <w:rFonts w:ascii="Sylfaen" w:hAnsi="Sylfaen"/>
          <w:b/>
          <w:sz w:val="22"/>
          <w:szCs w:val="22"/>
          <w:lang w:val="ka-GE"/>
        </w:rPr>
        <w:t xml:space="preserve"> </w:t>
      </w:r>
      <w:r w:rsidRPr="008723ED">
        <w:rPr>
          <w:rFonts w:ascii="Sylfaen" w:hAnsi="Sylfaen" w:cs="Sylfaen"/>
          <w:b/>
          <w:sz w:val="22"/>
          <w:szCs w:val="22"/>
          <w:lang w:val="ka-GE"/>
        </w:rPr>
        <w:t>პრეზიდენტი</w:t>
      </w:r>
      <w:r w:rsidRPr="008723ED">
        <w:rPr>
          <w:rFonts w:ascii="Sylfaen" w:hAnsi="Sylfaen"/>
          <w:b/>
          <w:sz w:val="22"/>
          <w:szCs w:val="22"/>
          <w:lang w:val="ka-GE"/>
        </w:rPr>
        <w:t xml:space="preserve">                                                                                          </w:t>
      </w:r>
      <w:r w:rsidRPr="008723ED">
        <w:rPr>
          <w:rFonts w:ascii="Sylfaen" w:hAnsi="Sylfaen" w:cs="Sylfaen"/>
          <w:b/>
          <w:i/>
          <w:sz w:val="22"/>
          <w:szCs w:val="22"/>
          <w:lang w:val="ka-GE"/>
        </w:rPr>
        <w:t>გ</w:t>
      </w:r>
      <w:r w:rsidRPr="008723ED">
        <w:rPr>
          <w:rFonts w:ascii="Sylfaen" w:hAnsi="Sylfaen"/>
          <w:b/>
          <w:i/>
          <w:sz w:val="22"/>
          <w:szCs w:val="22"/>
          <w:lang w:val="ka-GE"/>
        </w:rPr>
        <w:t xml:space="preserve">. </w:t>
      </w:r>
      <w:r w:rsidRPr="008723ED">
        <w:rPr>
          <w:rFonts w:ascii="Sylfaen" w:hAnsi="Sylfaen" w:cs="Sylfaen"/>
          <w:b/>
          <w:i/>
          <w:sz w:val="22"/>
          <w:szCs w:val="22"/>
          <w:lang w:val="ka-GE"/>
        </w:rPr>
        <w:t>მარგველაშვილი</w:t>
      </w:r>
    </w:p>
    <w:p w:rsidR="00484F82" w:rsidRPr="008723ED" w:rsidRDefault="00484F82" w:rsidP="00484F82">
      <w:pPr>
        <w:rPr>
          <w:rFonts w:ascii="Sylfaen" w:hAnsi="Sylfaen" w:cs="Sylfaen"/>
          <w:b/>
          <w:lang w:val="ka-GE"/>
        </w:rPr>
      </w:pPr>
      <w:r w:rsidRPr="008723ED">
        <w:rPr>
          <w:rFonts w:ascii="Sylfaen" w:hAnsi="Sylfaen" w:cs="Sylfaen"/>
          <w:b/>
          <w:lang w:val="ka-GE"/>
        </w:rPr>
        <w:br w:type="page"/>
      </w:r>
    </w:p>
    <w:p w:rsidR="00484F82" w:rsidRPr="008723ED" w:rsidRDefault="00484F82" w:rsidP="00484F82">
      <w:pPr>
        <w:jc w:val="center"/>
        <w:rPr>
          <w:rFonts w:ascii="Sylfaen" w:hAnsi="Sylfaen"/>
          <w:b/>
          <w:lang w:val="ka-GE"/>
        </w:rPr>
      </w:pPr>
      <w:r w:rsidRPr="008723ED">
        <w:rPr>
          <w:rFonts w:ascii="Sylfaen" w:hAnsi="Sylfaen" w:cs="Sylfaen"/>
          <w:b/>
          <w:lang w:val="ka-GE"/>
        </w:rPr>
        <w:lastRenderedPageBreak/>
        <w:t>განმარტებითი</w:t>
      </w:r>
      <w:r w:rsidRPr="008723ED">
        <w:rPr>
          <w:rFonts w:ascii="Sylfaen" w:hAnsi="Sylfaen"/>
          <w:b/>
          <w:lang w:val="ka-GE"/>
        </w:rPr>
        <w:t xml:space="preserve"> </w:t>
      </w:r>
      <w:r w:rsidRPr="008723ED">
        <w:rPr>
          <w:rFonts w:ascii="Sylfaen" w:hAnsi="Sylfaen" w:cs="Sylfaen"/>
          <w:b/>
          <w:lang w:val="ka-GE"/>
        </w:rPr>
        <w:t>ბარათი</w:t>
      </w:r>
    </w:p>
    <w:p w:rsidR="00484F82" w:rsidRPr="008723ED" w:rsidRDefault="00484F82" w:rsidP="00484F82">
      <w:pPr>
        <w:jc w:val="center"/>
        <w:rPr>
          <w:rFonts w:ascii="Sylfaen" w:hAnsi="Sylfaen"/>
          <w:b/>
          <w:lang w:val="ka-GE"/>
        </w:rPr>
      </w:pPr>
      <w:r w:rsidRPr="008723ED">
        <w:rPr>
          <w:rFonts w:ascii="Sylfaen" w:hAnsi="Sylfaen"/>
          <w:b/>
          <w:lang w:val="ka-GE"/>
        </w:rPr>
        <w:t xml:space="preserve">„საქართველოს ადმინისტრაციულ </w:t>
      </w:r>
      <w:r w:rsidR="008B061C" w:rsidRPr="008723ED">
        <w:rPr>
          <w:rFonts w:ascii="Sylfaen" w:hAnsi="Sylfaen"/>
          <w:b/>
          <w:lang w:val="ka-GE"/>
        </w:rPr>
        <w:t>საპროცესო</w:t>
      </w:r>
      <w:r w:rsidRPr="008723ED">
        <w:rPr>
          <w:rFonts w:ascii="Sylfaen" w:hAnsi="Sylfaen"/>
          <w:b/>
          <w:lang w:val="ka-GE"/>
        </w:rPr>
        <w:t xml:space="preserve"> კოდექსში ცვლილებების შეტანის თაობაზე“</w:t>
      </w:r>
    </w:p>
    <w:p w:rsidR="00484F82" w:rsidRPr="008723ED" w:rsidRDefault="00484F82" w:rsidP="00484F82">
      <w:pPr>
        <w:jc w:val="center"/>
        <w:rPr>
          <w:rFonts w:ascii="Sylfaen" w:hAnsi="Sylfaen" w:cs="Sylfaen"/>
          <w:b/>
          <w:lang w:val="ka-GE"/>
        </w:rPr>
      </w:pPr>
      <w:r w:rsidRPr="008723ED">
        <w:rPr>
          <w:rFonts w:ascii="Sylfaen" w:hAnsi="Sylfaen" w:cs="Sylfaen"/>
          <w:b/>
          <w:lang w:val="ka-GE"/>
        </w:rPr>
        <w:t>საქართველოს</w:t>
      </w:r>
      <w:r w:rsidRPr="008723ED">
        <w:rPr>
          <w:rFonts w:ascii="Sylfaen" w:hAnsi="Sylfaen"/>
          <w:b/>
          <w:lang w:val="ka-GE"/>
        </w:rPr>
        <w:t xml:space="preserve"> </w:t>
      </w:r>
      <w:r w:rsidRPr="008723ED">
        <w:rPr>
          <w:rFonts w:ascii="Sylfaen" w:hAnsi="Sylfaen" w:cs="Sylfaen"/>
          <w:b/>
          <w:lang w:val="ka-GE"/>
        </w:rPr>
        <w:t>კანონის</w:t>
      </w:r>
      <w:r w:rsidRPr="008723ED">
        <w:rPr>
          <w:rFonts w:ascii="Sylfaen" w:hAnsi="Sylfaen"/>
          <w:b/>
          <w:lang w:val="ka-GE"/>
        </w:rPr>
        <w:t xml:space="preserve"> </w:t>
      </w:r>
      <w:r w:rsidRPr="008723ED">
        <w:rPr>
          <w:rFonts w:ascii="Sylfaen" w:hAnsi="Sylfaen" w:cs="Sylfaen"/>
          <w:b/>
          <w:lang w:val="ka-GE"/>
        </w:rPr>
        <w:t>პროექტზე</w:t>
      </w:r>
    </w:p>
    <w:p w:rsidR="00484F82" w:rsidRPr="008723ED" w:rsidRDefault="00484F82" w:rsidP="00484F82">
      <w:pPr>
        <w:ind w:firstLine="720"/>
        <w:jc w:val="both"/>
        <w:rPr>
          <w:rFonts w:ascii="Sylfaen" w:hAnsi="Sylfaen"/>
          <w:b/>
          <w:bCs/>
          <w:lang w:val="ka-GE"/>
        </w:rPr>
      </w:pPr>
      <w:r w:rsidRPr="008723ED">
        <w:rPr>
          <w:rFonts w:ascii="Sylfaen" w:hAnsi="Sylfaen"/>
          <w:b/>
          <w:bCs/>
          <w:lang w:val="ka-GE"/>
        </w:rPr>
        <w:t>ა) ზოგადი ინფორმაცია კანონპროექტის შესახებ</w:t>
      </w:r>
    </w:p>
    <w:p w:rsidR="00484F82" w:rsidRPr="008723ED" w:rsidRDefault="00484F82" w:rsidP="00484F82">
      <w:pPr>
        <w:ind w:firstLine="720"/>
        <w:jc w:val="both"/>
        <w:rPr>
          <w:rFonts w:ascii="Sylfaen" w:hAnsi="Sylfaen"/>
          <w:b/>
          <w:bCs/>
          <w:lang w:val="ka-GE"/>
        </w:rPr>
      </w:pPr>
      <w:r w:rsidRPr="008723ED">
        <w:rPr>
          <w:rFonts w:ascii="Sylfaen" w:hAnsi="Sylfaen"/>
          <w:b/>
          <w:bCs/>
          <w:lang w:val="ka-GE"/>
        </w:rPr>
        <w:t>ა.ა) კანონპროექტის მიღების მიზეზი:</w:t>
      </w:r>
    </w:p>
    <w:p w:rsidR="006D5C53" w:rsidRPr="008723ED" w:rsidRDefault="006D5C53" w:rsidP="008723ED">
      <w:pPr>
        <w:ind w:firstLine="708"/>
        <w:jc w:val="both"/>
        <w:rPr>
          <w:rFonts w:ascii="Sylfaen" w:eastAsia="Sylfaen" w:hAnsi="Sylfaen" w:cs="Times New Roman"/>
          <w:bCs/>
          <w:lang w:val="ka-GE"/>
        </w:rPr>
      </w:pPr>
      <w:r w:rsidRPr="008723ED">
        <w:rPr>
          <w:rFonts w:ascii="Sylfaen" w:eastAsia="Sylfaen" w:hAnsi="Sylfaen" w:cs="Times New Roman"/>
          <w:bCs/>
          <w:lang w:val="ka-GE"/>
        </w:rPr>
        <w:t xml:space="preserve">კანონპროექტის მიღების მიზეზია </w:t>
      </w:r>
      <w:r w:rsidRPr="008723ED">
        <w:rPr>
          <w:rFonts w:ascii="Sylfaen" w:hAnsi="Sylfaen" w:cs="Sylfaen"/>
          <w:bCs/>
          <w:lang w:val="ka-GE"/>
        </w:rPr>
        <w:t xml:space="preserve">„ზოგადი განათლების შესახებ“ საქართველოს კანონიდან ბავშვის სკოლა-პანსიონში გაგზავნასთან დაკავშირებით არსებული ნორმების ამოღება და </w:t>
      </w:r>
      <w:r w:rsidRPr="008723ED">
        <w:rPr>
          <w:rFonts w:ascii="Sylfaen" w:eastAsia="Sylfaen" w:hAnsi="Sylfaen" w:cs="Times New Roman"/>
          <w:bCs/>
          <w:lang w:val="ka-GE"/>
        </w:rPr>
        <w:t xml:space="preserve">ბავშვთა რეფერირების მექანიზმის შექმნა რის გამოც, აუცილებელია ბავშვის სკოლა-პანსიონში გაგზავნის პროცედურის ცვლილება. </w:t>
      </w:r>
    </w:p>
    <w:p w:rsidR="00484F82" w:rsidRPr="008723ED" w:rsidRDefault="00484F82" w:rsidP="00484F82">
      <w:pPr>
        <w:ind w:firstLine="720"/>
        <w:jc w:val="both"/>
        <w:rPr>
          <w:rFonts w:ascii="Sylfaen" w:hAnsi="Sylfaen"/>
          <w:b/>
          <w:bCs/>
          <w:lang w:val="ka-GE"/>
        </w:rPr>
      </w:pPr>
      <w:r w:rsidRPr="008723ED">
        <w:rPr>
          <w:rFonts w:ascii="Sylfaen" w:hAnsi="Sylfaen" w:cs="Sylfaen"/>
          <w:b/>
          <w:bCs/>
          <w:lang w:val="ka-GE"/>
        </w:rPr>
        <w:t>ა</w:t>
      </w:r>
      <w:r w:rsidRPr="008723ED">
        <w:rPr>
          <w:rFonts w:ascii="Sylfaen" w:hAnsi="Sylfaen"/>
          <w:b/>
          <w:bCs/>
          <w:lang w:val="ka-GE"/>
        </w:rPr>
        <w:t>.</w:t>
      </w:r>
      <w:r w:rsidRPr="008723ED">
        <w:rPr>
          <w:rFonts w:ascii="Sylfaen" w:hAnsi="Sylfaen" w:cs="Sylfaen"/>
          <w:b/>
          <w:bCs/>
          <w:lang w:val="ka-GE"/>
        </w:rPr>
        <w:t>ბ</w:t>
      </w:r>
      <w:r w:rsidRPr="008723ED">
        <w:rPr>
          <w:rFonts w:ascii="Sylfaen" w:hAnsi="Sylfaen"/>
          <w:b/>
          <w:bCs/>
          <w:lang w:val="ka-GE"/>
        </w:rPr>
        <w:t xml:space="preserve">) </w:t>
      </w:r>
      <w:r w:rsidRPr="008723ED">
        <w:rPr>
          <w:rFonts w:ascii="Sylfaen" w:hAnsi="Sylfaen" w:cs="Sylfaen"/>
          <w:b/>
          <w:bCs/>
          <w:lang w:val="ka-GE"/>
        </w:rPr>
        <w:t>კანონპროექტის</w:t>
      </w:r>
      <w:r w:rsidRPr="008723ED">
        <w:rPr>
          <w:rFonts w:ascii="Sylfaen" w:hAnsi="Sylfaen"/>
          <w:b/>
          <w:bCs/>
          <w:lang w:val="ka-GE"/>
        </w:rPr>
        <w:t xml:space="preserve"> </w:t>
      </w:r>
      <w:r w:rsidRPr="008723ED">
        <w:rPr>
          <w:rFonts w:ascii="Sylfaen" w:hAnsi="Sylfaen" w:cs="Sylfaen"/>
          <w:b/>
          <w:bCs/>
          <w:lang w:val="ka-GE"/>
        </w:rPr>
        <w:t>მიზანი</w:t>
      </w:r>
      <w:r w:rsidRPr="008723ED">
        <w:rPr>
          <w:rFonts w:ascii="Sylfaen" w:hAnsi="Sylfaen"/>
          <w:b/>
          <w:bCs/>
          <w:lang w:val="ka-GE"/>
        </w:rPr>
        <w:t>:</w:t>
      </w:r>
    </w:p>
    <w:p w:rsidR="006D5C53" w:rsidRPr="008723ED" w:rsidRDefault="006D5C53" w:rsidP="008723ED">
      <w:pPr>
        <w:ind w:firstLine="708"/>
        <w:jc w:val="both"/>
        <w:rPr>
          <w:rFonts w:ascii="Sylfaen" w:eastAsia="Sylfaen" w:hAnsi="Sylfaen" w:cs="Times New Roman"/>
          <w:bCs/>
          <w:lang w:val="ka-GE"/>
        </w:rPr>
      </w:pPr>
      <w:r w:rsidRPr="008723ED">
        <w:rPr>
          <w:rFonts w:ascii="Sylfaen" w:eastAsia="Sylfaen" w:hAnsi="Sylfaen" w:cs="Times New Roman"/>
          <w:bCs/>
          <w:lang w:val="ka-GE"/>
        </w:rPr>
        <w:t>კანონპროექტის მიღების მიზანია „ბავშვთა რეფერირების წესის დამტკიცების თაობაზე“ საქართველოს მთავრობის მიერ დადგენილ სტანდარტებზე ბავშვის სკოლა-პანსიონში გაგზავნის პროცედურის მორგება.</w:t>
      </w:r>
    </w:p>
    <w:p w:rsidR="00484F82" w:rsidRPr="008723ED" w:rsidRDefault="00484F82" w:rsidP="00484F82">
      <w:pPr>
        <w:ind w:firstLine="709"/>
        <w:jc w:val="both"/>
        <w:rPr>
          <w:rFonts w:ascii="Sylfaen" w:hAnsi="Sylfaen" w:cs="Sylfaen"/>
          <w:b/>
          <w:bCs/>
          <w:lang w:val="ka-GE"/>
        </w:rPr>
      </w:pPr>
      <w:r w:rsidRPr="008723ED">
        <w:rPr>
          <w:rFonts w:ascii="Sylfaen" w:hAnsi="Sylfaen" w:cs="Sylfaen"/>
          <w:b/>
          <w:bCs/>
          <w:lang w:val="ka-GE"/>
        </w:rPr>
        <w:t>ა.გ) კანონპროექტის ძირითადი არსი:</w:t>
      </w:r>
    </w:p>
    <w:p w:rsidR="006D5C53" w:rsidRPr="008723ED" w:rsidRDefault="006D5C53" w:rsidP="008723ED">
      <w:pPr>
        <w:ind w:firstLine="708"/>
        <w:jc w:val="both"/>
        <w:rPr>
          <w:rFonts w:ascii="Sylfaen" w:hAnsi="Sylfaen" w:cs="Sylfaen"/>
          <w:bCs/>
          <w:lang w:val="ka-GE"/>
        </w:rPr>
      </w:pPr>
      <w:r w:rsidRPr="008723ED">
        <w:rPr>
          <w:rFonts w:ascii="Sylfaen" w:hAnsi="Sylfaen" w:cs="Sylfaen"/>
          <w:bCs/>
          <w:lang w:val="ka-GE"/>
        </w:rPr>
        <w:t>„ზოგადი განათლების შესახებ“ საქართველოს კანონში ბავშვის სკოლა-პანსიონში გაგზავნასთან დაკავშირებით არსებული ნორმები უქმდება. დღეს არსებული წესისგან განსხვავებით, „</w:t>
      </w:r>
      <w:r w:rsidRPr="008723ED">
        <w:rPr>
          <w:rFonts w:ascii="Sylfaen" w:eastAsia="Sylfaen" w:hAnsi="Sylfaen" w:cs="Times New Roman"/>
          <w:bCs/>
          <w:lang w:val="ka-GE"/>
        </w:rPr>
        <w:t xml:space="preserve">ბავშვთა რეფერირების წესის დამტკიცების თაობაზე“ საქართველოს მთავრობის დადგენილების თანახმად </w:t>
      </w:r>
      <w:r w:rsidRPr="008723ED">
        <w:rPr>
          <w:rFonts w:ascii="Sylfaen" w:hAnsi="Sylfaen" w:cs="Sylfaen"/>
          <w:bCs/>
          <w:lang w:val="ka-GE"/>
        </w:rPr>
        <w:t>ბავშვის სკოლა-პანსიონში გაგზავნის შესახებ გადაწყვეტილების მიღების უფლებამოსილება მხოლოდ სასამართლოს ექნება. სასამართლოსთვის მიმართვა საჭირო არ იქნება მხოლოდ იმ შემთხვევაში, თუ ბავშვის კანონიერი წარმომადგენელი/ფაქტობრივი მზრუნველი დაეთანხმება ბავშვის სკოლა-პანსიონში გაგზავნის საკითხს. შესაბამისად, ადმინისტრაციული საპროცესო კოდექსიდან ხდება იმ ნორმების ამოღება, რომლებიც ეხება არასრულწლოვნის სკოლა-პანსიონში გაგზავნის შესახებ ექსპერტთა ჯგუფის მიერ მიღებული გადაწყვეტილების თაობაზე სარჩელის წარდგენა</w:t>
      </w:r>
      <w:r w:rsidR="007D638C" w:rsidRPr="008723ED">
        <w:rPr>
          <w:rFonts w:ascii="Sylfaen" w:hAnsi="Sylfaen" w:cs="Sylfaen"/>
          <w:bCs/>
          <w:lang w:val="ka-GE"/>
        </w:rPr>
        <w:t>ს და მის განხილვას.</w:t>
      </w:r>
      <w:r w:rsidR="002677DD">
        <w:rPr>
          <w:rFonts w:ascii="Sylfaen" w:hAnsi="Sylfaen" w:cs="Sylfaen"/>
          <w:bCs/>
          <w:lang w:val="ka-GE"/>
        </w:rPr>
        <w:t xml:space="preserve"> კოდექსში კონკრეტდება ის გარემოებები, რომლითაც მოსამართლე ხელმძღვანელობს სკოლა-პანსიონში ბავშვის გაგზავნასთან დაკავშირებით გადაწყვეტილების მიღებისას. კერძოდ, </w:t>
      </w:r>
      <w:r w:rsidR="002677DD">
        <w:rPr>
          <w:rFonts w:ascii="Sylfaen" w:hAnsi="Sylfaen"/>
          <w:lang w:val="ka-GE"/>
        </w:rPr>
        <w:t>საქმის განხილვისას, საქმისთვის მნიშვნელოვან სხვა გარემოებებთან ერთად, მოსამართლე ხელმძღვანელობს არასრულწლოვნის</w:t>
      </w:r>
      <w:r w:rsidR="002677DD" w:rsidRPr="003B4FAC">
        <w:rPr>
          <w:rFonts w:ascii="Sylfaen" w:hAnsi="Sylfaen"/>
          <w:lang w:val="ka-GE"/>
        </w:rPr>
        <w:t xml:space="preserve"> ინდივიდუალური შეფასების ანგარიში</w:t>
      </w:r>
      <w:r w:rsidR="002677DD">
        <w:rPr>
          <w:rFonts w:ascii="Sylfaen" w:hAnsi="Sylfaen"/>
          <w:lang w:val="ka-GE"/>
        </w:rPr>
        <w:t>თ</w:t>
      </w:r>
      <w:r w:rsidR="002677DD" w:rsidRPr="003B4FAC">
        <w:rPr>
          <w:rFonts w:ascii="Sylfaen" w:hAnsi="Sylfaen"/>
          <w:lang w:val="ka-GE"/>
        </w:rPr>
        <w:t xml:space="preserve"> და </w:t>
      </w:r>
      <w:r w:rsidR="002677DD">
        <w:rPr>
          <w:rFonts w:ascii="Sylfaen" w:hAnsi="Sylfaen"/>
          <w:lang w:val="ka-GE"/>
        </w:rPr>
        <w:t>მისი</w:t>
      </w:r>
      <w:r w:rsidR="002677DD" w:rsidRPr="003B4FAC">
        <w:rPr>
          <w:rFonts w:ascii="Sylfaen" w:hAnsi="Sylfaen"/>
          <w:lang w:val="ka-GE"/>
        </w:rPr>
        <w:t xml:space="preserve"> რთული ქცევის ან/და სავარაუდოდ ჩადენილი დანაშაულის დამადასტურებელი დოკუმენტები</w:t>
      </w:r>
      <w:r w:rsidR="002677DD">
        <w:rPr>
          <w:rFonts w:ascii="Sylfaen" w:hAnsi="Sylfaen"/>
          <w:lang w:val="ka-GE"/>
        </w:rPr>
        <w:t xml:space="preserve">თ, რომლებიც თან ერთვის შუამდგომლობას. გადაწყვეტილების მიღებისას მხედველობაში მიიღება ისეთი გარემოებები, როგორიცაა არასრულწლოვნის ან/და მისი კანონიერი წარმომადგენლის ბავშვთა რეფერირების ცენტრთან თანამშრომლობა; ბავშვთა რეფერირების ცენტრის მიერ </w:t>
      </w:r>
      <w:r w:rsidR="002677DD">
        <w:rPr>
          <w:rFonts w:ascii="Sylfaen" w:hAnsi="Sylfaen"/>
          <w:lang w:val="ka-GE"/>
        </w:rPr>
        <w:lastRenderedPageBreak/>
        <w:t>შერჩეულ სერვისში/პროგრამაში არასრულწლოვნის მონაწილეობა და მიღწეული შედეგები; სისხლის სამართლის კოდექსით გათვალისწინებული მართლსაწინააღმდეგო ქმედების ჩადენის შემთხვევაში, მისი ხასიათი/სიმძიმე და სხვა მნიშვნელოვანი გარემოებები.</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ბ) კანონპროექტის ფინანსური დასაბუთება</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ბ.ა) კანონპროექტის მიღებასთან დაკავშირებული აუცილებელი ხარჯების დაფინანსების წყარო</w:t>
      </w:r>
    </w:p>
    <w:p w:rsidR="00484F82" w:rsidRPr="008723ED" w:rsidRDefault="00484F82" w:rsidP="00484F82">
      <w:pPr>
        <w:ind w:firstLine="720"/>
        <w:jc w:val="both"/>
        <w:rPr>
          <w:rFonts w:ascii="Sylfaen" w:hAnsi="Sylfaen" w:cs="AcadNusx"/>
          <w:b/>
          <w:bCs/>
          <w:lang w:val="ka-GE"/>
        </w:rPr>
      </w:pPr>
      <w:r w:rsidRPr="008723ED">
        <w:rPr>
          <w:rFonts w:ascii="Sylfaen" w:hAnsi="Sylfaen" w:cs="AcadNusx"/>
          <w:lang w:val="ka-GE"/>
        </w:rPr>
        <w:t>კანონპროექტის მიღება არ გამოიწვევს 2018 წლის სახელმწიფო ბიუჯეტიდან ხარჯების გამოყოფას.</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ბ.ბ) კანონპროექტის გავლენა ბიუჯეტის საშემოსავლო ნაწილზე</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 xml:space="preserve">კანონპროექტის მიღება არ გამოიწვევს სახელმწიფო ბიუჯეტის საშემოსავლო ნაწილის ცვლილებას. </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ბ.გ) კანონპროექტის გავლენა ბიუჯეტის ხარჯვით ნაწილზე</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 xml:space="preserve">კანონპროექტის მიღება არ გამოიწვევს 2018 წლის სახელმწიფო ბიუჯეტის ხარჯვითი ნაწილის ცვლილებას. </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ბ.დ) სახელმწიფოს ახალი ფინანსური ვალდებულებები</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rsidR="00484F82" w:rsidRPr="008723ED" w:rsidRDefault="00484F82" w:rsidP="00484F82">
      <w:pPr>
        <w:ind w:firstLine="720"/>
        <w:jc w:val="both"/>
        <w:rPr>
          <w:rFonts w:ascii="Sylfaen" w:hAnsi="Sylfaen"/>
          <w:b/>
          <w:lang w:val="ka-GE"/>
        </w:rPr>
      </w:pPr>
      <w:r w:rsidRPr="008723ED">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484F82" w:rsidRPr="008723ED" w:rsidRDefault="00484F82" w:rsidP="00484F82">
      <w:pPr>
        <w:ind w:firstLine="720"/>
        <w:jc w:val="both"/>
        <w:rPr>
          <w:rFonts w:ascii="Sylfaen" w:hAnsi="Sylfaen"/>
          <w:lang w:val="ka-GE"/>
        </w:rPr>
      </w:pPr>
      <w:r w:rsidRPr="008723ED">
        <w:rPr>
          <w:rFonts w:ascii="Sylfaen" w:hAnsi="Sylfaen" w:cs="AcadNusx"/>
          <w:lang w:val="ka-GE"/>
        </w:rPr>
        <w:t xml:space="preserve">კანონპროექტის მიღება </w:t>
      </w:r>
      <w:r w:rsidRPr="008723ED">
        <w:rPr>
          <w:rFonts w:ascii="Sylfaen" w:hAnsi="Sylfaen"/>
          <w:lang w:val="ka-GE"/>
        </w:rPr>
        <w:t xml:space="preserve">არ იწვევს ფინანსურ შედეგებს. </w:t>
      </w:r>
    </w:p>
    <w:p w:rsidR="00484F82" w:rsidRPr="008723ED" w:rsidRDefault="00484F82" w:rsidP="00484F82">
      <w:pPr>
        <w:ind w:firstLine="720"/>
        <w:jc w:val="both"/>
        <w:rPr>
          <w:rFonts w:ascii="Sylfaen" w:hAnsi="Sylfaen"/>
          <w:b/>
          <w:lang w:val="ka-GE"/>
        </w:rPr>
      </w:pPr>
      <w:r w:rsidRPr="008723ED">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484F82" w:rsidRPr="008723ED" w:rsidRDefault="00484F82" w:rsidP="00484F82">
      <w:pPr>
        <w:ind w:firstLine="720"/>
        <w:jc w:val="both"/>
        <w:rPr>
          <w:rFonts w:ascii="Sylfaen" w:hAnsi="Sylfaen"/>
          <w:lang w:val="ka-GE"/>
        </w:rPr>
      </w:pPr>
      <w:r w:rsidRPr="008723ED">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გ) კანონპროექტის მიმართება საერთაშორისო სამართლებრივ   სტანდარტებთან</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გ.ა) კანონპროექტის მიმართება ევროკავშირის დირექტივებთან</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კანონპროექტი არ ეწინააღმდეგება ევროკავშირის დირექტივებს.</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გ.გ) კანონპროექტის მიმართება საქართველოს ორმხრივ და მრავალმხრივ ხელშეკრულებებთან</w:t>
      </w:r>
    </w:p>
    <w:p w:rsidR="00484F82" w:rsidRPr="008723ED" w:rsidRDefault="00484F82" w:rsidP="00484F82">
      <w:pPr>
        <w:ind w:firstLine="720"/>
        <w:jc w:val="both"/>
        <w:rPr>
          <w:rFonts w:ascii="Sylfaen" w:hAnsi="Sylfaen" w:cs="AcadNusx"/>
          <w:bCs/>
          <w:lang w:val="ka-GE"/>
        </w:rPr>
      </w:pPr>
      <w:r w:rsidRPr="008723ED">
        <w:rPr>
          <w:rFonts w:ascii="Sylfaen" w:hAnsi="Sylfaen" w:cs="AcadNusx"/>
          <w:lang w:val="ka-GE"/>
        </w:rPr>
        <w:t xml:space="preserve">კანონპროექტი არ ეწინააღმდეგება </w:t>
      </w:r>
      <w:r w:rsidRPr="008723ED">
        <w:rPr>
          <w:rFonts w:ascii="Sylfaen" w:hAnsi="Sylfaen" w:cs="AcadNusx"/>
          <w:bCs/>
          <w:lang w:val="ka-GE"/>
        </w:rPr>
        <w:t xml:space="preserve">საქართველოს ორმხრივ და მრავალმხრივ ხელშეკრულებებს. </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დ) კანონპროექტის მომზადების პროცესში მიღებული კონსულტაციები</w:t>
      </w:r>
      <w:r w:rsidRPr="008723ED">
        <w:rPr>
          <w:rFonts w:ascii="Sylfaen" w:hAnsi="Sylfaen" w:cs="AcadNusx"/>
          <w:b/>
          <w:bCs/>
          <w:lang w:val="ka-GE"/>
        </w:rPr>
        <w:tab/>
      </w:r>
    </w:p>
    <w:p w:rsidR="00484F82" w:rsidRPr="008723ED" w:rsidRDefault="00484F82" w:rsidP="00484F82">
      <w:pPr>
        <w:ind w:firstLine="720"/>
        <w:jc w:val="both"/>
        <w:rPr>
          <w:rFonts w:ascii="Sylfaen" w:hAnsi="Sylfaen"/>
          <w:b/>
          <w:lang w:val="ka-GE"/>
        </w:rPr>
      </w:pPr>
      <w:r w:rsidRPr="008723ED">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484F82" w:rsidRPr="008723ED" w:rsidRDefault="00484F82" w:rsidP="00484F82">
      <w:pPr>
        <w:ind w:firstLine="720"/>
        <w:jc w:val="both"/>
        <w:rPr>
          <w:rFonts w:ascii="Sylfaen" w:hAnsi="Sylfaen"/>
          <w:b/>
          <w:lang w:val="ka-GE"/>
        </w:rPr>
      </w:pPr>
      <w:r w:rsidRPr="008723ED">
        <w:rPr>
          <w:rFonts w:ascii="Sylfaen" w:hAnsi="Sylfaen" w:cs="AcadNusx"/>
          <w:lang w:val="ka-GE"/>
        </w:rPr>
        <w:t> </w:t>
      </w:r>
      <w:r w:rsidRPr="008723ED">
        <w:rPr>
          <w:rFonts w:ascii="Sylfaen" w:hAnsi="Sylfae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ასეთი არ არსებობს.</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ე) კანონპროექტის ავტორი:</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კანონპროექტის ავტორია საქართველოს იუსტიციის სამინისტრო.</w:t>
      </w:r>
    </w:p>
    <w:p w:rsidR="00484F82" w:rsidRPr="008723ED" w:rsidRDefault="00484F82" w:rsidP="00484F82">
      <w:pPr>
        <w:ind w:firstLine="720"/>
        <w:jc w:val="both"/>
        <w:rPr>
          <w:rFonts w:ascii="Sylfaen" w:hAnsi="Sylfaen" w:cs="AcadNusx"/>
          <w:b/>
          <w:bCs/>
          <w:lang w:val="ka-GE"/>
        </w:rPr>
      </w:pPr>
      <w:r w:rsidRPr="008723ED">
        <w:rPr>
          <w:rFonts w:ascii="Sylfaen" w:hAnsi="Sylfaen" w:cs="AcadNusx"/>
          <w:b/>
          <w:bCs/>
          <w:lang w:val="ka-GE"/>
        </w:rPr>
        <w:t>ვ) კანონპროექტის ინიციატორი:</w:t>
      </w:r>
    </w:p>
    <w:p w:rsidR="00484F82" w:rsidRPr="008723ED" w:rsidRDefault="00484F82" w:rsidP="00484F82">
      <w:pPr>
        <w:ind w:firstLine="720"/>
        <w:jc w:val="both"/>
        <w:rPr>
          <w:rFonts w:ascii="Sylfaen" w:hAnsi="Sylfaen" w:cs="AcadNusx"/>
          <w:lang w:val="ka-GE"/>
        </w:rPr>
      </w:pPr>
      <w:r w:rsidRPr="008723ED">
        <w:rPr>
          <w:rFonts w:ascii="Sylfaen" w:hAnsi="Sylfaen" w:cs="AcadNusx"/>
          <w:lang w:val="ka-GE"/>
        </w:rPr>
        <w:t>კანონპროექტის ინიციატორია საქართველოს მთავრობა.</w:t>
      </w:r>
    </w:p>
    <w:p w:rsidR="00484F82" w:rsidRPr="008723ED" w:rsidRDefault="00484F82" w:rsidP="00484F82">
      <w:pPr>
        <w:rPr>
          <w:rFonts w:ascii="Sylfaen" w:hAnsi="Sylfaen" w:cs="AcadNusx"/>
          <w:lang w:val="ka-GE"/>
        </w:rPr>
      </w:pPr>
      <w:r w:rsidRPr="008723ED">
        <w:rPr>
          <w:rFonts w:ascii="Sylfaen" w:hAnsi="Sylfaen" w:cs="AcadNusx"/>
          <w:lang w:val="ka-GE"/>
        </w:rPr>
        <w:br w:type="page"/>
      </w:r>
    </w:p>
    <w:p w:rsidR="00484F82" w:rsidRPr="008723ED" w:rsidRDefault="00484F82" w:rsidP="00484F82">
      <w:pPr>
        <w:jc w:val="center"/>
        <w:rPr>
          <w:rFonts w:ascii="Sylfaen" w:hAnsi="Sylfaen" w:cs="Sylfaen"/>
          <w:b/>
          <w:lang w:val="ka-GE"/>
        </w:rPr>
      </w:pPr>
      <w:r w:rsidRPr="008723ED">
        <w:rPr>
          <w:rFonts w:ascii="Sylfaen" w:hAnsi="Sylfaen"/>
          <w:b/>
          <w:lang w:val="ka-GE"/>
        </w:rPr>
        <w:lastRenderedPageBreak/>
        <w:t>საქართველოს ადმინისტრაციულ</w:t>
      </w:r>
      <w:r w:rsidR="008C63CD" w:rsidRPr="008723ED">
        <w:rPr>
          <w:rFonts w:ascii="Sylfaen" w:hAnsi="Sylfaen"/>
          <w:b/>
          <w:lang w:val="ka-GE"/>
        </w:rPr>
        <w:t>ი</w:t>
      </w:r>
      <w:r w:rsidRPr="008723ED">
        <w:rPr>
          <w:rFonts w:ascii="Sylfaen" w:hAnsi="Sylfaen"/>
          <w:b/>
          <w:lang w:val="ka-GE"/>
        </w:rPr>
        <w:t xml:space="preserve"> </w:t>
      </w:r>
      <w:r w:rsidR="008B061C" w:rsidRPr="008723ED">
        <w:rPr>
          <w:rFonts w:ascii="Sylfaen" w:hAnsi="Sylfaen"/>
          <w:b/>
          <w:lang w:val="ka-GE"/>
        </w:rPr>
        <w:t>საპროცესო</w:t>
      </w:r>
      <w:r w:rsidRPr="008723ED">
        <w:rPr>
          <w:rFonts w:ascii="Sylfaen" w:hAnsi="Sylfaen"/>
          <w:b/>
          <w:lang w:val="ka-GE"/>
        </w:rPr>
        <w:t xml:space="preserve"> კოდექსის </w:t>
      </w:r>
      <w:r w:rsidRPr="008723ED">
        <w:rPr>
          <w:rFonts w:ascii="Sylfaen" w:hAnsi="Sylfaen" w:cs="Sylfaen"/>
          <w:b/>
          <w:lang w:val="ka-GE"/>
        </w:rPr>
        <w:t>იმ</w:t>
      </w:r>
      <w:r w:rsidRPr="008723ED">
        <w:rPr>
          <w:rFonts w:ascii="Sylfaen" w:hAnsi="Sylfaen"/>
          <w:b/>
          <w:lang w:val="ka-GE"/>
        </w:rPr>
        <w:t xml:space="preserve"> </w:t>
      </w:r>
      <w:r w:rsidRPr="008723ED">
        <w:rPr>
          <w:rFonts w:ascii="Sylfaen" w:hAnsi="Sylfaen" w:cs="Sylfaen"/>
          <w:b/>
          <w:lang w:val="ka-GE"/>
        </w:rPr>
        <w:t>მუხლების</w:t>
      </w:r>
      <w:r w:rsidRPr="008723ED">
        <w:rPr>
          <w:rFonts w:ascii="Sylfaen" w:hAnsi="Sylfaen"/>
          <w:b/>
          <w:lang w:val="ka-GE"/>
        </w:rPr>
        <w:t xml:space="preserve"> მოქმედი </w:t>
      </w:r>
      <w:r w:rsidRPr="008723ED">
        <w:rPr>
          <w:rFonts w:ascii="Sylfaen" w:hAnsi="Sylfaen" w:cs="Sylfaen"/>
          <w:b/>
          <w:lang w:val="ka-GE"/>
        </w:rPr>
        <w:t>სრული</w:t>
      </w:r>
      <w:r w:rsidRPr="008723ED">
        <w:rPr>
          <w:rFonts w:ascii="Sylfaen" w:hAnsi="Sylfaen"/>
          <w:b/>
          <w:lang w:val="ka-GE"/>
        </w:rPr>
        <w:t xml:space="preserve">  </w:t>
      </w:r>
      <w:r w:rsidRPr="008723ED">
        <w:rPr>
          <w:rFonts w:ascii="Sylfaen" w:hAnsi="Sylfaen" w:cs="Sylfaen"/>
          <w:b/>
          <w:lang w:val="ka-GE"/>
        </w:rPr>
        <w:t>რედაქცია</w:t>
      </w:r>
      <w:r w:rsidRPr="008723ED">
        <w:rPr>
          <w:rFonts w:ascii="Sylfaen" w:hAnsi="Sylfaen"/>
          <w:b/>
          <w:lang w:val="ka-GE"/>
        </w:rPr>
        <w:t xml:space="preserve">, </w:t>
      </w:r>
      <w:r w:rsidRPr="008723ED">
        <w:rPr>
          <w:rFonts w:ascii="Sylfaen" w:hAnsi="Sylfaen" w:cs="Sylfaen"/>
          <w:b/>
          <w:lang w:val="ka-GE"/>
        </w:rPr>
        <w:t>რომლებშიც</w:t>
      </w:r>
      <w:r w:rsidRPr="008723ED">
        <w:rPr>
          <w:rFonts w:ascii="Sylfaen" w:hAnsi="Sylfaen"/>
          <w:b/>
          <w:lang w:val="ka-GE"/>
        </w:rPr>
        <w:t xml:space="preserve"> წარმოდგენილი კანონპროექტით </w:t>
      </w:r>
      <w:r w:rsidRPr="008723ED">
        <w:rPr>
          <w:rFonts w:ascii="Sylfaen" w:hAnsi="Sylfaen" w:cs="Sylfaen"/>
          <w:b/>
          <w:lang w:val="ka-GE"/>
        </w:rPr>
        <w:t>შედის</w:t>
      </w:r>
      <w:r w:rsidRPr="008723ED">
        <w:rPr>
          <w:rFonts w:ascii="Sylfaen" w:hAnsi="Sylfaen"/>
          <w:b/>
          <w:lang w:val="ka-GE"/>
        </w:rPr>
        <w:t xml:space="preserve"> </w:t>
      </w:r>
      <w:r w:rsidRPr="008723ED">
        <w:rPr>
          <w:rFonts w:ascii="Sylfaen" w:hAnsi="Sylfaen" w:cs="Sylfaen"/>
          <w:b/>
          <w:lang w:val="ka-GE"/>
        </w:rPr>
        <w:t>ცვლილება</w:t>
      </w:r>
    </w:p>
    <w:p w:rsidR="008B061C" w:rsidRPr="008723ED" w:rsidRDefault="008B061C" w:rsidP="008B061C">
      <w:pPr>
        <w:jc w:val="both"/>
        <w:rPr>
          <w:rFonts w:ascii="Sylfaen" w:hAnsi="Sylfaen" w:cs="Sylfaen"/>
          <w:bCs/>
          <w:lang w:val="ka-GE"/>
        </w:rPr>
      </w:pPr>
      <w:bookmarkStart w:id="0" w:name="part_77"/>
      <w:r w:rsidRPr="008723ED">
        <w:rPr>
          <w:rFonts w:ascii="Sylfaen" w:hAnsi="Sylfaen" w:cs="Sylfaen"/>
          <w:b/>
          <w:bCs/>
          <w:lang w:val="ka-GE"/>
        </w:rPr>
        <w:t>მუხლი 21</w:t>
      </w:r>
      <w:r w:rsidRPr="008723ED">
        <w:rPr>
          <w:rFonts w:ascii="Times New Roman" w:hAnsi="Times New Roman" w:cs="Times New Roman"/>
          <w:b/>
          <w:bCs/>
          <w:vertAlign w:val="superscript"/>
          <w:lang w:val="ka-GE"/>
        </w:rPr>
        <w:t>​</w:t>
      </w:r>
      <w:r w:rsidRPr="008723ED">
        <w:rPr>
          <w:rFonts w:ascii="Sylfaen" w:hAnsi="Sylfaen" w:cs="Sylfaen"/>
          <w:b/>
          <w:bCs/>
          <w:vertAlign w:val="superscript"/>
          <w:lang w:val="ka-GE"/>
        </w:rPr>
        <w:t>35 </w:t>
      </w:r>
      <w:r w:rsidRPr="008723ED">
        <w:rPr>
          <w:rFonts w:ascii="Sylfaen" w:hAnsi="Sylfaen" w:cs="Sylfaen"/>
          <w:b/>
          <w:bCs/>
          <w:lang w:val="ka-GE"/>
        </w:rPr>
        <w:t>. სასამართლოსათვის მიმართვა</w:t>
      </w:r>
      <w:bookmarkEnd w:id="0"/>
    </w:p>
    <w:p w:rsidR="008B061C" w:rsidRPr="008723ED" w:rsidRDefault="008B061C" w:rsidP="008B061C">
      <w:pPr>
        <w:jc w:val="both"/>
        <w:rPr>
          <w:rFonts w:ascii="Sylfaen" w:hAnsi="Sylfaen" w:cs="Sylfaen"/>
          <w:bCs/>
          <w:lang w:val="ka-GE"/>
        </w:rPr>
      </w:pPr>
      <w:r w:rsidRPr="008723ED">
        <w:rPr>
          <w:rFonts w:ascii="Sylfaen" w:hAnsi="Sylfaen" w:cs="Sylfaen"/>
          <w:bCs/>
          <w:lang w:val="ka-GE"/>
        </w:rPr>
        <w:t>1. სასამართლო ამ თავით დადგენილი წესით განიხილავს:</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ა) საქართველოს განათლების, მეცნიერების, კულტურისა და სპორტის სამინისტროსთან არსებული ექსპერტთა ჯგუფის შუამდგომლობას არასრულწლოვნის სკოლა-პანსიონში გაგზავნის/სკოლა-პანსიონში ყოფნის ვადის გაგრძელების შესახებ;</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ბ) არასრულწლოვნის მშობლის/კანონიერი წარმომადგენლის სარჩელს საქართველოს განათლების, მეცნიერების, კულტურისა და სპორტის სამინისტროსთან არსებული ექსპერტთა ჯგუფის მიერ მიღებულ, „ზოგადი განათლების შესახებ“ საქართველოს კანონის 48 </w:t>
      </w:r>
      <w:r w:rsidRPr="008723ED">
        <w:rPr>
          <w:rFonts w:ascii="Times New Roman" w:hAnsi="Times New Roman" w:cs="Times New Roman"/>
          <w:bCs/>
          <w:lang w:val="ka-GE"/>
        </w:rPr>
        <w:t>​</w:t>
      </w:r>
      <w:r w:rsidRPr="008723ED">
        <w:rPr>
          <w:rFonts w:ascii="Sylfaen" w:hAnsi="Sylfaen" w:cs="Sylfaen"/>
          <w:bCs/>
          <w:lang w:val="ka-GE"/>
        </w:rPr>
        <w:t> </w:t>
      </w:r>
      <w:r w:rsidRPr="008723ED">
        <w:rPr>
          <w:rFonts w:ascii="Times New Roman" w:hAnsi="Times New Roman" w:cs="Times New Roman"/>
          <w:bCs/>
          <w:vertAlign w:val="superscript"/>
          <w:lang w:val="ka-GE"/>
        </w:rPr>
        <w:t>​</w:t>
      </w:r>
      <w:r w:rsidRPr="008723ED">
        <w:rPr>
          <w:rFonts w:ascii="Sylfaen" w:hAnsi="Sylfaen" w:cs="Sylfaen"/>
          <w:bCs/>
          <w:vertAlign w:val="superscript"/>
          <w:lang w:val="ka-GE"/>
        </w:rPr>
        <w:t>7</w:t>
      </w:r>
      <w:r w:rsidRPr="008723ED">
        <w:rPr>
          <w:rFonts w:ascii="Sylfaen" w:hAnsi="Sylfaen" w:cs="Sylfaen"/>
          <w:bCs/>
          <w:lang w:val="ka-GE"/>
        </w:rPr>
        <w:t>მუხლის მე-14 პუნქტის „ბ“ ქვეპუნქტით გათვალისწინებულ გადაწყვეტილებასთან დაკავშირებით.</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2. არასრულწლოვნის მშობელი/კანონიერი წარმომადგენელი სასამართლოს სარჩელით მიმართავს ექსპერტთა ჯგუფის მიერ მიღებული გადაწყვეტილების საქართველოს სამოქალაქო საპროცესო კოდექსის VIII თავით დადგენილი წესით მისთვის ჩაბარებიდან 14 დღის ვადაში.</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3. ექსპერტთა ჯგუფის შუამდგომლობა სასამართლოს უნდა წარედგინოს შუამდგომლობის წარდგენის შესახებ გადაწყვეტილების მიღებიდან 10 დღის ვადაში.</w:t>
      </w:r>
    </w:p>
    <w:p w:rsidR="008B061C" w:rsidRPr="008723ED" w:rsidRDefault="008B061C" w:rsidP="008B061C">
      <w:pPr>
        <w:jc w:val="both"/>
        <w:rPr>
          <w:rFonts w:ascii="Sylfaen" w:hAnsi="Sylfaen" w:cs="Sylfaen"/>
          <w:b/>
          <w:bCs/>
          <w:lang w:val="ka-GE"/>
        </w:rPr>
      </w:pPr>
      <w:bookmarkStart w:id="1" w:name="part_78"/>
      <w:r w:rsidRPr="008723ED">
        <w:rPr>
          <w:rFonts w:ascii="Sylfaen" w:hAnsi="Sylfaen" w:cs="Sylfaen"/>
          <w:b/>
          <w:bCs/>
          <w:lang w:val="ka-GE"/>
        </w:rPr>
        <w:t>მუხლი 21</w:t>
      </w:r>
      <w:r w:rsidRPr="008723ED">
        <w:rPr>
          <w:rFonts w:ascii="Times New Roman" w:hAnsi="Times New Roman" w:cs="Times New Roman"/>
          <w:b/>
          <w:bCs/>
          <w:vertAlign w:val="superscript"/>
          <w:lang w:val="ka-GE"/>
        </w:rPr>
        <w:t>​</w:t>
      </w:r>
      <w:r w:rsidRPr="008723ED">
        <w:rPr>
          <w:rFonts w:ascii="Sylfaen" w:hAnsi="Sylfaen" w:cs="Sylfaen"/>
          <w:b/>
          <w:bCs/>
          <w:vertAlign w:val="superscript"/>
          <w:lang w:val="ka-GE"/>
        </w:rPr>
        <w:t>36 </w:t>
      </w:r>
      <w:r w:rsidRPr="008723ED">
        <w:rPr>
          <w:rFonts w:ascii="Sylfaen" w:hAnsi="Sylfaen" w:cs="Sylfaen"/>
          <w:b/>
          <w:bCs/>
          <w:lang w:val="ka-GE"/>
        </w:rPr>
        <w:t>. სარჩელის წარმოებაში მიღების საკითხის განხილვა</w:t>
      </w:r>
      <w:bookmarkEnd w:id="1"/>
      <w:r w:rsidRPr="008723ED">
        <w:rPr>
          <w:rFonts w:ascii="Sylfaen" w:hAnsi="Sylfaen" w:cs="Sylfaen"/>
          <w:b/>
          <w:bCs/>
          <w:lang w:val="ka-GE"/>
        </w:rPr>
        <w:t> </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1. მოსამართლე სარჩელის წარმოებაში მიღების საკითხს განიხილავს მისი შეტანიდან 5 დღის ვადაში. </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2. თუ მოსამართლე გამოარკვევს, რომ სარჩელი არ აკმაყოფილებს ამ კოდექსით დადგენილ მოთხოვნებს, იგი გამოიტანს განჩინებას არსებული ხარვეზის შესახებ და მოსარჩელეს მის შესავსებად დაუნიშნავს გონივრულ ვადას. თუ მოსარჩელე დანიშნულ ვადაში შეავსებს განჩინებაში მითითებულ ხარვეზს, მოსამართლე გამოიტანს განჩინებას სარჩელის წარმოებაში მიღების შესახებ; წინააღმდეგ შემთხვევაში იგი გამოიტანს განჩინებას სარჩელის წარმოებაში მიღებაზე უარის თქმის შესახებ და სარჩელს თანდართულ დოკუმენტებთან ერთად დაუბრუნებს მოსარჩელეს.</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3. სარჩელის წარმოებაში მიღებაზე უარის თქმის შესახებ სასამართლო განჩინებაზე შეიძლება კერძო საჩივრის შეტანა.</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 xml:space="preserve">4. სარჩელის წარმოებაში მიღების შესახებ სასამართლო განჩინების გამოტანის შემდეგ ან ასეთი განჩინების გამოტანის ვადის გასვლის შემდეგ მოსამართლე სარჩელს და </w:t>
      </w:r>
      <w:r w:rsidRPr="008723ED">
        <w:rPr>
          <w:rFonts w:ascii="Sylfaen" w:hAnsi="Sylfaen" w:cs="Sylfaen"/>
          <w:bCs/>
          <w:lang w:val="ka-GE"/>
        </w:rPr>
        <w:lastRenderedPageBreak/>
        <w:t>თანდართული დოკუმენტების ასლებს დაუყოვნებლივ უგზავნის მოპასუხეს და განუსაზღვრავს მას შესაგებლის წარდგენის ვადას.</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5. არასრულწლოვნის სკოლა-პანსიონში გაგზავნის შესახებ ექსპერტთა ჯგუფის მიერ მიღებული გადაწყვეტილების თაობაზე სარჩელის წარდგენა არ აჩერებს გადაწყვეტილების მოქმედებას.</w:t>
      </w:r>
      <w:bookmarkStart w:id="2" w:name="_GoBack"/>
      <w:bookmarkEnd w:id="2"/>
    </w:p>
    <w:p w:rsidR="008B061C" w:rsidRPr="008723ED" w:rsidRDefault="008B061C" w:rsidP="008B061C">
      <w:pPr>
        <w:jc w:val="both"/>
        <w:rPr>
          <w:rFonts w:ascii="Sylfaen" w:hAnsi="Sylfaen" w:cs="Sylfaen"/>
          <w:b/>
          <w:bCs/>
          <w:lang w:val="ka-GE"/>
        </w:rPr>
      </w:pPr>
      <w:bookmarkStart w:id="3" w:name="part_79"/>
      <w:r w:rsidRPr="008723ED">
        <w:rPr>
          <w:rFonts w:ascii="Sylfaen" w:hAnsi="Sylfaen" w:cs="Sylfaen"/>
          <w:b/>
          <w:bCs/>
          <w:lang w:val="ka-GE"/>
        </w:rPr>
        <w:t>მუხლი 21</w:t>
      </w:r>
      <w:r w:rsidRPr="008723ED">
        <w:rPr>
          <w:rFonts w:ascii="Times New Roman" w:hAnsi="Times New Roman" w:cs="Times New Roman"/>
          <w:b/>
          <w:bCs/>
          <w:vertAlign w:val="superscript"/>
          <w:lang w:val="ka-GE"/>
        </w:rPr>
        <w:t>​</w:t>
      </w:r>
      <w:r w:rsidRPr="008723ED">
        <w:rPr>
          <w:rFonts w:ascii="Sylfaen" w:hAnsi="Sylfaen" w:cs="Sylfaen"/>
          <w:b/>
          <w:bCs/>
          <w:vertAlign w:val="superscript"/>
          <w:lang w:val="ka-GE"/>
        </w:rPr>
        <w:t>37 </w:t>
      </w:r>
      <w:r w:rsidRPr="008723ED">
        <w:rPr>
          <w:rFonts w:ascii="Sylfaen" w:hAnsi="Sylfaen" w:cs="Sylfaen"/>
          <w:b/>
          <w:bCs/>
          <w:lang w:val="ka-GE"/>
        </w:rPr>
        <w:t>. საქმის განხილვისა და გადაწყვეტილების მიღების წესი</w:t>
      </w:r>
      <w:bookmarkEnd w:id="3"/>
    </w:p>
    <w:p w:rsidR="008B061C" w:rsidRPr="008723ED" w:rsidRDefault="008B061C" w:rsidP="008B061C">
      <w:pPr>
        <w:jc w:val="both"/>
        <w:rPr>
          <w:rFonts w:ascii="Sylfaen" w:hAnsi="Sylfaen" w:cs="Sylfaen"/>
          <w:bCs/>
          <w:lang w:val="ka-GE"/>
        </w:rPr>
      </w:pPr>
      <w:r w:rsidRPr="008723ED">
        <w:rPr>
          <w:rFonts w:ascii="Sylfaen" w:hAnsi="Sylfaen" w:cs="Sylfaen"/>
          <w:bCs/>
          <w:lang w:val="ka-GE"/>
        </w:rPr>
        <w:t>1. სასამართლო საქმეს განიხილავს და გადაწყვეტილებას იღებს სარჩელის წარმოებაში მიღებიდან ან შუამდგომლობის წარდგენიდან 15 დღის ვადაში.</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2. მოსამართლე საქმეს განიხილავს დახურულ სასამართლო სხდომაზე. დახურულ სასამართლო სხდომაზე დასწრების უფლება აქვთ: მიმართვის ავტორს, არასრულწლოვანს, არასრულწლოვნის მშობელს/კანონიერ წარმომადგენელს, მეურვეობისა და მზრუნველობის ორგანოს წარმომადგენელს, ექსპერტთა ჯგუფის წევრებს, სოციალურ მუშაკს, არასრულწლოვნის ადვოკატს, აგრეთვე სასამართლოს მიერ მოწვეულ სხვა პირებს.</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3. სასამართლო პროცესზე არასრულწლოვანს წარმოადგენს მშობელი ან კანონიერი წარმომადგენელი. თუ არასრულწლოვანს არ ჰყავს მშობელი ან კანონიერი წარმომადგენელი, სასამართლო ვალდებულია მისი ინტერესების დასაცავად საქმეში ჩააბას მეურვეობისა და მზრუნველობის ორგანო.</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4. სასამართლოში მხარეთა გამოუცხადებლობა არ აბრკოლებს საქმის განხილვას.</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5. თბილისის საქალაქო სასამართლოს გადაწყვეტილება შეიძლება გადაწყვეტილების ჩაბარებიდან 10 დღის ვადაში გასაჩივრდეს თბილისის სააპელაციო სასამართლოში.</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6. სააპელაციო საჩივარი წარედგინება თბილისის საქალაქო სასამართლოს, რომელიც მას თანდართულ მასალებთან ერთად დაუყოვნებლივ უგზავნის თბილისის სააპელაციო სასამართლოს. თბილისის საქალაქო სასამართლოს გადაწყვეტილების გასაჩივრება არ აჩერებს მის მოქმედებას.</w:t>
      </w:r>
    </w:p>
    <w:p w:rsidR="008B061C" w:rsidRPr="008723ED" w:rsidRDefault="008B061C" w:rsidP="008B061C">
      <w:pPr>
        <w:jc w:val="both"/>
        <w:rPr>
          <w:rFonts w:ascii="Sylfaen" w:hAnsi="Sylfaen" w:cs="Sylfaen"/>
          <w:bCs/>
          <w:lang w:val="ka-GE"/>
        </w:rPr>
      </w:pPr>
      <w:r w:rsidRPr="008723ED">
        <w:rPr>
          <w:rFonts w:ascii="Sylfaen" w:hAnsi="Sylfaen" w:cs="Sylfaen"/>
          <w:bCs/>
          <w:lang w:val="ka-GE"/>
        </w:rPr>
        <w:t>7. თბილისის სააპელაციო სასამართლო საჩივარს განიხილავს მისი წარმოებაში მიღებიდან 10 დღის ვადაში.</w:t>
      </w:r>
    </w:p>
    <w:p w:rsidR="00F05007" w:rsidRPr="008723ED" w:rsidRDefault="008B061C" w:rsidP="008B061C">
      <w:pPr>
        <w:jc w:val="both"/>
        <w:rPr>
          <w:rFonts w:ascii="Sylfaen" w:hAnsi="Sylfaen" w:cs="Sylfaen"/>
          <w:bCs/>
          <w:lang w:val="ka-GE"/>
        </w:rPr>
      </w:pPr>
      <w:r w:rsidRPr="008723ED">
        <w:rPr>
          <w:rFonts w:ascii="Sylfaen" w:hAnsi="Sylfaen" w:cs="Sylfaen"/>
          <w:bCs/>
          <w:lang w:val="ka-GE"/>
        </w:rPr>
        <w:t>8. თბილისის სააპელაციო სასამართლოს მიერ მიღებული გადაწყვეტილება (განჩინება) საბოლოოა და არ საჩივრდება.</w:t>
      </w:r>
    </w:p>
    <w:sectPr w:rsidR="00F05007" w:rsidRPr="008723ED">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1E8" w:rsidRDefault="001011E8" w:rsidP="006D5C53">
      <w:pPr>
        <w:spacing w:after="0" w:line="240" w:lineRule="auto"/>
      </w:pPr>
      <w:r>
        <w:separator/>
      </w:r>
    </w:p>
  </w:endnote>
  <w:endnote w:type="continuationSeparator" w:id="0">
    <w:p w:rsidR="001011E8" w:rsidRDefault="001011E8" w:rsidP="006D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99384"/>
      <w:docPartObj>
        <w:docPartGallery w:val="Page Numbers (Bottom of Page)"/>
        <w:docPartUnique/>
      </w:docPartObj>
    </w:sdtPr>
    <w:sdtEndPr>
      <w:rPr>
        <w:noProof/>
      </w:rPr>
    </w:sdtEndPr>
    <w:sdtContent>
      <w:p w:rsidR="008723ED" w:rsidRDefault="008723ED">
        <w:pPr>
          <w:pStyle w:val="Footer"/>
          <w:jc w:val="right"/>
        </w:pPr>
        <w:r>
          <w:fldChar w:fldCharType="begin"/>
        </w:r>
        <w:r>
          <w:instrText xml:space="preserve"> PAGE   \* MERGEFORMAT </w:instrText>
        </w:r>
        <w:r>
          <w:fldChar w:fldCharType="separate"/>
        </w:r>
        <w:r w:rsidR="00827B63">
          <w:rPr>
            <w:noProof/>
          </w:rPr>
          <w:t>3</w:t>
        </w:r>
        <w:r>
          <w:rPr>
            <w:noProof/>
          </w:rPr>
          <w:fldChar w:fldCharType="end"/>
        </w:r>
      </w:p>
    </w:sdtContent>
  </w:sdt>
  <w:p w:rsidR="008723ED" w:rsidRDefault="00872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1E8" w:rsidRDefault="001011E8" w:rsidP="006D5C53">
      <w:pPr>
        <w:spacing w:after="0" w:line="240" w:lineRule="auto"/>
      </w:pPr>
      <w:r>
        <w:separator/>
      </w:r>
    </w:p>
  </w:footnote>
  <w:footnote w:type="continuationSeparator" w:id="0">
    <w:p w:rsidR="001011E8" w:rsidRDefault="001011E8" w:rsidP="006D5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D7"/>
    <w:rsid w:val="000202CB"/>
    <w:rsid w:val="00074D6C"/>
    <w:rsid w:val="001011E8"/>
    <w:rsid w:val="00114BFE"/>
    <w:rsid w:val="001D2D06"/>
    <w:rsid w:val="00256F2E"/>
    <w:rsid w:val="002677DD"/>
    <w:rsid w:val="003B4FAC"/>
    <w:rsid w:val="003F5307"/>
    <w:rsid w:val="00484F82"/>
    <w:rsid w:val="006D5C53"/>
    <w:rsid w:val="00711167"/>
    <w:rsid w:val="007803EF"/>
    <w:rsid w:val="007D638C"/>
    <w:rsid w:val="00827B63"/>
    <w:rsid w:val="008723ED"/>
    <w:rsid w:val="008B061C"/>
    <w:rsid w:val="008C63CD"/>
    <w:rsid w:val="00993ED7"/>
    <w:rsid w:val="00AC392D"/>
    <w:rsid w:val="00AE45CF"/>
    <w:rsid w:val="00C142D3"/>
    <w:rsid w:val="00C56F7E"/>
    <w:rsid w:val="00E17EBD"/>
    <w:rsid w:val="00E2145E"/>
    <w:rsid w:val="00F05007"/>
    <w:rsid w:val="00F07CB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08FD0-BAF8-432D-8EB9-E735D491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F82"/>
    <w:pPr>
      <w:spacing w:after="200" w:line="276" w:lineRule="auto"/>
    </w:pPr>
    <w:rPr>
      <w:lang w:val="en-US"/>
    </w:rPr>
  </w:style>
  <w:style w:type="paragraph" w:styleId="Heading1">
    <w:name w:val="heading 1"/>
    <w:basedOn w:val="Normal"/>
    <w:next w:val="Normal"/>
    <w:link w:val="Heading1Char"/>
    <w:autoRedefine/>
    <w:uiPriority w:val="9"/>
    <w:qFormat/>
    <w:rsid w:val="00114BFE"/>
    <w:pPr>
      <w:keepNext/>
      <w:spacing w:before="240" w:after="60" w:line="240" w:lineRule="auto"/>
      <w:jc w:val="center"/>
      <w:outlineLvl w:val="0"/>
    </w:pPr>
    <w:rPr>
      <w:rFonts w:asciiTheme="majorHAnsi" w:eastAsia="Times New Roman" w:hAnsiTheme="majorHAnsi" w:cs="Times New Roman"/>
      <w:b/>
      <w:bCs/>
      <w:color w:val="FFFFFF" w:themeColor="background1"/>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FE"/>
    <w:rPr>
      <w:rFonts w:asciiTheme="majorHAnsi" w:eastAsia="Times New Roman" w:hAnsiTheme="majorHAnsi" w:cs="Times New Roman"/>
      <w:b/>
      <w:bCs/>
      <w:color w:val="FFFFFF" w:themeColor="background1"/>
      <w:kern w:val="32"/>
      <w:sz w:val="40"/>
      <w:szCs w:val="32"/>
      <w:lang w:val="en-US"/>
    </w:rPr>
  </w:style>
  <w:style w:type="paragraph" w:customStyle="1" w:styleId="abzacixml">
    <w:name w:val="abzacixml"/>
    <w:basedOn w:val="Normal"/>
    <w:rsid w:val="00484F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61C"/>
    <w:rPr>
      <w:color w:val="0563C1" w:themeColor="hyperlink"/>
      <w:u w:val="single"/>
    </w:rPr>
  </w:style>
  <w:style w:type="paragraph" w:styleId="Header">
    <w:name w:val="header"/>
    <w:basedOn w:val="Normal"/>
    <w:link w:val="HeaderChar"/>
    <w:uiPriority w:val="99"/>
    <w:unhideWhenUsed/>
    <w:rsid w:val="0087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3ED"/>
    <w:rPr>
      <w:lang w:val="en-US"/>
    </w:rPr>
  </w:style>
  <w:style w:type="paragraph" w:styleId="Footer">
    <w:name w:val="footer"/>
    <w:basedOn w:val="Normal"/>
    <w:link w:val="FooterChar"/>
    <w:uiPriority w:val="99"/>
    <w:unhideWhenUsed/>
    <w:rsid w:val="0087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3ED"/>
    <w:rPr>
      <w:lang w:val="en-US"/>
    </w:rPr>
  </w:style>
  <w:style w:type="paragraph" w:styleId="BalloonText">
    <w:name w:val="Balloon Text"/>
    <w:basedOn w:val="Normal"/>
    <w:link w:val="BalloonTextChar"/>
    <w:uiPriority w:val="99"/>
    <w:semiHidden/>
    <w:unhideWhenUsed/>
    <w:rsid w:val="0082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B6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805">
      <w:bodyDiv w:val="1"/>
      <w:marLeft w:val="0"/>
      <w:marRight w:val="0"/>
      <w:marTop w:val="0"/>
      <w:marBottom w:val="0"/>
      <w:divBdr>
        <w:top w:val="none" w:sz="0" w:space="0" w:color="auto"/>
        <w:left w:val="none" w:sz="0" w:space="0" w:color="auto"/>
        <w:bottom w:val="none" w:sz="0" w:space="0" w:color="auto"/>
        <w:right w:val="none" w:sz="0" w:space="0" w:color="auto"/>
      </w:divBdr>
      <w:divsChild>
        <w:div w:id="1869877880">
          <w:marLeft w:val="0"/>
          <w:marRight w:val="0"/>
          <w:marTop w:val="0"/>
          <w:marBottom w:val="0"/>
          <w:divBdr>
            <w:top w:val="none" w:sz="0" w:space="0" w:color="auto"/>
            <w:left w:val="none" w:sz="0" w:space="0" w:color="auto"/>
            <w:bottom w:val="none" w:sz="0" w:space="0" w:color="auto"/>
            <w:right w:val="none" w:sz="0" w:space="0" w:color="auto"/>
          </w:divBdr>
        </w:div>
      </w:divsChild>
    </w:div>
    <w:div w:id="1010984609">
      <w:bodyDiv w:val="1"/>
      <w:marLeft w:val="0"/>
      <w:marRight w:val="0"/>
      <w:marTop w:val="0"/>
      <w:marBottom w:val="0"/>
      <w:divBdr>
        <w:top w:val="none" w:sz="0" w:space="0" w:color="auto"/>
        <w:left w:val="none" w:sz="0" w:space="0" w:color="auto"/>
        <w:bottom w:val="none" w:sz="0" w:space="0" w:color="auto"/>
        <w:right w:val="none" w:sz="0" w:space="0" w:color="auto"/>
      </w:divBdr>
      <w:divsChild>
        <w:div w:id="484862288">
          <w:marLeft w:val="0"/>
          <w:marRight w:val="0"/>
          <w:marTop w:val="0"/>
          <w:marBottom w:val="0"/>
          <w:divBdr>
            <w:top w:val="none" w:sz="0" w:space="0" w:color="auto"/>
            <w:left w:val="none" w:sz="0" w:space="0" w:color="auto"/>
            <w:bottom w:val="none" w:sz="0" w:space="0" w:color="auto"/>
            <w:right w:val="none" w:sz="0" w:space="0" w:color="auto"/>
          </w:divBdr>
        </w:div>
      </w:divsChild>
    </w:div>
    <w:div w:id="1052919638">
      <w:bodyDiv w:val="1"/>
      <w:marLeft w:val="0"/>
      <w:marRight w:val="0"/>
      <w:marTop w:val="0"/>
      <w:marBottom w:val="0"/>
      <w:divBdr>
        <w:top w:val="none" w:sz="0" w:space="0" w:color="auto"/>
        <w:left w:val="none" w:sz="0" w:space="0" w:color="auto"/>
        <w:bottom w:val="none" w:sz="0" w:space="0" w:color="auto"/>
        <w:right w:val="none" w:sz="0" w:space="0" w:color="auto"/>
      </w:divBdr>
      <w:divsChild>
        <w:div w:id="615334808">
          <w:marLeft w:val="0"/>
          <w:marRight w:val="0"/>
          <w:marTop w:val="0"/>
          <w:marBottom w:val="0"/>
          <w:divBdr>
            <w:top w:val="none" w:sz="0" w:space="0" w:color="auto"/>
            <w:left w:val="none" w:sz="0" w:space="0" w:color="auto"/>
            <w:bottom w:val="none" w:sz="0" w:space="0" w:color="auto"/>
            <w:right w:val="none" w:sz="0" w:space="0" w:color="auto"/>
          </w:divBdr>
        </w:div>
      </w:divsChild>
    </w:div>
    <w:div w:id="1130903424">
      <w:bodyDiv w:val="1"/>
      <w:marLeft w:val="0"/>
      <w:marRight w:val="0"/>
      <w:marTop w:val="0"/>
      <w:marBottom w:val="0"/>
      <w:divBdr>
        <w:top w:val="none" w:sz="0" w:space="0" w:color="auto"/>
        <w:left w:val="none" w:sz="0" w:space="0" w:color="auto"/>
        <w:bottom w:val="none" w:sz="0" w:space="0" w:color="auto"/>
        <w:right w:val="none" w:sz="0" w:space="0" w:color="auto"/>
      </w:divBdr>
      <w:divsChild>
        <w:div w:id="1254707207">
          <w:marLeft w:val="0"/>
          <w:marRight w:val="0"/>
          <w:marTop w:val="0"/>
          <w:marBottom w:val="0"/>
          <w:divBdr>
            <w:top w:val="none" w:sz="0" w:space="0" w:color="auto"/>
            <w:left w:val="none" w:sz="0" w:space="0" w:color="auto"/>
            <w:bottom w:val="none" w:sz="0" w:space="0" w:color="auto"/>
            <w:right w:val="none" w:sz="0" w:space="0" w:color="auto"/>
          </w:divBdr>
        </w:div>
      </w:divsChild>
    </w:div>
    <w:div w:id="1818452916">
      <w:bodyDiv w:val="1"/>
      <w:marLeft w:val="0"/>
      <w:marRight w:val="0"/>
      <w:marTop w:val="0"/>
      <w:marBottom w:val="0"/>
      <w:divBdr>
        <w:top w:val="none" w:sz="0" w:space="0" w:color="auto"/>
        <w:left w:val="none" w:sz="0" w:space="0" w:color="auto"/>
        <w:bottom w:val="none" w:sz="0" w:space="0" w:color="auto"/>
        <w:right w:val="none" w:sz="0" w:space="0" w:color="auto"/>
      </w:divBdr>
      <w:divsChild>
        <w:div w:id="1043022328">
          <w:marLeft w:val="0"/>
          <w:marRight w:val="0"/>
          <w:marTop w:val="0"/>
          <w:marBottom w:val="0"/>
          <w:divBdr>
            <w:top w:val="none" w:sz="0" w:space="0" w:color="auto"/>
            <w:left w:val="none" w:sz="0" w:space="0" w:color="auto"/>
            <w:bottom w:val="none" w:sz="0" w:space="0" w:color="auto"/>
            <w:right w:val="none" w:sz="0" w:space="0" w:color="auto"/>
          </w:divBdr>
        </w:div>
      </w:divsChild>
    </w:div>
    <w:div w:id="2096201406">
      <w:bodyDiv w:val="1"/>
      <w:marLeft w:val="0"/>
      <w:marRight w:val="0"/>
      <w:marTop w:val="0"/>
      <w:marBottom w:val="0"/>
      <w:divBdr>
        <w:top w:val="none" w:sz="0" w:space="0" w:color="auto"/>
        <w:left w:val="none" w:sz="0" w:space="0" w:color="auto"/>
        <w:bottom w:val="none" w:sz="0" w:space="0" w:color="auto"/>
        <w:right w:val="none" w:sz="0" w:space="0" w:color="auto"/>
      </w:divBdr>
      <w:divsChild>
        <w:div w:id="416827281">
          <w:marLeft w:val="0"/>
          <w:marRight w:val="0"/>
          <w:marTop w:val="0"/>
          <w:marBottom w:val="0"/>
          <w:divBdr>
            <w:top w:val="none" w:sz="0" w:space="0" w:color="auto"/>
            <w:left w:val="none" w:sz="0" w:space="0" w:color="auto"/>
            <w:bottom w:val="none" w:sz="0" w:space="0" w:color="auto"/>
            <w:right w:val="none" w:sz="0" w:space="0" w:color="auto"/>
          </w:divBdr>
        </w:div>
        <w:div w:id="425469596">
          <w:marLeft w:val="0"/>
          <w:marRight w:val="0"/>
          <w:marTop w:val="0"/>
          <w:marBottom w:val="0"/>
          <w:divBdr>
            <w:top w:val="none" w:sz="0" w:space="0" w:color="auto"/>
            <w:left w:val="none" w:sz="0" w:space="0" w:color="auto"/>
            <w:bottom w:val="none" w:sz="0" w:space="0" w:color="auto"/>
            <w:right w:val="none" w:sz="0" w:space="0" w:color="auto"/>
          </w:divBdr>
        </w:div>
        <w:div w:id="1355420592">
          <w:marLeft w:val="0"/>
          <w:marRight w:val="0"/>
          <w:marTop w:val="0"/>
          <w:marBottom w:val="0"/>
          <w:divBdr>
            <w:top w:val="none" w:sz="0" w:space="0" w:color="auto"/>
            <w:left w:val="none" w:sz="0" w:space="0" w:color="auto"/>
            <w:bottom w:val="none" w:sz="0" w:space="0" w:color="auto"/>
            <w:right w:val="none" w:sz="0" w:space="0" w:color="auto"/>
          </w:divBdr>
        </w:div>
        <w:div w:id="1532107856">
          <w:marLeft w:val="0"/>
          <w:marRight w:val="0"/>
          <w:marTop w:val="0"/>
          <w:marBottom w:val="0"/>
          <w:divBdr>
            <w:top w:val="none" w:sz="0" w:space="0" w:color="auto"/>
            <w:left w:val="none" w:sz="0" w:space="0" w:color="auto"/>
            <w:bottom w:val="none" w:sz="0" w:space="0" w:color="auto"/>
            <w:right w:val="none" w:sz="0" w:space="0" w:color="auto"/>
          </w:divBdr>
        </w:div>
        <w:div w:id="110476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Maisuradze</dc:creator>
  <cp:keywords/>
  <dc:description/>
  <cp:lastModifiedBy>Zurab Sanikidze</cp:lastModifiedBy>
  <cp:revision>21</cp:revision>
  <dcterms:created xsi:type="dcterms:W3CDTF">2018-06-01T16:36:00Z</dcterms:created>
  <dcterms:modified xsi:type="dcterms:W3CDTF">2018-10-10T14:54:00Z</dcterms:modified>
</cp:coreProperties>
</file>