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14. </w:t>
      </w:r>
      <w:proofErr w:type="spellStart"/>
      <w:proofErr w:type="gramStart"/>
      <w:r w:rsidRPr="00DB216E">
        <w:rPr>
          <w:rFonts w:ascii="Sylfaen" w:hAnsi="Sylfaen"/>
          <w:b/>
          <w:sz w:val="28"/>
          <w:szCs w:val="26"/>
        </w:rPr>
        <w:t>შეზღუდული</w:t>
      </w:r>
      <w:proofErr w:type="spellEnd"/>
      <w:proofErr w:type="gram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შესაძლებლობების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მქონე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პირთა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უფლებებისა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ინტერესების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რეალიზებასთნ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დაკავშირებით</w:t>
      </w:r>
      <w:proofErr w:type="spellEnd"/>
      <w:r w:rsidRPr="00DB216E">
        <w:rPr>
          <w:rFonts w:ascii="Sylfaen" w:hAnsi="Sylfaen"/>
          <w:b/>
          <w:sz w:val="28"/>
          <w:szCs w:val="26"/>
        </w:rPr>
        <w:t>:</w:t>
      </w:r>
    </w:p>
    <w:p w:rsidR="005C438E" w:rsidRPr="00DB216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r w:rsidRPr="00DB216E">
        <w:rPr>
          <w:rFonts w:ascii="Sylfaen" w:hAnsi="Sylfaen" w:cs="Sylfaen"/>
          <w:sz w:val="28"/>
          <w:szCs w:val="26"/>
          <w:lang w:val="ka-GE"/>
        </w:rPr>
        <w:t>კონსტიტუციას</w:t>
      </w:r>
      <w:r w:rsidRPr="00DB216E">
        <w:rPr>
          <w:rFonts w:ascii="Sylfaen" w:hAnsi="Sylfaen"/>
          <w:sz w:val="28"/>
          <w:szCs w:val="26"/>
          <w:lang w:val="ka-GE"/>
        </w:rPr>
        <w:t xml:space="preserve"> დაემატა ნორმა, რომლის თანახმადაც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სახელმწიფო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ქმნის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პირობებს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შეზღუდული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შესაძლებლობების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მქონე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 xml:space="preserve">პირთა </w:t>
      </w:r>
      <w:r w:rsidRPr="009664B5">
        <w:rPr>
          <w:rFonts w:ascii="Sylfaen" w:hAnsi="Sylfaen" w:cs="Sylfaen"/>
          <w:b/>
          <w:color w:val="FF0000"/>
          <w:sz w:val="28"/>
          <w:szCs w:val="26"/>
          <w:lang w:val="ka-GE"/>
        </w:rPr>
        <w:t>თანაბარი</w:t>
      </w:r>
      <w:r>
        <w:rPr>
          <w:rFonts w:ascii="Sylfaen" w:hAnsi="Sylfaen" w:cs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უფლებებისა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და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ინტერესების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რეალიზებისათვის, აღნიშნული საკითხის ირგვლივ წინა რედაქციაში არანაირი ჩანაწერი არ გვხვდებოდა.</w:t>
      </w:r>
    </w:p>
    <w:p w:rsidR="005C438E" w:rsidRPr="009664B5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color w:val="FF0000"/>
          <w:sz w:val="28"/>
          <w:szCs w:val="26"/>
        </w:rPr>
      </w:pPr>
      <w:r w:rsidRPr="009664B5">
        <w:rPr>
          <w:rFonts w:ascii="Sylfaen" w:hAnsi="Sylfaen" w:cs="Sylfaen"/>
          <w:color w:val="FF0000"/>
          <w:sz w:val="28"/>
          <w:szCs w:val="26"/>
          <w:lang w:val="ka-GE"/>
        </w:rPr>
        <w:t>აღნიშნული ჩანაწერი უფრო მკაფიოს ხდის სახელმწიფოსა და ხელისუფლების როლს შეზღუდული შესაძლებლობების მქონე პირთა უფლებების დაცივსა და რეალიზების საკითხში.</w:t>
      </w:r>
    </w:p>
    <w:p w:rsidR="009664B5" w:rsidRDefault="009664B5" w:rsidP="009664B5">
      <w:pPr>
        <w:spacing w:after="0" w:line="440" w:lineRule="exact"/>
        <w:jc w:val="both"/>
        <w:rPr>
          <w:rFonts w:ascii="Sylfaen" w:hAnsi="Sylfaen"/>
          <w:color w:val="FF0000"/>
          <w:sz w:val="28"/>
          <w:szCs w:val="26"/>
          <w:lang w:val="ka-GE"/>
        </w:rPr>
      </w:pPr>
    </w:p>
    <w:p w:rsidR="009664B5" w:rsidRPr="009664B5" w:rsidRDefault="009664B5" w:rsidP="009664B5">
      <w:pPr>
        <w:spacing w:after="0" w:line="440" w:lineRule="exact"/>
        <w:jc w:val="both"/>
        <w:rPr>
          <w:rFonts w:ascii="Sylfaen" w:hAnsi="Sylfaen"/>
          <w:color w:val="FF0000"/>
          <w:sz w:val="28"/>
          <w:szCs w:val="26"/>
          <w:lang w:val="ka-GE"/>
        </w:rPr>
      </w:pPr>
    </w:p>
    <w:p w:rsidR="009664B5" w:rsidRPr="00DB216E" w:rsidRDefault="009664B5" w:rsidP="009664B5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commentRangeStart w:id="0"/>
      <w:r>
        <w:rPr>
          <w:rFonts w:ascii="Sylfaen" w:hAnsi="Sylfaen"/>
          <w:b/>
          <w:sz w:val="28"/>
          <w:szCs w:val="26"/>
          <w:lang w:val="ka-GE"/>
        </w:rPr>
        <w:t xml:space="preserve">15. </w:t>
      </w:r>
      <w:r w:rsidRPr="00DB216E">
        <w:rPr>
          <w:rFonts w:ascii="Sylfaen" w:hAnsi="Sylfaen"/>
          <w:b/>
          <w:sz w:val="28"/>
          <w:szCs w:val="26"/>
          <w:lang w:val="ka-GE"/>
        </w:rPr>
        <w:t>ღირსეული საცხოვრისით სარგებლობის უფლებასთან დაკავშირებით:</w:t>
      </w:r>
    </w:p>
    <w:p w:rsidR="009664B5" w:rsidRPr="00DB216E" w:rsidRDefault="009664B5" w:rsidP="009664B5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proofErr w:type="spellStart"/>
      <w:proofErr w:type="gramStart"/>
      <w:r w:rsidRPr="00DB216E">
        <w:rPr>
          <w:rFonts w:ascii="Sylfaen" w:hAnsi="Sylfaen" w:cs="Sylfaen"/>
          <w:sz w:val="28"/>
          <w:szCs w:val="26"/>
        </w:rPr>
        <w:t>სოციალური</w:t>
      </w:r>
      <w:proofErr w:type="spellEnd"/>
      <w:proofErr w:type="gram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სახელმწიფოს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მუხლში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ხაზგასმით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აღინიშნა</w:t>
      </w:r>
      <w:proofErr w:type="spellEnd"/>
      <w:r w:rsidRPr="00DB216E">
        <w:rPr>
          <w:rFonts w:ascii="Sylfaen" w:hAnsi="Sylfaen" w:cs="Sylfaen"/>
          <w:sz w:val="28"/>
          <w:szCs w:val="26"/>
          <w:lang w:val="ka-GE"/>
        </w:rPr>
        <w:t>, რომ ყველა ადამიანს აქვს უფლება სარგებლობდეს</w:t>
      </w:r>
      <w:r w:rsidRPr="00DB216E">
        <w:rPr>
          <w:rFonts w:ascii="Sylfaen" w:hAnsi="Sylfaen"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sz w:val="28"/>
          <w:szCs w:val="26"/>
        </w:rPr>
        <w:t>ღირსეულ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საცხოვრისით</w:t>
      </w:r>
      <w:proofErr w:type="spellEnd"/>
      <w:r w:rsidRPr="00DB216E">
        <w:rPr>
          <w:rFonts w:ascii="Sylfaen" w:hAnsi="Sylfaen"/>
          <w:sz w:val="28"/>
          <w:szCs w:val="26"/>
        </w:rPr>
        <w:t>,</w:t>
      </w:r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ახალი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კონსტიტუცია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იცავს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განამტკიცებს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ადამიანის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სოციალურ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უფლებებს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. </w:t>
      </w:r>
    </w:p>
    <w:p w:rsidR="009664B5" w:rsidRPr="00DB216E" w:rsidRDefault="009664B5" w:rsidP="009664B5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</w:rPr>
      </w:pPr>
      <w:r w:rsidRPr="00DB216E">
        <w:rPr>
          <w:rFonts w:ascii="Sylfaen" w:hAnsi="Sylfaen"/>
          <w:sz w:val="28"/>
          <w:szCs w:val="26"/>
          <w:lang w:val="ka-GE"/>
        </w:rPr>
        <w:t>აღნიშნული ცვლილებით სახელმწიფო თითოეული ჩვენი მოქალაქის წინაშე იღებს ვალდებულებას,  ისინი ღირსეული საცხოვრისით უზრუნველყოს, რაც ადამიანის სოციალური უფლებების დაცვის გზაზე უდიდეს წინ გადადგმულ ნაბიჯს წარმოადგენს.</w:t>
      </w:r>
      <w:commentRangeEnd w:id="0"/>
      <w:r>
        <w:rPr>
          <w:rStyle w:val="CommentReference"/>
        </w:rPr>
        <w:commentReference w:id="0"/>
      </w:r>
    </w:p>
    <w:p w:rsidR="005C438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5C438E" w:rsidRPr="00DB216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16. </w:t>
      </w:r>
      <w:r w:rsidRPr="00DB216E">
        <w:rPr>
          <w:rFonts w:ascii="Sylfaen" w:hAnsi="Sylfaen"/>
          <w:b/>
          <w:sz w:val="28"/>
          <w:szCs w:val="26"/>
          <w:lang w:val="ka-GE"/>
        </w:rPr>
        <w:t>კონსტიტუციის 30-ე მუხლის სათაურში ბავშვთა უფლებების ხსენებასთან დაკავშირებით:</w:t>
      </w:r>
    </w:p>
    <w:p w:rsidR="005C438E" w:rsidRPr="00DB216E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  <w:lang w:val="ka-GE"/>
        </w:rPr>
      </w:pPr>
      <w:r w:rsidRPr="00DB216E">
        <w:rPr>
          <w:rFonts w:ascii="Sylfaen" w:hAnsi="Sylfaen"/>
          <w:sz w:val="28"/>
          <w:szCs w:val="26"/>
          <w:lang w:val="ka-GE"/>
        </w:rPr>
        <w:t>ვენეციის კომისიამ კონსტიტუციის პროექტის 30-ე მუხლის სათაურში ბავშვთა უფლებების ერთმნიშვნელოვანი ხსენება, რაც წინა რედაქციაში არ გვხვდებოდა, ცალსახად დადებითად შეაფასა.</w:t>
      </w:r>
    </w:p>
    <w:p w:rsidR="005C438E" w:rsidRPr="009664B5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  <w:lang w:val="ka-GE"/>
        </w:rPr>
      </w:pPr>
      <w:r w:rsidRPr="009664B5">
        <w:rPr>
          <w:rFonts w:ascii="Sylfaen" w:hAnsi="Sylfaen"/>
          <w:color w:val="FF0000"/>
          <w:sz w:val="28"/>
          <w:szCs w:val="26"/>
          <w:lang w:val="ka-GE"/>
        </w:rPr>
        <w:t xml:space="preserve">ეს ჩანაწერი კონსტიტუციურად ამყარებს </w:t>
      </w:r>
      <w:r w:rsidR="001834E2" w:rsidRPr="009664B5">
        <w:rPr>
          <w:rFonts w:ascii="Sylfaen" w:hAnsi="Sylfaen"/>
          <w:color w:val="FF0000"/>
          <w:sz w:val="28"/>
          <w:szCs w:val="26"/>
          <w:lang w:val="ka-GE"/>
        </w:rPr>
        <w:t>ბავშვის საუკეთესო ინტერესის დაცვას და მიზანმიმართული სახელმწიფო პოლიტიკის განხორციელებას ბავშვთა დაცვის კუთხით.   რაც, ამ მიმართულებით, მნიშვნელოვან წინ გადადგმულ ნაბიჯად უნდა ჩაითვალოს.</w:t>
      </w:r>
      <w:bookmarkStart w:id="1" w:name="_GoBack"/>
      <w:bookmarkEnd w:id="1"/>
    </w:p>
    <w:p w:rsidR="00D96783" w:rsidRDefault="00D96783"/>
    <w:sectPr w:rsidR="00D96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18-03-23T12:50:00Z" w:initials="TB">
    <w:p w:rsidR="009664B5" w:rsidRDefault="009664B5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მიმაჩნია, რომ ამ საკითხზე საერთოდ არ უნდა გააკეთოს მინისტრმა კომენტარი, ამ მხოლოდ დეკლარაციული ხასიათის იყოს კომენტარი, რომ ყველას აქვს უფლება...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38B"/>
    <w:multiLevelType w:val="hybridMultilevel"/>
    <w:tmpl w:val="4D74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3A0"/>
    <w:multiLevelType w:val="hybridMultilevel"/>
    <w:tmpl w:val="8144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8E"/>
    <w:rsid w:val="001834E2"/>
    <w:rsid w:val="00221211"/>
    <w:rsid w:val="005C438E"/>
    <w:rsid w:val="009664B5"/>
    <w:rsid w:val="00D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95E1-798E-4D54-B0C2-5C12F226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2018-03-23T08:21:00Z</dcterms:created>
  <dcterms:modified xsi:type="dcterms:W3CDTF">2018-03-23T08:51:00Z</dcterms:modified>
</cp:coreProperties>
</file>