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DE" w:rsidRPr="00372F4F" w:rsidRDefault="00372F4F" w:rsidP="00372F4F">
      <w:pPr>
        <w:spacing w:line="240" w:lineRule="auto"/>
      </w:pPr>
      <w:bookmarkStart w:id="0" w:name="_GoBack"/>
      <w:bookmarkEnd w:id="0"/>
      <w:r>
        <w:rPr>
          <w:bCs/>
        </w:rPr>
        <w:t>Promotion of temporary legal employment a</w:t>
      </w:r>
      <w:r w:rsidR="00566535" w:rsidRPr="00372F4F">
        <w:rPr>
          <w:bCs/>
        </w:rPr>
        <w:t xml:space="preserve">broad </w:t>
      </w:r>
      <w:r w:rsidRPr="00372F4F">
        <w:rPr>
          <w:bCs/>
        </w:rPr>
        <w:t xml:space="preserve">and establishment of circular migration schemes as the mechanism to tackle illegal migration </w:t>
      </w:r>
      <w:r>
        <w:rPr>
          <w:bCs/>
        </w:rPr>
        <w:t>has been high on Government of Georgia’s agenda.  Circular migration is benefiting migrants, country of origin and country of destination, including respective societies and we view it as a mechanism to t</w:t>
      </w:r>
      <w:r w:rsidRPr="00566535">
        <w:t>ransform irregular</w:t>
      </w:r>
      <w:r>
        <w:t xml:space="preserve"> migration</w:t>
      </w:r>
      <w:r w:rsidRPr="00566535">
        <w:t xml:space="preserve"> into regular/legal migration and </w:t>
      </w:r>
      <w:r>
        <w:t xml:space="preserve">thus </w:t>
      </w:r>
      <w:r w:rsidRPr="00566535">
        <w:t xml:space="preserve">protect rights of </w:t>
      </w:r>
      <w:proofErr w:type="spellStart"/>
      <w:r w:rsidRPr="00566535">
        <w:t>labour</w:t>
      </w:r>
      <w:proofErr w:type="spellEnd"/>
      <w:r w:rsidRPr="00566535">
        <w:t xml:space="preserve"> migrants</w:t>
      </w:r>
      <w:r w:rsidR="00F42F94">
        <w:t>, support cross border ties, promote skills enhancement and human capacity development.</w:t>
      </w:r>
    </w:p>
    <w:p w:rsidR="00F42F94" w:rsidRDefault="00566535" w:rsidP="00F42F94">
      <w:pPr>
        <w:spacing w:line="240" w:lineRule="auto"/>
        <w:jc w:val="both"/>
      </w:pPr>
      <w:r>
        <w:t>I</w:t>
      </w:r>
      <w:r w:rsidRPr="00566535">
        <w:t xml:space="preserve">n recent years </w:t>
      </w:r>
      <w:r w:rsidR="00752E2B">
        <w:t>t</w:t>
      </w:r>
      <w:r w:rsidR="004E4495" w:rsidRPr="004E4495">
        <w:t xml:space="preserve">he Georgian government has been actively working on development of cooperation in </w:t>
      </w:r>
      <w:r w:rsidR="00B16D15">
        <w:t xml:space="preserve">the field of circular migration. </w:t>
      </w:r>
      <w:r w:rsidR="00F42F94">
        <w:t xml:space="preserve"> In December, 2018 the</w:t>
      </w:r>
      <w:r w:rsidR="005540DE" w:rsidRPr="005540DE">
        <w:t xml:space="preserve"> </w:t>
      </w:r>
      <w:r w:rsidR="00F42F94">
        <w:t>Agreement on Residence and Circular Migration of Qualified S</w:t>
      </w:r>
      <w:r w:rsidR="005540DE" w:rsidRPr="005540DE">
        <w:t>pecialists</w:t>
      </w:r>
      <w:r w:rsidR="00F42F94">
        <w:t xml:space="preserve"> has been signed with France</w:t>
      </w:r>
      <w:r w:rsidR="005540DE" w:rsidRPr="005540DE">
        <w:t xml:space="preserve">. This agreement entered into force on February 1, 2019. </w:t>
      </w:r>
      <w:r w:rsidR="00F42F94">
        <w:t>Circular migration schemes have been successfully piloted with Poland and</w:t>
      </w:r>
      <w:r w:rsidR="00752E2B">
        <w:t xml:space="preserve"> </w:t>
      </w:r>
      <w:r w:rsidR="00F42F94" w:rsidRPr="006F3795">
        <w:t>number of countries (Bulgaria</w:t>
      </w:r>
      <w:r w:rsidR="00F42F94">
        <w:t xml:space="preserve">, </w:t>
      </w:r>
      <w:r w:rsidR="00F42F94" w:rsidRPr="006F3795">
        <w:t xml:space="preserve">Estonia, Hungary, </w:t>
      </w:r>
      <w:proofErr w:type="gramStart"/>
      <w:r w:rsidR="00F42F94" w:rsidRPr="006F3795">
        <w:t>Portugal</w:t>
      </w:r>
      <w:proofErr w:type="gramEnd"/>
      <w:r w:rsidR="00F42F94" w:rsidRPr="006F3795">
        <w:t>) have already express</w:t>
      </w:r>
      <w:r w:rsidR="00752E2B">
        <w:t xml:space="preserve">ed their readiness to cooperate.   We will continue </w:t>
      </w:r>
      <w:r w:rsidR="00752E2B" w:rsidRPr="006F3795">
        <w:t xml:space="preserve">identifying opportunities for cooperation in the field of </w:t>
      </w:r>
      <w:r w:rsidR="00752E2B">
        <w:t xml:space="preserve">temporary legal employment with our partner countries. </w:t>
      </w:r>
    </w:p>
    <w:p w:rsidR="005540DE" w:rsidRDefault="005540DE" w:rsidP="00566535">
      <w:pPr>
        <w:spacing w:line="240" w:lineRule="auto"/>
        <w:jc w:val="both"/>
      </w:pPr>
    </w:p>
    <w:p w:rsidR="005540DE" w:rsidRDefault="005540DE" w:rsidP="00566535">
      <w:pPr>
        <w:spacing w:line="240" w:lineRule="auto"/>
        <w:jc w:val="both"/>
      </w:pPr>
    </w:p>
    <w:sectPr w:rsidR="005540DE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358B"/>
    <w:multiLevelType w:val="hybridMultilevel"/>
    <w:tmpl w:val="8D3CE14C"/>
    <w:lvl w:ilvl="0" w:tplc="C976311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B6CD5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1A62F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FE01C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7663F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4C277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04ACD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AC9D7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70EB3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DE"/>
    <w:rsid w:val="00293382"/>
    <w:rsid w:val="003558A3"/>
    <w:rsid w:val="00372F4F"/>
    <w:rsid w:val="004B44B3"/>
    <w:rsid w:val="004E4495"/>
    <w:rsid w:val="005540DE"/>
    <w:rsid w:val="00566535"/>
    <w:rsid w:val="00684E94"/>
    <w:rsid w:val="006F3795"/>
    <w:rsid w:val="00752E2B"/>
    <w:rsid w:val="009E53E0"/>
    <w:rsid w:val="00A07740"/>
    <w:rsid w:val="00B16D15"/>
    <w:rsid w:val="00CA47B0"/>
    <w:rsid w:val="00EA0A95"/>
    <w:rsid w:val="00F42F94"/>
    <w:rsid w:val="00F54854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253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360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50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61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14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43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13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40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Tamar Barkalaia</cp:lastModifiedBy>
  <cp:revision>2</cp:revision>
  <dcterms:created xsi:type="dcterms:W3CDTF">2019-06-06T12:01:00Z</dcterms:created>
  <dcterms:modified xsi:type="dcterms:W3CDTF">2019-06-06T12:01:00Z</dcterms:modified>
</cp:coreProperties>
</file>