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B78" w:rsidRPr="00A65AFF" w:rsidRDefault="00FE1BC9" w:rsidP="00A65AFF">
      <w:pPr>
        <w:pStyle w:val="ListParagraph"/>
        <w:numPr>
          <w:ilvl w:val="0"/>
          <w:numId w:val="2"/>
        </w:numPr>
        <w:jc w:val="center"/>
        <w:rPr>
          <w:rFonts w:ascii="Times New Roman" w:hAnsi="Times New Roman" w:cs="Times New Roman"/>
          <w:b/>
          <w:sz w:val="24"/>
          <w:szCs w:val="24"/>
        </w:rPr>
      </w:pPr>
      <w:r w:rsidRPr="00A65AFF">
        <w:rPr>
          <w:rFonts w:ascii="Times New Roman" w:hAnsi="Times New Roman" w:cs="Times New Roman"/>
          <w:b/>
          <w:sz w:val="24"/>
          <w:szCs w:val="24"/>
        </w:rPr>
        <w:t>Heritage –</w:t>
      </w:r>
      <w:r w:rsidR="00545AF4" w:rsidRPr="00A65AFF">
        <w:rPr>
          <w:rFonts w:ascii="Times New Roman" w:hAnsi="Times New Roman" w:cs="Times New Roman"/>
          <w:b/>
          <w:sz w:val="24"/>
          <w:szCs w:val="24"/>
        </w:rPr>
        <w:t xml:space="preserve"> E</w:t>
      </w:r>
      <w:r w:rsidRPr="00A65AFF">
        <w:rPr>
          <w:rFonts w:ascii="Times New Roman" w:hAnsi="Times New Roman" w:cs="Times New Roman"/>
          <w:b/>
          <w:sz w:val="24"/>
          <w:szCs w:val="24"/>
        </w:rPr>
        <w:t xml:space="preserve">conomic </w:t>
      </w:r>
      <w:r w:rsidR="00545AF4" w:rsidRPr="00A65AFF">
        <w:rPr>
          <w:rFonts w:ascii="Times New Roman" w:hAnsi="Times New Roman" w:cs="Times New Roman"/>
          <w:b/>
          <w:sz w:val="24"/>
          <w:szCs w:val="24"/>
        </w:rPr>
        <w:t>F</w:t>
      </w:r>
      <w:r w:rsidRPr="00A65AFF">
        <w:rPr>
          <w:rFonts w:ascii="Times New Roman" w:hAnsi="Times New Roman" w:cs="Times New Roman"/>
          <w:b/>
          <w:sz w:val="24"/>
          <w:szCs w:val="24"/>
        </w:rPr>
        <w:t>reedom</w:t>
      </w:r>
    </w:p>
    <w:p w:rsidR="00FF42E6" w:rsidRPr="00872ED3" w:rsidRDefault="00FF42E6" w:rsidP="00545AF4">
      <w:pPr>
        <w:jc w:val="center"/>
        <w:rPr>
          <w:rFonts w:ascii="Times New Roman" w:hAnsi="Times New Roman" w:cs="Times New Roman"/>
          <w:b/>
          <w:sz w:val="24"/>
          <w:szCs w:val="24"/>
        </w:rPr>
      </w:pPr>
      <w:r w:rsidRPr="00B6094C">
        <w:rPr>
          <w:rFonts w:ascii="Times New Roman" w:hAnsi="Times New Roman" w:cs="Times New Roman"/>
          <w:b/>
          <w:sz w:val="24"/>
          <w:szCs w:val="24"/>
        </w:rPr>
        <w:t xml:space="preserve">2018 Index of Economic </w:t>
      </w:r>
      <w:r w:rsidR="00545AF4" w:rsidRPr="00B6094C">
        <w:rPr>
          <w:rFonts w:ascii="Times New Roman" w:hAnsi="Times New Roman" w:cs="Times New Roman"/>
          <w:b/>
          <w:sz w:val="24"/>
          <w:szCs w:val="24"/>
        </w:rPr>
        <w:t>Freedom - source</w:t>
      </w:r>
      <w:r w:rsidRPr="00B6094C">
        <w:rPr>
          <w:rFonts w:ascii="Times New Roman" w:hAnsi="Times New Roman" w:cs="Times New Roman"/>
          <w:b/>
          <w:sz w:val="24"/>
          <w:szCs w:val="24"/>
        </w:rPr>
        <w:t xml:space="preserve"> Heritage Foundation</w:t>
      </w:r>
      <w:r w:rsidR="00545AF4" w:rsidRPr="00B6094C">
        <w:rPr>
          <w:rFonts w:ascii="Times New Roman" w:hAnsi="Times New Roman" w:cs="Times New Roman"/>
          <w:b/>
          <w:sz w:val="24"/>
          <w:szCs w:val="24"/>
          <w:lang w:val="ka-GE"/>
        </w:rPr>
        <w:t xml:space="preserve"> </w:t>
      </w:r>
      <w:r w:rsidR="00545AF4" w:rsidRPr="00347037">
        <w:rPr>
          <w:rFonts w:ascii="Times New Roman" w:hAnsi="Times New Roman" w:cs="Times New Roman"/>
          <w:sz w:val="24"/>
          <w:szCs w:val="24"/>
          <w:lang w:val="ka-GE"/>
        </w:rPr>
        <w:t>(</w:t>
      </w:r>
      <w:r w:rsidR="00872ED3" w:rsidRPr="00347037">
        <w:rPr>
          <w:rFonts w:ascii="Times New Roman" w:hAnsi="Times New Roman" w:cs="Times New Roman"/>
          <w:sz w:val="24"/>
          <w:szCs w:val="24"/>
          <w:lang w:val="ka-GE"/>
        </w:rPr>
        <w:fldChar w:fldCharType="begin"/>
      </w:r>
      <w:r w:rsidR="00872ED3" w:rsidRPr="00347037">
        <w:rPr>
          <w:rFonts w:ascii="Times New Roman" w:hAnsi="Times New Roman" w:cs="Times New Roman"/>
          <w:sz w:val="24"/>
          <w:szCs w:val="24"/>
          <w:lang w:val="ka-GE"/>
        </w:rPr>
        <w:instrText xml:space="preserve"> HYPERLINK "https://www.heritage.org/index</w:instrText>
      </w:r>
      <w:r w:rsidR="00872ED3" w:rsidRPr="00347037">
        <w:rPr>
          <w:rFonts w:ascii="Times New Roman" w:hAnsi="Times New Roman" w:cs="Times New Roman"/>
          <w:sz w:val="24"/>
          <w:szCs w:val="24"/>
        </w:rPr>
        <w:instrText xml:space="preserve"> </w:instrText>
      </w:r>
      <w:r w:rsidR="00872ED3" w:rsidRPr="00347037">
        <w:rPr>
          <w:rFonts w:ascii="Times New Roman" w:hAnsi="Times New Roman" w:cs="Times New Roman"/>
          <w:sz w:val="24"/>
          <w:szCs w:val="24"/>
          <w:lang w:val="ka-GE"/>
        </w:rPr>
        <w:instrText xml:space="preserve">/" </w:instrText>
      </w:r>
      <w:r w:rsidR="00872ED3" w:rsidRPr="00347037">
        <w:rPr>
          <w:rFonts w:ascii="Times New Roman" w:hAnsi="Times New Roman" w:cs="Times New Roman"/>
          <w:sz w:val="24"/>
          <w:szCs w:val="24"/>
          <w:lang w:val="ka-GE"/>
        </w:rPr>
        <w:fldChar w:fldCharType="separate"/>
      </w:r>
      <w:r w:rsidR="00872ED3" w:rsidRPr="00347037">
        <w:rPr>
          <w:rStyle w:val="Hyperlink"/>
          <w:rFonts w:ascii="Times New Roman" w:hAnsi="Times New Roman" w:cs="Times New Roman"/>
          <w:sz w:val="24"/>
          <w:szCs w:val="24"/>
          <w:lang w:val="ka-GE"/>
        </w:rPr>
        <w:t>https://www.heritage.org/index</w:t>
      </w:r>
      <w:r w:rsidR="00872ED3" w:rsidRPr="00347037">
        <w:rPr>
          <w:rStyle w:val="Hyperlink"/>
          <w:rFonts w:ascii="Times New Roman" w:hAnsi="Times New Roman" w:cs="Times New Roman"/>
          <w:sz w:val="24"/>
          <w:szCs w:val="24"/>
        </w:rPr>
        <w:t xml:space="preserve"> </w:t>
      </w:r>
      <w:r w:rsidR="00872ED3" w:rsidRPr="00347037">
        <w:rPr>
          <w:rStyle w:val="Hyperlink"/>
          <w:rFonts w:ascii="Times New Roman" w:hAnsi="Times New Roman" w:cs="Times New Roman"/>
          <w:sz w:val="24"/>
          <w:szCs w:val="24"/>
          <w:lang w:val="ka-GE"/>
        </w:rPr>
        <w:t>/</w:t>
      </w:r>
      <w:r w:rsidR="00872ED3" w:rsidRPr="00347037">
        <w:rPr>
          <w:rFonts w:ascii="Times New Roman" w:hAnsi="Times New Roman" w:cs="Times New Roman"/>
          <w:sz w:val="24"/>
          <w:szCs w:val="24"/>
          <w:lang w:val="ka-GE"/>
        </w:rPr>
        <w:fldChar w:fldCharType="end"/>
      </w:r>
      <w:r w:rsidR="00545AF4" w:rsidRPr="00347037">
        <w:rPr>
          <w:rFonts w:ascii="Times New Roman" w:hAnsi="Times New Roman" w:cs="Times New Roman"/>
          <w:sz w:val="24"/>
          <w:szCs w:val="24"/>
          <w:lang w:val="ka-GE"/>
        </w:rPr>
        <w:t>)</w:t>
      </w:r>
      <w:r w:rsidR="00872ED3">
        <w:rPr>
          <w:rFonts w:ascii="Times New Roman" w:hAnsi="Times New Roman" w:cs="Times New Roman"/>
          <w:b/>
          <w:sz w:val="24"/>
          <w:szCs w:val="24"/>
        </w:rPr>
        <w:t xml:space="preserve"> </w:t>
      </w:r>
      <w:hyperlink r:id="rId6" w:history="1">
        <w:r w:rsidR="00E90BEA" w:rsidRPr="0002119A">
          <w:rPr>
            <w:rStyle w:val="Hyperlink"/>
            <w:rFonts w:ascii="Times New Roman" w:hAnsi="Times New Roman" w:cs="Times New Roman"/>
            <w:b/>
            <w:sz w:val="24"/>
            <w:szCs w:val="24"/>
          </w:rPr>
          <w:t>http://www.economy.ge/uploads/files/2017/reitingebi/heritage_2018_geo.pdf</w:t>
        </w:r>
      </w:hyperlink>
      <w:r w:rsidR="00E90BEA">
        <w:rPr>
          <w:rFonts w:ascii="Times New Roman" w:hAnsi="Times New Roman" w:cs="Times New Roman"/>
          <w:b/>
          <w:sz w:val="24"/>
          <w:szCs w:val="24"/>
        </w:rPr>
        <w:t xml:space="preserve"> </w:t>
      </w:r>
    </w:p>
    <w:p w:rsidR="00FE1BC9" w:rsidRPr="00B6094C" w:rsidRDefault="00FF42E6">
      <w:pPr>
        <w:rPr>
          <w:rFonts w:ascii="Times New Roman" w:hAnsi="Times New Roman" w:cs="Times New Roman"/>
          <w:sz w:val="24"/>
          <w:szCs w:val="24"/>
        </w:rPr>
      </w:pPr>
      <w:r w:rsidRPr="00B6094C">
        <w:rPr>
          <w:rFonts w:ascii="Times New Roman" w:hAnsi="Times New Roman" w:cs="Times New Roman"/>
          <w:iCs/>
          <w:spacing w:val="2"/>
          <w:sz w:val="24"/>
          <w:szCs w:val="24"/>
        </w:rPr>
        <w:t>Heritage Foundation</w:t>
      </w:r>
      <w:r w:rsidRPr="00B6094C">
        <w:rPr>
          <w:rFonts w:ascii="Times New Roman" w:hAnsi="Times New Roman" w:cs="Times New Roman"/>
          <w:sz w:val="24"/>
          <w:szCs w:val="24"/>
        </w:rPr>
        <w:t xml:space="preserve"> - Free enterprise, limited government, individual freedom, traditional American values, and a strong national defense—promoting these principles is the mission of The Heritage Foundation</w:t>
      </w:r>
    </w:p>
    <w:p w:rsidR="00FF42E6" w:rsidRPr="00B6094C" w:rsidRDefault="00FF42E6">
      <w:pPr>
        <w:rPr>
          <w:rFonts w:ascii="Times New Roman" w:hAnsi="Times New Roman" w:cs="Times New Roman"/>
          <w:sz w:val="24"/>
          <w:szCs w:val="24"/>
        </w:rPr>
      </w:pPr>
    </w:p>
    <w:p w:rsidR="00FF42E6" w:rsidRPr="00B6094C" w:rsidRDefault="0054658C">
      <w:pPr>
        <w:rPr>
          <w:rFonts w:ascii="Times New Roman" w:hAnsi="Times New Roman" w:cs="Times New Roman"/>
          <w:b/>
          <w:sz w:val="24"/>
          <w:szCs w:val="24"/>
        </w:rPr>
      </w:pPr>
      <w:r w:rsidRPr="00B6094C">
        <w:rPr>
          <w:rFonts w:ascii="Times New Roman" w:hAnsi="Times New Roman" w:cs="Times New Roman"/>
          <w:b/>
          <w:sz w:val="24"/>
          <w:szCs w:val="24"/>
        </w:rPr>
        <w:t xml:space="preserve">Georgia- Mostly Free </w:t>
      </w:r>
    </w:p>
    <w:p w:rsidR="00545AF4" w:rsidRPr="00B6094C" w:rsidRDefault="00FF42E6" w:rsidP="00FF42E6">
      <w:pPr>
        <w:jc w:val="both"/>
        <w:rPr>
          <w:rFonts w:ascii="Times New Roman" w:hAnsi="Times New Roman" w:cs="Times New Roman"/>
          <w:sz w:val="24"/>
          <w:szCs w:val="24"/>
          <w:shd w:val="clear" w:color="auto" w:fill="F7FCFD"/>
        </w:rPr>
      </w:pPr>
      <w:r w:rsidRPr="00387E6B">
        <w:rPr>
          <w:rFonts w:ascii="Times New Roman" w:hAnsi="Times New Roman" w:cs="Times New Roman"/>
          <w:sz w:val="24"/>
          <w:szCs w:val="24"/>
        </w:rPr>
        <w:t xml:space="preserve">Georgia’s economic freedom score is </w:t>
      </w:r>
      <w:r w:rsidRPr="00387E6B">
        <w:rPr>
          <w:rFonts w:ascii="Times New Roman" w:hAnsi="Times New Roman" w:cs="Times New Roman"/>
          <w:b/>
          <w:sz w:val="24"/>
          <w:szCs w:val="24"/>
        </w:rPr>
        <w:t>76</w:t>
      </w:r>
      <w:r w:rsidRPr="00B6094C">
        <w:rPr>
          <w:rFonts w:ascii="Times New Roman" w:hAnsi="Times New Roman" w:cs="Times New Roman"/>
          <w:b/>
          <w:sz w:val="24"/>
          <w:szCs w:val="24"/>
          <w:shd w:val="clear" w:color="auto" w:fill="F7FCFD"/>
        </w:rPr>
        <w:t>.2</w:t>
      </w:r>
      <w:r w:rsidRPr="00B6094C">
        <w:rPr>
          <w:rFonts w:ascii="Times New Roman" w:hAnsi="Times New Roman" w:cs="Times New Roman"/>
          <w:sz w:val="24"/>
          <w:szCs w:val="24"/>
          <w:shd w:val="clear" w:color="auto" w:fill="F7FCFD"/>
        </w:rPr>
        <w:t xml:space="preserve">, making its economy the 16th freest in the 2018 Index. Its overall score has increased by 0.2 point, with a substantial improvement in property rights offsetting modest declines in government integrity, judicial effectiveness, and fiscal health. </w:t>
      </w:r>
    </w:p>
    <w:p w:rsidR="00FE1BC9" w:rsidRPr="00B6094C" w:rsidRDefault="00FF42E6" w:rsidP="00FF42E6">
      <w:pPr>
        <w:jc w:val="both"/>
        <w:rPr>
          <w:rFonts w:ascii="Times New Roman" w:hAnsi="Times New Roman" w:cs="Times New Roman"/>
          <w:sz w:val="24"/>
          <w:szCs w:val="24"/>
        </w:rPr>
      </w:pPr>
      <w:r w:rsidRPr="00B6094C">
        <w:rPr>
          <w:rFonts w:ascii="Times New Roman" w:hAnsi="Times New Roman" w:cs="Times New Roman"/>
          <w:sz w:val="24"/>
          <w:szCs w:val="24"/>
          <w:shd w:val="clear" w:color="auto" w:fill="F7FCFD"/>
        </w:rPr>
        <w:t>Georgia is ranked 9</w:t>
      </w:r>
      <w:r w:rsidRPr="00387E6B">
        <w:rPr>
          <w:rFonts w:ascii="Times New Roman" w:hAnsi="Times New Roman" w:cs="Times New Roman"/>
          <w:sz w:val="24"/>
          <w:szCs w:val="24"/>
          <w:shd w:val="clear" w:color="auto" w:fill="F7FCFD"/>
          <w:vertAlign w:val="superscript"/>
        </w:rPr>
        <w:t>th</w:t>
      </w:r>
      <w:r w:rsidRPr="00B6094C">
        <w:rPr>
          <w:rFonts w:ascii="Times New Roman" w:hAnsi="Times New Roman" w:cs="Times New Roman"/>
          <w:sz w:val="24"/>
          <w:szCs w:val="24"/>
          <w:shd w:val="clear" w:color="auto" w:fill="F7FCFD"/>
        </w:rPr>
        <w:t xml:space="preserve"> among 44 countries in the Europe region, and its overall score is above the regional and world averages.</w:t>
      </w:r>
    </w:p>
    <w:p w:rsidR="0049544F" w:rsidRPr="00B6094C" w:rsidRDefault="00545AF4" w:rsidP="0049544F">
      <w:pPr>
        <w:jc w:val="both"/>
        <w:rPr>
          <w:rFonts w:ascii="Times New Roman" w:hAnsi="Times New Roman" w:cs="Times New Roman"/>
          <w:b/>
          <w:sz w:val="24"/>
          <w:szCs w:val="24"/>
        </w:rPr>
      </w:pPr>
      <w:r w:rsidRPr="00B6094C">
        <w:rPr>
          <w:rFonts w:ascii="Times New Roman" w:hAnsi="Times New Roman" w:cs="Times New Roman"/>
          <w:b/>
          <w:sz w:val="24"/>
          <w:szCs w:val="24"/>
        </w:rPr>
        <w:t xml:space="preserve">There are four pillars under the economic freedom index and regulatory efficiency includes </w:t>
      </w:r>
      <w:proofErr w:type="spellStart"/>
      <w:r w:rsidRPr="00B6094C">
        <w:rPr>
          <w:rFonts w:ascii="Times New Roman" w:hAnsi="Times New Roman" w:cs="Times New Roman"/>
          <w:b/>
          <w:sz w:val="24"/>
          <w:szCs w:val="24"/>
        </w:rPr>
        <w:t>labour</w:t>
      </w:r>
      <w:proofErr w:type="spellEnd"/>
      <w:r w:rsidRPr="00B6094C">
        <w:rPr>
          <w:rFonts w:ascii="Times New Roman" w:hAnsi="Times New Roman" w:cs="Times New Roman"/>
          <w:b/>
          <w:sz w:val="24"/>
          <w:szCs w:val="24"/>
        </w:rPr>
        <w:t xml:space="preserve"> freedom. </w:t>
      </w:r>
      <w:proofErr w:type="spellStart"/>
      <w:r w:rsidR="00FF42E6" w:rsidRPr="00B6094C">
        <w:rPr>
          <w:rFonts w:ascii="Times New Roman" w:hAnsi="Times New Roman" w:cs="Times New Roman"/>
          <w:b/>
          <w:sz w:val="24"/>
          <w:szCs w:val="24"/>
        </w:rPr>
        <w:t>Labour</w:t>
      </w:r>
      <w:proofErr w:type="spellEnd"/>
      <w:r w:rsidR="00FF42E6" w:rsidRPr="00B6094C">
        <w:rPr>
          <w:rFonts w:ascii="Times New Roman" w:hAnsi="Times New Roman" w:cs="Times New Roman"/>
          <w:b/>
          <w:sz w:val="24"/>
          <w:szCs w:val="24"/>
        </w:rPr>
        <w:t xml:space="preserve"> </w:t>
      </w:r>
      <w:r w:rsidRPr="00B6094C">
        <w:rPr>
          <w:rFonts w:ascii="Times New Roman" w:hAnsi="Times New Roman" w:cs="Times New Roman"/>
          <w:b/>
          <w:sz w:val="24"/>
          <w:szCs w:val="24"/>
        </w:rPr>
        <w:t xml:space="preserve">freedom index: </w:t>
      </w:r>
      <w:r w:rsidR="0049544F" w:rsidRPr="00B6094C">
        <w:rPr>
          <w:rFonts w:ascii="Times New Roman" w:hAnsi="Times New Roman" w:cs="Times New Roman"/>
          <w:sz w:val="24"/>
          <w:szCs w:val="24"/>
        </w:rPr>
        <w:t>Seven quantitative sub-factors are equally weighted, with each counted as one-seventh of the labor freedom component:</w:t>
      </w:r>
    </w:p>
    <w:p w:rsidR="0049544F" w:rsidRPr="00B6094C" w:rsidRDefault="0049544F" w:rsidP="00545AF4">
      <w:pPr>
        <w:pStyle w:val="NormalWeb"/>
        <w:spacing w:before="0" w:beforeAutospacing="0" w:after="240" w:afterAutospacing="0"/>
        <w:ind w:left="720"/>
      </w:pPr>
      <w:r w:rsidRPr="00B6094C">
        <w:t>Ratio of minimum wage to the average value added per worker,</w:t>
      </w:r>
    </w:p>
    <w:p w:rsidR="0049544F" w:rsidRPr="00B6094C" w:rsidRDefault="0049544F" w:rsidP="00545AF4">
      <w:pPr>
        <w:pStyle w:val="NormalWeb"/>
        <w:spacing w:before="0" w:beforeAutospacing="0" w:after="240" w:afterAutospacing="0"/>
        <w:ind w:left="720"/>
      </w:pPr>
      <w:r w:rsidRPr="00B6094C">
        <w:t>Hindrance to hiring additional workers,</w:t>
      </w:r>
    </w:p>
    <w:p w:rsidR="0049544F" w:rsidRPr="00B6094C" w:rsidRDefault="0049544F" w:rsidP="00545AF4">
      <w:pPr>
        <w:pStyle w:val="NormalWeb"/>
        <w:spacing w:before="0" w:beforeAutospacing="0" w:after="240" w:afterAutospacing="0"/>
        <w:ind w:left="720"/>
      </w:pPr>
      <w:r w:rsidRPr="00B6094C">
        <w:t>Rigidity of hours,</w:t>
      </w:r>
    </w:p>
    <w:p w:rsidR="0049544F" w:rsidRPr="00B6094C" w:rsidRDefault="0049544F" w:rsidP="00545AF4">
      <w:pPr>
        <w:pStyle w:val="NormalWeb"/>
        <w:spacing w:before="0" w:beforeAutospacing="0" w:after="240" w:afterAutospacing="0"/>
        <w:ind w:left="720"/>
      </w:pPr>
      <w:r w:rsidRPr="00B6094C">
        <w:t>Difficulty of firing redundant employees,</w:t>
      </w:r>
    </w:p>
    <w:p w:rsidR="0049544F" w:rsidRPr="00B6094C" w:rsidRDefault="0049544F" w:rsidP="00545AF4">
      <w:pPr>
        <w:pStyle w:val="NormalWeb"/>
        <w:spacing w:before="0" w:beforeAutospacing="0" w:after="240" w:afterAutospacing="0"/>
        <w:ind w:left="720"/>
      </w:pPr>
      <w:r w:rsidRPr="00B6094C">
        <w:t>Legally mandated notice period,</w:t>
      </w:r>
    </w:p>
    <w:p w:rsidR="0049544F" w:rsidRPr="00B6094C" w:rsidRDefault="0049544F" w:rsidP="00545AF4">
      <w:pPr>
        <w:pStyle w:val="NormalWeb"/>
        <w:spacing w:before="0" w:beforeAutospacing="0" w:after="240" w:afterAutospacing="0"/>
        <w:ind w:left="720"/>
      </w:pPr>
      <w:r w:rsidRPr="00B6094C">
        <w:t>Mandatory severance pay, and</w:t>
      </w:r>
    </w:p>
    <w:p w:rsidR="0049544F" w:rsidRPr="00B6094C" w:rsidRDefault="0049544F" w:rsidP="00545AF4">
      <w:pPr>
        <w:pStyle w:val="NormalWeb"/>
        <w:spacing w:before="0" w:beforeAutospacing="0" w:after="240" w:afterAutospacing="0"/>
        <w:ind w:firstLine="720"/>
      </w:pPr>
      <w:r w:rsidRPr="00B6094C">
        <w:t>Labor force participation rate.</w:t>
      </w:r>
    </w:p>
    <w:p w:rsidR="00545AF4" w:rsidRPr="00B6094C" w:rsidRDefault="00387E6B" w:rsidP="00545AF4">
      <w:pPr>
        <w:jc w:val="both"/>
        <w:rPr>
          <w:rFonts w:ascii="Times New Roman" w:hAnsi="Times New Roman" w:cs="Times New Roman"/>
          <w:b/>
          <w:sz w:val="24"/>
          <w:szCs w:val="24"/>
        </w:rPr>
      </w:pPr>
      <w:r w:rsidRPr="00A65AFF">
        <w:rPr>
          <w:rStyle w:val="measurement"/>
          <w:rFonts w:ascii="Times New Roman" w:hAnsi="Times New Roman" w:cs="Times New Roman"/>
          <w:b/>
          <w:sz w:val="24"/>
          <w:szCs w:val="24"/>
        </w:rPr>
        <w:t>Georgia</w:t>
      </w:r>
      <w:r w:rsidR="00A65AFF" w:rsidRPr="00A65AFF">
        <w:rPr>
          <w:rStyle w:val="measurement"/>
          <w:rFonts w:ascii="Times New Roman" w:hAnsi="Times New Roman" w:cs="Times New Roman"/>
          <w:b/>
          <w:sz w:val="24"/>
          <w:szCs w:val="24"/>
        </w:rPr>
        <w:t>’s L</w:t>
      </w:r>
      <w:r w:rsidR="00545AF4" w:rsidRPr="00A65AFF">
        <w:rPr>
          <w:rStyle w:val="measurement"/>
          <w:rFonts w:ascii="Times New Roman" w:hAnsi="Times New Roman" w:cs="Times New Roman"/>
          <w:b/>
          <w:sz w:val="24"/>
          <w:szCs w:val="24"/>
        </w:rPr>
        <w:t>abour Freedom score is</w:t>
      </w:r>
      <w:r w:rsidR="00545AF4" w:rsidRPr="00B6094C">
        <w:rPr>
          <w:rStyle w:val="measurement"/>
          <w:rFonts w:ascii="Times New Roman" w:hAnsi="Times New Roman" w:cs="Times New Roman"/>
          <w:sz w:val="24"/>
          <w:szCs w:val="24"/>
        </w:rPr>
        <w:t xml:space="preserve"> </w:t>
      </w:r>
      <w:r w:rsidR="00A65AFF">
        <w:rPr>
          <w:rStyle w:val="thechange"/>
          <w:rFonts w:ascii="Times New Roman" w:hAnsi="Times New Roman" w:cs="Times New Roman"/>
          <w:b/>
          <w:bCs/>
          <w:sz w:val="24"/>
          <w:szCs w:val="24"/>
        </w:rPr>
        <w:t>77.3 in 2018 (</w:t>
      </w:r>
      <w:r w:rsidR="00545AF4" w:rsidRPr="00B6094C">
        <w:rPr>
          <w:rStyle w:val="thechange"/>
          <w:rFonts w:ascii="Times New Roman" w:hAnsi="Times New Roman" w:cs="Times New Roman"/>
          <w:b/>
          <w:bCs/>
          <w:sz w:val="24"/>
          <w:szCs w:val="24"/>
        </w:rPr>
        <w:t>score in 2017 was 75.9%</w:t>
      </w:r>
      <w:r w:rsidR="00A65AFF">
        <w:rPr>
          <w:rStyle w:val="thechange"/>
          <w:rFonts w:ascii="Times New Roman" w:hAnsi="Times New Roman" w:cs="Times New Roman"/>
          <w:b/>
          <w:bCs/>
          <w:sz w:val="24"/>
          <w:szCs w:val="24"/>
        </w:rPr>
        <w:t>)</w:t>
      </w:r>
      <w:r w:rsidR="00545AF4" w:rsidRPr="00B6094C">
        <w:rPr>
          <w:rStyle w:val="thechange"/>
          <w:rFonts w:ascii="Times New Roman" w:hAnsi="Times New Roman" w:cs="Times New Roman"/>
          <w:b/>
          <w:bCs/>
          <w:sz w:val="24"/>
          <w:szCs w:val="24"/>
        </w:rPr>
        <w:t xml:space="preserve"> meaning that Georgia is mostly free. </w:t>
      </w:r>
    </w:p>
    <w:p w:rsidR="0049544F" w:rsidRPr="00B6094C" w:rsidRDefault="0049544F" w:rsidP="00FF42E6">
      <w:pPr>
        <w:jc w:val="both"/>
        <w:rPr>
          <w:rFonts w:ascii="Times New Roman" w:hAnsi="Times New Roman" w:cs="Times New Roman"/>
          <w:b/>
          <w:sz w:val="24"/>
          <w:szCs w:val="24"/>
        </w:rPr>
      </w:pPr>
    </w:p>
    <w:p w:rsidR="00545AF4" w:rsidRPr="00B6094C" w:rsidRDefault="00545AF4" w:rsidP="00FF42E6">
      <w:pPr>
        <w:jc w:val="both"/>
        <w:rPr>
          <w:rFonts w:ascii="Times New Roman" w:hAnsi="Times New Roman" w:cs="Times New Roman"/>
          <w:b/>
          <w:sz w:val="24"/>
          <w:szCs w:val="24"/>
        </w:rPr>
      </w:pPr>
    </w:p>
    <w:p w:rsidR="00545AF4" w:rsidRPr="00B6094C" w:rsidRDefault="00545AF4" w:rsidP="00FF42E6">
      <w:pPr>
        <w:jc w:val="both"/>
        <w:rPr>
          <w:rFonts w:ascii="Times New Roman" w:hAnsi="Times New Roman" w:cs="Times New Roman"/>
          <w:b/>
          <w:sz w:val="24"/>
          <w:szCs w:val="24"/>
        </w:rPr>
      </w:pPr>
    </w:p>
    <w:p w:rsidR="00545AF4" w:rsidRPr="00B6094C" w:rsidRDefault="00545AF4" w:rsidP="00FF42E6">
      <w:pPr>
        <w:jc w:val="both"/>
        <w:rPr>
          <w:rFonts w:ascii="Times New Roman" w:hAnsi="Times New Roman" w:cs="Times New Roman"/>
          <w:b/>
          <w:sz w:val="24"/>
          <w:szCs w:val="24"/>
        </w:rPr>
      </w:pPr>
    </w:p>
    <w:p w:rsidR="00545AF4" w:rsidRPr="00B6094C" w:rsidRDefault="00545AF4" w:rsidP="00FF42E6">
      <w:pPr>
        <w:jc w:val="both"/>
        <w:rPr>
          <w:rFonts w:ascii="Times New Roman" w:hAnsi="Times New Roman" w:cs="Times New Roman"/>
          <w:b/>
          <w:sz w:val="24"/>
          <w:szCs w:val="24"/>
        </w:rPr>
      </w:pPr>
    </w:p>
    <w:p w:rsidR="00545AF4" w:rsidRPr="00A65AFF" w:rsidRDefault="00FF42E6" w:rsidP="00A65AFF">
      <w:pPr>
        <w:pStyle w:val="ListParagraph"/>
        <w:numPr>
          <w:ilvl w:val="0"/>
          <w:numId w:val="2"/>
        </w:numPr>
        <w:jc w:val="center"/>
        <w:rPr>
          <w:rFonts w:ascii="Times New Roman" w:hAnsi="Times New Roman" w:cs="Times New Roman"/>
          <w:b/>
          <w:sz w:val="24"/>
          <w:szCs w:val="24"/>
        </w:rPr>
      </w:pPr>
      <w:r w:rsidRPr="00A65AFF">
        <w:rPr>
          <w:rFonts w:ascii="Times New Roman" w:hAnsi="Times New Roman" w:cs="Times New Roman"/>
          <w:b/>
          <w:sz w:val="24"/>
          <w:szCs w:val="24"/>
        </w:rPr>
        <w:lastRenderedPageBreak/>
        <w:t xml:space="preserve">Economic Freedom of the World 2018 report </w:t>
      </w:r>
      <w:r w:rsidR="00545AF4" w:rsidRPr="00A65AFF">
        <w:rPr>
          <w:rFonts w:ascii="Times New Roman" w:hAnsi="Times New Roman" w:cs="Times New Roman"/>
          <w:b/>
          <w:sz w:val="24"/>
          <w:szCs w:val="24"/>
        </w:rPr>
        <w:t>–</w:t>
      </w:r>
    </w:p>
    <w:p w:rsidR="003B0B2D" w:rsidRPr="00B6094C" w:rsidRDefault="00545AF4" w:rsidP="00545AF4">
      <w:pPr>
        <w:jc w:val="center"/>
        <w:rPr>
          <w:rFonts w:ascii="Times New Roman" w:hAnsi="Times New Roman" w:cs="Times New Roman"/>
          <w:b/>
          <w:sz w:val="24"/>
          <w:szCs w:val="24"/>
        </w:rPr>
      </w:pPr>
      <w:r w:rsidRPr="00B6094C">
        <w:rPr>
          <w:rFonts w:ascii="Times New Roman" w:hAnsi="Times New Roman" w:cs="Times New Roman"/>
          <w:b/>
          <w:sz w:val="24"/>
          <w:szCs w:val="24"/>
        </w:rPr>
        <w:t>Source: Fraser Institute (</w:t>
      </w:r>
      <w:hyperlink r:id="rId7" w:history="1">
        <w:r w:rsidRPr="00347037">
          <w:rPr>
            <w:rStyle w:val="Hyperlink"/>
            <w:rFonts w:ascii="Times New Roman" w:hAnsi="Times New Roman" w:cs="Times New Roman"/>
            <w:sz w:val="24"/>
            <w:szCs w:val="24"/>
          </w:rPr>
          <w:t>https://www.fraserinstitute.org/sites/default/files/economic-freedom-of-the-world-2018.pdf</w:t>
        </w:r>
      </w:hyperlink>
      <w:r w:rsidRPr="00347037">
        <w:rPr>
          <w:rFonts w:ascii="Times New Roman" w:hAnsi="Times New Roman" w:cs="Times New Roman"/>
          <w:sz w:val="24"/>
          <w:szCs w:val="24"/>
        </w:rPr>
        <w:t>)</w:t>
      </w:r>
    </w:p>
    <w:p w:rsidR="003B0B2D" w:rsidRPr="00B6094C" w:rsidRDefault="003B0B2D" w:rsidP="00676D04">
      <w:pPr>
        <w:jc w:val="both"/>
        <w:rPr>
          <w:rFonts w:ascii="Times New Roman" w:hAnsi="Times New Roman" w:cs="Times New Roman"/>
          <w:sz w:val="24"/>
          <w:szCs w:val="24"/>
        </w:rPr>
      </w:pPr>
      <w:r w:rsidRPr="00B6094C">
        <w:rPr>
          <w:rFonts w:ascii="Times New Roman" w:hAnsi="Times New Roman" w:cs="Times New Roman"/>
          <w:sz w:val="24"/>
          <w:szCs w:val="24"/>
        </w:rPr>
        <w:t>The index published in Economic Freedom of the World measures the degree to which the policies and institutions of countries are supportive of economic freedom. The cornerstones of economic freedom are personal choice, voluntary exchange, freedom to enter markets and compete, and security of the person and privately owned property</w:t>
      </w:r>
    </w:p>
    <w:p w:rsidR="00545AF4" w:rsidRPr="00B6094C" w:rsidRDefault="00545AF4" w:rsidP="00676D04">
      <w:pPr>
        <w:jc w:val="both"/>
        <w:rPr>
          <w:rFonts w:ascii="Times New Roman" w:hAnsi="Times New Roman" w:cs="Times New Roman"/>
          <w:b/>
          <w:sz w:val="24"/>
          <w:szCs w:val="24"/>
          <w:lang w:val="ka-GE"/>
        </w:rPr>
      </w:pPr>
    </w:p>
    <w:p w:rsidR="00545AF4" w:rsidRPr="00B6094C" w:rsidRDefault="00545AF4" w:rsidP="00676D04">
      <w:pPr>
        <w:jc w:val="both"/>
        <w:rPr>
          <w:rFonts w:ascii="Times New Roman" w:hAnsi="Times New Roman" w:cs="Times New Roman"/>
          <w:sz w:val="24"/>
          <w:szCs w:val="24"/>
          <w:lang w:val="ka-GE"/>
        </w:rPr>
      </w:pPr>
      <w:r w:rsidRPr="00B6094C">
        <w:rPr>
          <w:rFonts w:ascii="Times New Roman" w:hAnsi="Times New Roman" w:cs="Times New Roman"/>
          <w:sz w:val="24"/>
          <w:szCs w:val="24"/>
        </w:rPr>
        <w:t xml:space="preserve">Report on </w:t>
      </w:r>
      <w:r w:rsidR="00C15552" w:rsidRPr="00B6094C">
        <w:rPr>
          <w:rFonts w:ascii="Times New Roman" w:hAnsi="Times New Roman" w:cs="Times New Roman"/>
          <w:sz w:val="24"/>
          <w:szCs w:val="24"/>
        </w:rPr>
        <w:t>world</w:t>
      </w:r>
      <w:r w:rsidRPr="00B6094C">
        <w:rPr>
          <w:rFonts w:ascii="Times New Roman" w:hAnsi="Times New Roman" w:cs="Times New Roman"/>
          <w:sz w:val="24"/>
          <w:szCs w:val="24"/>
        </w:rPr>
        <w:t xml:space="preserve"> economic freedom 2018 has been published. </w:t>
      </w:r>
      <w:r w:rsidR="00C15552" w:rsidRPr="00B6094C">
        <w:rPr>
          <w:rFonts w:ascii="Times New Roman" w:hAnsi="Times New Roman" w:cs="Times New Roman"/>
          <w:sz w:val="24"/>
          <w:szCs w:val="24"/>
        </w:rPr>
        <w:t xml:space="preserve">Georgia is one of the highest scoring nations on top of the list together with Singapore and Hong Kong.  According to </w:t>
      </w:r>
      <w:r w:rsidR="00DA0EE4" w:rsidRPr="00B6094C">
        <w:rPr>
          <w:rFonts w:ascii="Times New Roman" w:hAnsi="Times New Roman" w:cs="Times New Roman"/>
          <w:sz w:val="24"/>
          <w:szCs w:val="24"/>
        </w:rPr>
        <w:t>report,</w:t>
      </w:r>
      <w:r w:rsidR="00C15552" w:rsidRPr="00B6094C">
        <w:rPr>
          <w:rFonts w:ascii="Times New Roman" w:hAnsi="Times New Roman" w:cs="Times New Roman"/>
          <w:sz w:val="24"/>
          <w:szCs w:val="24"/>
        </w:rPr>
        <w:t xml:space="preserve"> Georgia </w:t>
      </w:r>
      <w:r w:rsidR="00DA0EE4" w:rsidRPr="00B6094C">
        <w:rPr>
          <w:rFonts w:ascii="Times New Roman" w:hAnsi="Times New Roman" w:cs="Times New Roman"/>
          <w:sz w:val="24"/>
          <w:szCs w:val="24"/>
        </w:rPr>
        <w:t>is 7</w:t>
      </w:r>
      <w:r w:rsidR="00DA0EE4" w:rsidRPr="00B6094C">
        <w:rPr>
          <w:rFonts w:ascii="Times New Roman" w:hAnsi="Times New Roman" w:cs="Times New Roman"/>
          <w:sz w:val="24"/>
          <w:szCs w:val="24"/>
          <w:vertAlign w:val="superscript"/>
        </w:rPr>
        <w:t>th</w:t>
      </w:r>
      <w:r w:rsidR="00DA0EE4" w:rsidRPr="00B6094C">
        <w:rPr>
          <w:rFonts w:ascii="Times New Roman" w:hAnsi="Times New Roman" w:cs="Times New Roman"/>
          <w:sz w:val="24"/>
          <w:szCs w:val="24"/>
        </w:rPr>
        <w:t xml:space="preserve"> comparing</w:t>
      </w:r>
      <w:r w:rsidR="00C15552" w:rsidRPr="00B6094C">
        <w:rPr>
          <w:rFonts w:ascii="Times New Roman" w:hAnsi="Times New Roman" w:cs="Times New Roman"/>
          <w:sz w:val="24"/>
          <w:szCs w:val="24"/>
        </w:rPr>
        <w:t xml:space="preserve"> to 2015 when it was 8</w:t>
      </w:r>
      <w:r w:rsidR="00C15552" w:rsidRPr="00B6094C">
        <w:rPr>
          <w:rFonts w:ascii="Times New Roman" w:hAnsi="Times New Roman" w:cs="Times New Roman"/>
          <w:sz w:val="24"/>
          <w:szCs w:val="24"/>
          <w:vertAlign w:val="superscript"/>
        </w:rPr>
        <w:t>th</w:t>
      </w:r>
      <w:r w:rsidR="00C15552" w:rsidRPr="00B6094C">
        <w:rPr>
          <w:rFonts w:ascii="Times New Roman" w:hAnsi="Times New Roman" w:cs="Times New Roman"/>
          <w:sz w:val="24"/>
          <w:szCs w:val="24"/>
        </w:rPr>
        <w:t xml:space="preserve">. </w:t>
      </w:r>
    </w:p>
    <w:p w:rsidR="00676D04" w:rsidRPr="00B6094C" w:rsidRDefault="00C15552" w:rsidP="00676D04">
      <w:pPr>
        <w:jc w:val="both"/>
        <w:rPr>
          <w:rFonts w:ascii="Times New Roman" w:hAnsi="Times New Roman" w:cs="Times New Roman"/>
          <w:sz w:val="24"/>
          <w:szCs w:val="24"/>
        </w:rPr>
      </w:pPr>
      <w:r w:rsidRPr="00B6094C">
        <w:rPr>
          <w:rFonts w:ascii="Times New Roman" w:hAnsi="Times New Roman" w:cs="Times New Roman"/>
          <w:sz w:val="24"/>
          <w:szCs w:val="24"/>
        </w:rPr>
        <w:t xml:space="preserve">The index includes different/various areas where Area 5 </w:t>
      </w:r>
      <w:r w:rsidRPr="00B6094C">
        <w:rPr>
          <w:rFonts w:ascii="Times New Roman" w:hAnsi="Times New Roman" w:cs="Times New Roman"/>
          <w:b/>
          <w:sz w:val="24"/>
          <w:szCs w:val="24"/>
        </w:rPr>
        <w:t xml:space="preserve">(Regulation- Governments not only use a number of tools to limit the right to exchange internationally, they may also develop onerous regulations that limit the right to exchange, gain credit, hire or work for whom you wish, or freely operate your business) </w:t>
      </w:r>
      <w:r w:rsidRPr="00B6094C">
        <w:rPr>
          <w:rFonts w:ascii="Times New Roman" w:hAnsi="Times New Roman" w:cs="Times New Roman"/>
          <w:sz w:val="24"/>
          <w:szCs w:val="24"/>
        </w:rPr>
        <w:t xml:space="preserve">envisages </w:t>
      </w:r>
      <w:proofErr w:type="spellStart"/>
      <w:r w:rsidRPr="00B6094C">
        <w:rPr>
          <w:rFonts w:ascii="Times New Roman" w:hAnsi="Times New Roman" w:cs="Times New Roman"/>
          <w:sz w:val="24"/>
          <w:szCs w:val="24"/>
        </w:rPr>
        <w:t>labour</w:t>
      </w:r>
      <w:proofErr w:type="spellEnd"/>
      <w:r w:rsidRPr="00B6094C">
        <w:rPr>
          <w:rFonts w:ascii="Times New Roman" w:hAnsi="Times New Roman" w:cs="Times New Roman"/>
          <w:sz w:val="24"/>
          <w:szCs w:val="24"/>
        </w:rPr>
        <w:t xml:space="preserve"> market regulation index. Georgia in 2016 was 24</w:t>
      </w:r>
      <w:r w:rsidRPr="00B6094C">
        <w:rPr>
          <w:rFonts w:ascii="Times New Roman" w:hAnsi="Times New Roman" w:cs="Times New Roman"/>
          <w:sz w:val="24"/>
          <w:szCs w:val="24"/>
          <w:vertAlign w:val="superscript"/>
        </w:rPr>
        <w:t>th</w:t>
      </w:r>
      <w:r w:rsidRPr="00B6094C">
        <w:rPr>
          <w:rFonts w:ascii="Times New Roman" w:hAnsi="Times New Roman" w:cs="Times New Roman"/>
          <w:sz w:val="24"/>
          <w:szCs w:val="24"/>
        </w:rPr>
        <w:t xml:space="preserve">. </w:t>
      </w:r>
      <w:proofErr w:type="spellStart"/>
      <w:r w:rsidRPr="00B6094C">
        <w:rPr>
          <w:rFonts w:ascii="Times New Roman" w:hAnsi="Times New Roman" w:cs="Times New Roman"/>
          <w:sz w:val="24"/>
          <w:szCs w:val="24"/>
        </w:rPr>
        <w:t>Labour</w:t>
      </w:r>
      <w:proofErr w:type="spellEnd"/>
      <w:r w:rsidRPr="00B6094C">
        <w:rPr>
          <w:rFonts w:ascii="Times New Roman" w:hAnsi="Times New Roman" w:cs="Times New Roman"/>
          <w:sz w:val="24"/>
          <w:szCs w:val="24"/>
        </w:rPr>
        <w:t xml:space="preserve"> market regulation index covers indicators such </w:t>
      </w:r>
      <w:r w:rsidR="00DA0EE4" w:rsidRPr="00B6094C">
        <w:rPr>
          <w:rFonts w:ascii="Times New Roman" w:hAnsi="Times New Roman" w:cs="Times New Roman"/>
          <w:sz w:val="24"/>
          <w:szCs w:val="24"/>
        </w:rPr>
        <w:t>as hiring</w:t>
      </w:r>
      <w:r w:rsidR="00676D04" w:rsidRPr="00B6094C">
        <w:rPr>
          <w:rFonts w:ascii="Times New Roman" w:hAnsi="Times New Roman" w:cs="Times New Roman"/>
          <w:sz w:val="24"/>
          <w:szCs w:val="24"/>
        </w:rPr>
        <w:t xml:space="preserve"> regulations and minimum wage</w:t>
      </w:r>
      <w:r w:rsidR="00DA0EE4" w:rsidRPr="00B6094C">
        <w:rPr>
          <w:rFonts w:ascii="Times New Roman" w:hAnsi="Times New Roman" w:cs="Times New Roman"/>
          <w:sz w:val="24"/>
          <w:szCs w:val="24"/>
        </w:rPr>
        <w:t>, hiring</w:t>
      </w:r>
      <w:r w:rsidR="00676D04" w:rsidRPr="00B6094C">
        <w:rPr>
          <w:rFonts w:ascii="Times New Roman" w:hAnsi="Times New Roman" w:cs="Times New Roman"/>
          <w:sz w:val="24"/>
          <w:szCs w:val="24"/>
        </w:rPr>
        <w:t xml:space="preserve"> and firing regulations, </w:t>
      </w:r>
      <w:r w:rsidR="00DA0EE4" w:rsidRPr="00B6094C">
        <w:rPr>
          <w:rFonts w:ascii="Times New Roman" w:hAnsi="Times New Roman" w:cs="Times New Roman"/>
          <w:sz w:val="24"/>
          <w:szCs w:val="24"/>
        </w:rPr>
        <w:t>c</w:t>
      </w:r>
      <w:r w:rsidR="00676D04" w:rsidRPr="00B6094C">
        <w:rPr>
          <w:rFonts w:ascii="Times New Roman" w:hAnsi="Times New Roman" w:cs="Times New Roman"/>
          <w:sz w:val="24"/>
          <w:szCs w:val="24"/>
        </w:rPr>
        <w:t>ent</w:t>
      </w:r>
      <w:r w:rsidR="00DA0EE4" w:rsidRPr="00B6094C">
        <w:rPr>
          <w:rFonts w:ascii="Times New Roman" w:hAnsi="Times New Roman" w:cs="Times New Roman"/>
          <w:sz w:val="24"/>
          <w:szCs w:val="24"/>
        </w:rPr>
        <w:t xml:space="preserve">ralized collective bargaining, </w:t>
      </w:r>
      <w:proofErr w:type="gramStart"/>
      <w:r w:rsidR="00DA0EE4" w:rsidRPr="00B6094C">
        <w:rPr>
          <w:rFonts w:ascii="Times New Roman" w:hAnsi="Times New Roman" w:cs="Times New Roman"/>
          <w:sz w:val="24"/>
          <w:szCs w:val="24"/>
        </w:rPr>
        <w:t>h</w:t>
      </w:r>
      <w:r w:rsidR="00676D04" w:rsidRPr="00B6094C">
        <w:rPr>
          <w:rFonts w:ascii="Times New Roman" w:hAnsi="Times New Roman" w:cs="Times New Roman"/>
          <w:sz w:val="24"/>
          <w:szCs w:val="24"/>
        </w:rPr>
        <w:t>ours</w:t>
      </w:r>
      <w:proofErr w:type="gramEnd"/>
      <w:r w:rsidR="00676D04" w:rsidRPr="00B6094C">
        <w:rPr>
          <w:rFonts w:ascii="Times New Roman" w:hAnsi="Times New Roman" w:cs="Times New Roman"/>
          <w:sz w:val="24"/>
          <w:szCs w:val="24"/>
        </w:rPr>
        <w:t xml:space="preserve"> regulations, </w:t>
      </w:r>
      <w:r w:rsidR="00DA0EE4" w:rsidRPr="00B6094C">
        <w:rPr>
          <w:rFonts w:ascii="Times New Roman" w:hAnsi="Times New Roman" w:cs="Times New Roman"/>
          <w:sz w:val="24"/>
          <w:szCs w:val="24"/>
        </w:rPr>
        <w:t>m</w:t>
      </w:r>
      <w:r w:rsidR="00676D04" w:rsidRPr="00B6094C">
        <w:rPr>
          <w:rFonts w:ascii="Times New Roman" w:hAnsi="Times New Roman" w:cs="Times New Roman"/>
          <w:sz w:val="24"/>
          <w:szCs w:val="24"/>
        </w:rPr>
        <w:t xml:space="preserve">andated cost of worker dismissal, </w:t>
      </w:r>
      <w:r w:rsidR="00DA0EE4" w:rsidRPr="00B6094C">
        <w:rPr>
          <w:rFonts w:ascii="Times New Roman" w:hAnsi="Times New Roman" w:cs="Times New Roman"/>
          <w:sz w:val="24"/>
          <w:szCs w:val="24"/>
        </w:rPr>
        <w:t>c</w:t>
      </w:r>
      <w:r w:rsidR="00676D04" w:rsidRPr="00B6094C">
        <w:rPr>
          <w:rFonts w:ascii="Times New Roman" w:hAnsi="Times New Roman" w:cs="Times New Roman"/>
          <w:sz w:val="24"/>
          <w:szCs w:val="24"/>
        </w:rPr>
        <w:t>onscription</w:t>
      </w:r>
      <w:r w:rsidR="00DA0EE4" w:rsidRPr="00B6094C">
        <w:rPr>
          <w:rFonts w:ascii="Times New Roman" w:hAnsi="Times New Roman" w:cs="Times New Roman"/>
          <w:sz w:val="24"/>
          <w:szCs w:val="24"/>
        </w:rPr>
        <w:t>.</w:t>
      </w:r>
    </w:p>
    <w:p w:rsidR="00545AF4" w:rsidRPr="00B6094C" w:rsidRDefault="00545AF4" w:rsidP="00DA0EE4">
      <w:pPr>
        <w:jc w:val="center"/>
        <w:rPr>
          <w:rFonts w:ascii="Times New Roman" w:hAnsi="Times New Roman" w:cs="Times New Roman"/>
          <w:sz w:val="24"/>
          <w:szCs w:val="24"/>
          <w:shd w:val="clear" w:color="auto" w:fill="0084FF"/>
        </w:rPr>
      </w:pPr>
    </w:p>
    <w:p w:rsidR="00DA0EE4" w:rsidRPr="00A65AFF" w:rsidRDefault="00DA09AF" w:rsidP="00A65AFF">
      <w:pPr>
        <w:pStyle w:val="ListParagraph"/>
        <w:numPr>
          <w:ilvl w:val="0"/>
          <w:numId w:val="2"/>
        </w:numPr>
        <w:spacing w:after="0" w:line="240" w:lineRule="auto"/>
        <w:jc w:val="center"/>
        <w:textAlignment w:val="baseline"/>
        <w:outlineLvl w:val="3"/>
        <w:rPr>
          <w:rFonts w:ascii="Times New Roman" w:eastAsia="Times New Roman" w:hAnsi="Times New Roman" w:cs="Times New Roman"/>
          <w:b/>
          <w:bCs/>
          <w:sz w:val="24"/>
          <w:szCs w:val="24"/>
        </w:rPr>
      </w:pPr>
      <w:hyperlink r:id="rId8" w:history="1">
        <w:r w:rsidR="00FA2BE2" w:rsidRPr="00A65AFF">
          <w:rPr>
            <w:rFonts w:ascii="Times New Roman" w:eastAsia="Times New Roman" w:hAnsi="Times New Roman" w:cs="Times New Roman"/>
            <w:b/>
            <w:bCs/>
            <w:sz w:val="24"/>
            <w:szCs w:val="24"/>
            <w:u w:val="single"/>
            <w:bdr w:val="none" w:sz="0" w:space="0" w:color="auto" w:frame="1"/>
          </w:rPr>
          <w:t>Freedom in the World 2018</w:t>
        </w:r>
      </w:hyperlink>
      <w:r w:rsidR="00DA0EE4" w:rsidRPr="00A65AFF">
        <w:rPr>
          <w:rFonts w:ascii="Times New Roman" w:eastAsia="Times New Roman" w:hAnsi="Times New Roman" w:cs="Times New Roman"/>
          <w:b/>
          <w:bCs/>
          <w:sz w:val="24"/>
          <w:szCs w:val="24"/>
        </w:rPr>
        <w:t xml:space="preserve"> –</w:t>
      </w:r>
    </w:p>
    <w:p w:rsidR="00FA2BE2" w:rsidRPr="00FA2BE2" w:rsidRDefault="00DA09AF" w:rsidP="00AD0F56">
      <w:pPr>
        <w:spacing w:after="0" w:line="240" w:lineRule="auto"/>
        <w:jc w:val="center"/>
        <w:textAlignment w:val="baseline"/>
        <w:outlineLvl w:val="3"/>
        <w:rPr>
          <w:rFonts w:ascii="Times New Roman" w:eastAsia="Times New Roman" w:hAnsi="Times New Roman" w:cs="Times New Roman"/>
          <w:bCs/>
          <w:sz w:val="24"/>
          <w:szCs w:val="24"/>
        </w:rPr>
      </w:pPr>
      <w:hyperlink r:id="rId9" w:history="1">
        <w:r w:rsidR="00DA0EE4" w:rsidRPr="00347037">
          <w:rPr>
            <w:rStyle w:val="Hyperlink"/>
            <w:rFonts w:ascii="Times New Roman" w:eastAsia="Times New Roman" w:hAnsi="Times New Roman" w:cs="Times New Roman"/>
            <w:bCs/>
            <w:sz w:val="24"/>
            <w:szCs w:val="24"/>
          </w:rPr>
          <w:t>https://freedomhouse.org/report/freedom-world/2018/georgia</w:t>
        </w:r>
      </w:hyperlink>
    </w:p>
    <w:p w:rsidR="00FA2BE2" w:rsidRPr="00B6094C" w:rsidRDefault="00FA2BE2" w:rsidP="00AD0F56">
      <w:pPr>
        <w:jc w:val="both"/>
        <w:rPr>
          <w:rFonts w:ascii="Times New Roman" w:eastAsia="Times New Roman" w:hAnsi="Times New Roman" w:cs="Times New Roman"/>
          <w:sz w:val="24"/>
          <w:szCs w:val="24"/>
        </w:rPr>
      </w:pPr>
    </w:p>
    <w:p w:rsidR="00AD0F56" w:rsidRPr="00B6094C" w:rsidRDefault="00AD0F56" w:rsidP="00AD0F56">
      <w:pPr>
        <w:jc w:val="both"/>
        <w:rPr>
          <w:rFonts w:ascii="Times New Roman" w:eastAsia="Times New Roman" w:hAnsi="Times New Roman" w:cs="Times New Roman"/>
          <w:sz w:val="24"/>
          <w:szCs w:val="24"/>
        </w:rPr>
      </w:pPr>
      <w:r w:rsidRPr="00B6094C">
        <w:rPr>
          <w:rFonts w:ascii="Times New Roman" w:eastAsia="Times New Roman" w:hAnsi="Times New Roman" w:cs="Times New Roman"/>
          <w:sz w:val="24"/>
          <w:szCs w:val="24"/>
        </w:rPr>
        <w:t xml:space="preserve">based on Freedom House rankings Georgia’s freedom status is </w:t>
      </w:r>
      <w:r w:rsidRPr="00A65AFF">
        <w:rPr>
          <w:rFonts w:ascii="Times New Roman" w:eastAsia="Times New Roman" w:hAnsi="Times New Roman" w:cs="Times New Roman"/>
          <w:b/>
          <w:sz w:val="24"/>
          <w:szCs w:val="24"/>
        </w:rPr>
        <w:t>partly free</w:t>
      </w:r>
      <w:r w:rsidRPr="00B6094C">
        <w:rPr>
          <w:rFonts w:ascii="Times New Roman" w:eastAsia="Times New Roman" w:hAnsi="Times New Roman" w:cs="Times New Roman"/>
          <w:sz w:val="24"/>
          <w:szCs w:val="24"/>
        </w:rPr>
        <w:t xml:space="preserve"> scoring 64 out of 100 ( </w:t>
      </w:r>
      <w:r w:rsidRPr="00B6094C">
        <w:rPr>
          <w:rFonts w:ascii="Times New Roman" w:hAnsi="Times New Roman" w:cs="Times New Roman"/>
          <w:color w:val="000000"/>
          <w:sz w:val="24"/>
          <w:szCs w:val="24"/>
        </w:rPr>
        <w:t>(0=Least</w:t>
      </w:r>
      <w:r w:rsidRPr="00B6094C">
        <w:rPr>
          <w:rFonts w:ascii="Times New Roman" w:hAnsi="Times New Roman" w:cs="Times New Roman"/>
          <w:color w:val="000000"/>
          <w:sz w:val="24"/>
          <w:szCs w:val="24"/>
          <w:shd w:val="clear" w:color="auto" w:fill="F4F4F4"/>
        </w:rPr>
        <w:t xml:space="preserve"> </w:t>
      </w:r>
      <w:r w:rsidRPr="00B6094C">
        <w:rPr>
          <w:rFonts w:ascii="Times New Roman" w:hAnsi="Times New Roman" w:cs="Times New Roman"/>
          <w:color w:val="000000"/>
          <w:sz w:val="24"/>
          <w:szCs w:val="24"/>
        </w:rPr>
        <w:t>Free, 100=Most Free</w:t>
      </w:r>
      <w:r w:rsidRPr="00B6094C">
        <w:rPr>
          <w:rFonts w:ascii="Times New Roman" w:hAnsi="Times New Roman" w:cs="Times New Roman"/>
          <w:color w:val="000000"/>
          <w:sz w:val="24"/>
          <w:szCs w:val="24"/>
          <w:shd w:val="clear" w:color="auto" w:fill="F4F4F4"/>
        </w:rPr>
        <w:t>)</w:t>
      </w:r>
    </w:p>
    <w:p w:rsidR="00FA2BE2" w:rsidRPr="00B6094C" w:rsidRDefault="00F516FC" w:rsidP="00AD0F56">
      <w:pPr>
        <w:jc w:val="both"/>
        <w:rPr>
          <w:rFonts w:ascii="Times New Roman" w:eastAsia="Times New Roman" w:hAnsi="Times New Roman" w:cs="Times New Roman"/>
          <w:sz w:val="24"/>
          <w:szCs w:val="24"/>
        </w:rPr>
      </w:pPr>
      <w:r w:rsidRPr="00B6094C">
        <w:rPr>
          <w:rFonts w:ascii="Times New Roman" w:eastAsia="Times New Roman" w:hAnsi="Times New Roman" w:cs="Times New Roman"/>
          <w:sz w:val="24"/>
          <w:szCs w:val="24"/>
        </w:rPr>
        <w:t xml:space="preserve">The index envisages </w:t>
      </w:r>
      <w:r w:rsidR="00AD0F56" w:rsidRPr="00B6094C">
        <w:rPr>
          <w:rFonts w:ascii="Times New Roman" w:eastAsia="Times New Roman" w:hAnsi="Times New Roman" w:cs="Times New Roman"/>
          <w:sz w:val="24"/>
          <w:szCs w:val="24"/>
        </w:rPr>
        <w:t>indicators such as political rights and civil liberties, Georgia scoring 3 in each direction (</w:t>
      </w:r>
      <w:r w:rsidRPr="00B6094C">
        <w:rPr>
          <w:rFonts w:ascii="Times New Roman" w:hAnsi="Times New Roman" w:cs="Times New Roman"/>
          <w:sz w:val="24"/>
          <w:szCs w:val="24"/>
        </w:rPr>
        <w:t>1=Most Free, 7=Least Free</w:t>
      </w:r>
      <w:r w:rsidR="004B65E0" w:rsidRPr="00B6094C">
        <w:rPr>
          <w:rFonts w:ascii="Times New Roman" w:hAnsi="Times New Roman" w:cs="Times New Roman"/>
          <w:sz w:val="24"/>
          <w:szCs w:val="24"/>
          <w:shd w:val="clear" w:color="auto" w:fill="F4F4F4"/>
        </w:rPr>
        <w:t>)</w:t>
      </w:r>
    </w:p>
    <w:p w:rsidR="0054220F" w:rsidRPr="00B6094C" w:rsidRDefault="004B65E0" w:rsidP="00AD0F56">
      <w:pPr>
        <w:pStyle w:val="Heading3"/>
        <w:spacing w:before="0" w:after="225"/>
        <w:jc w:val="both"/>
        <w:textAlignment w:val="baseline"/>
        <w:rPr>
          <w:rFonts w:ascii="Times New Roman" w:hAnsi="Times New Roman" w:cs="Times New Roman"/>
          <w:b/>
          <w:color w:val="auto"/>
          <w:shd w:val="clear" w:color="auto" w:fill="F4F4F4"/>
        </w:rPr>
      </w:pPr>
      <w:r w:rsidRPr="00B6094C">
        <w:rPr>
          <w:rFonts w:ascii="Times New Roman" w:hAnsi="Times New Roman" w:cs="Times New Roman"/>
          <w:color w:val="auto"/>
        </w:rPr>
        <w:t>Civil</w:t>
      </w:r>
      <w:r w:rsidRPr="00B6094C">
        <w:rPr>
          <w:rFonts w:ascii="Times New Roman" w:hAnsi="Times New Roman" w:cs="Times New Roman"/>
          <w:color w:val="auto"/>
          <w:shd w:val="clear" w:color="auto" w:fill="F4F4F4"/>
        </w:rPr>
        <w:t xml:space="preserve"> </w:t>
      </w:r>
      <w:r w:rsidR="00AD0F56" w:rsidRPr="00B6094C">
        <w:rPr>
          <w:rFonts w:ascii="Times New Roman" w:hAnsi="Times New Roman" w:cs="Times New Roman"/>
          <w:color w:val="auto"/>
        </w:rPr>
        <w:t xml:space="preserve">liberties envisage </w:t>
      </w:r>
      <w:r w:rsidR="00AD0F56" w:rsidRPr="00B6094C">
        <w:rPr>
          <w:rFonts w:ascii="Times New Roman" w:hAnsi="Times New Roman" w:cs="Times New Roman"/>
          <w:bCs/>
          <w:color w:val="auto"/>
        </w:rPr>
        <w:t xml:space="preserve">associational and organizational rights (scoring </w:t>
      </w:r>
      <w:r w:rsidRPr="00B6094C">
        <w:rPr>
          <w:rFonts w:ascii="Times New Roman" w:hAnsi="Times New Roman" w:cs="Times New Roman"/>
          <w:bCs/>
          <w:color w:val="auto"/>
        </w:rPr>
        <w:t>8 / 12</w:t>
      </w:r>
      <w:r w:rsidR="00AD0F56" w:rsidRPr="00B6094C">
        <w:rPr>
          <w:rFonts w:ascii="Times New Roman" w:hAnsi="Times New Roman" w:cs="Times New Roman"/>
          <w:bCs/>
          <w:color w:val="auto"/>
        </w:rPr>
        <w:t>)</w:t>
      </w:r>
      <w:r w:rsidR="00AD0F56" w:rsidRPr="00B6094C">
        <w:rPr>
          <w:rFonts w:ascii="Times New Roman" w:hAnsi="Times New Roman" w:cs="Times New Roman"/>
          <w:b/>
          <w:bCs/>
          <w:color w:val="auto"/>
        </w:rPr>
        <w:t xml:space="preserve"> </w:t>
      </w:r>
      <w:r w:rsidR="00AD0F56" w:rsidRPr="00B6094C">
        <w:rPr>
          <w:rFonts w:ascii="Times New Roman" w:hAnsi="Times New Roman" w:cs="Times New Roman"/>
          <w:bCs/>
          <w:color w:val="auto"/>
        </w:rPr>
        <w:t>where</w:t>
      </w:r>
      <w:r w:rsidR="00AD0F56" w:rsidRPr="00B6094C">
        <w:rPr>
          <w:rFonts w:ascii="Times New Roman" w:hAnsi="Times New Roman" w:cs="Times New Roman"/>
          <w:b/>
          <w:bCs/>
          <w:color w:val="auto"/>
        </w:rPr>
        <w:t xml:space="preserve"> </w:t>
      </w:r>
      <w:r w:rsidR="00AD0F56" w:rsidRPr="00B6094C">
        <w:rPr>
          <w:rStyle w:val="Strong"/>
          <w:rFonts w:ascii="Times New Roman" w:hAnsi="Times New Roman" w:cs="Times New Roman"/>
          <w:b w:val="0"/>
          <w:color w:val="000000"/>
          <w:bdr w:val="none" w:sz="0" w:space="0" w:color="auto" w:frame="1"/>
        </w:rPr>
        <w:t xml:space="preserve">freedom for trade unions and similar professional or labor organizations is being taken into consideration. </w:t>
      </w:r>
    </w:p>
    <w:p w:rsidR="0054220F" w:rsidRPr="00B6094C" w:rsidRDefault="00AD0F56" w:rsidP="00AD0F56">
      <w:pPr>
        <w:jc w:val="both"/>
        <w:rPr>
          <w:rFonts w:ascii="Times New Roman" w:hAnsi="Times New Roman" w:cs="Times New Roman"/>
          <w:sz w:val="24"/>
          <w:szCs w:val="24"/>
        </w:rPr>
      </w:pPr>
      <w:r w:rsidRPr="00B6094C">
        <w:rPr>
          <w:rFonts w:ascii="Times New Roman" w:hAnsi="Times New Roman" w:cs="Times New Roman"/>
          <w:color w:val="000000"/>
          <w:sz w:val="24"/>
          <w:szCs w:val="24"/>
        </w:rPr>
        <w:t>Note: The numerical rankings and subsequent report do not include South Ossetia or Abkhazia, which are considered in separate reports. </w:t>
      </w:r>
    </w:p>
    <w:p w:rsidR="0054220F" w:rsidRPr="00B6094C" w:rsidRDefault="0054220F" w:rsidP="00AD0F56">
      <w:pPr>
        <w:jc w:val="both"/>
        <w:rPr>
          <w:rFonts w:ascii="Times New Roman" w:hAnsi="Times New Roman" w:cs="Times New Roman"/>
          <w:sz w:val="24"/>
          <w:szCs w:val="24"/>
        </w:rPr>
      </w:pPr>
    </w:p>
    <w:p w:rsidR="0054220F" w:rsidRPr="00B6094C" w:rsidRDefault="0054220F" w:rsidP="00FA2BE2">
      <w:pPr>
        <w:rPr>
          <w:rFonts w:ascii="Times New Roman" w:hAnsi="Times New Roman" w:cs="Times New Roman"/>
          <w:sz w:val="24"/>
          <w:szCs w:val="24"/>
        </w:rPr>
      </w:pPr>
    </w:p>
    <w:p w:rsidR="0054220F" w:rsidRPr="00B6094C" w:rsidRDefault="0054220F" w:rsidP="00FA2BE2">
      <w:pPr>
        <w:rPr>
          <w:rFonts w:ascii="Times New Roman" w:hAnsi="Times New Roman" w:cs="Times New Roman"/>
          <w:sz w:val="24"/>
          <w:szCs w:val="24"/>
        </w:rPr>
      </w:pPr>
    </w:p>
    <w:p w:rsidR="0054220F" w:rsidRPr="00B6094C" w:rsidRDefault="0054220F" w:rsidP="00FA2BE2">
      <w:pPr>
        <w:rPr>
          <w:rFonts w:ascii="Times New Roman" w:hAnsi="Times New Roman" w:cs="Times New Roman"/>
          <w:sz w:val="24"/>
          <w:szCs w:val="24"/>
        </w:rPr>
      </w:pPr>
    </w:p>
    <w:p w:rsidR="0054220F" w:rsidRPr="00A65AFF" w:rsidRDefault="00DA09AF" w:rsidP="00A65AFF">
      <w:pPr>
        <w:pStyle w:val="ListParagraph"/>
        <w:numPr>
          <w:ilvl w:val="0"/>
          <w:numId w:val="2"/>
        </w:numPr>
        <w:jc w:val="center"/>
        <w:rPr>
          <w:rFonts w:ascii="Times New Roman" w:hAnsi="Times New Roman" w:cs="Times New Roman"/>
          <w:b/>
          <w:sz w:val="24"/>
          <w:szCs w:val="24"/>
        </w:rPr>
      </w:pPr>
      <w:hyperlink r:id="rId10" w:anchor="indexId=GCI" w:history="1">
        <w:r w:rsidR="0054220F" w:rsidRPr="00A65AFF">
          <w:rPr>
            <w:rStyle w:val="Hyperlink"/>
            <w:rFonts w:ascii="Times New Roman" w:hAnsi="Times New Roman" w:cs="Times New Roman"/>
            <w:b/>
            <w:color w:val="auto"/>
            <w:sz w:val="24"/>
            <w:szCs w:val="24"/>
          </w:rPr>
          <w:t>Global Competitiveness Index 1-7 (best)</w:t>
        </w:r>
      </w:hyperlink>
    </w:p>
    <w:p w:rsidR="00DA0EE4" w:rsidRPr="00B6094C" w:rsidRDefault="00DA09AF" w:rsidP="00AD0F56">
      <w:pPr>
        <w:jc w:val="center"/>
        <w:rPr>
          <w:rFonts w:ascii="Times New Roman" w:hAnsi="Times New Roman" w:cs="Times New Roman"/>
          <w:sz w:val="24"/>
          <w:szCs w:val="24"/>
        </w:rPr>
      </w:pPr>
      <w:hyperlink r:id="rId11" w:anchor="indexId=GCI&amp;economy=GEO" w:history="1">
        <w:r w:rsidR="00DA0EE4" w:rsidRPr="00B6094C">
          <w:rPr>
            <w:rStyle w:val="Hyperlink"/>
            <w:rFonts w:ascii="Times New Roman" w:hAnsi="Times New Roman" w:cs="Times New Roman"/>
            <w:sz w:val="24"/>
            <w:szCs w:val="24"/>
          </w:rPr>
          <w:t>http://reports.weforum.org/global-competitiveness-report-2015-2016/economies/#indexId=GCI&amp;economy=GEO</w:t>
        </w:r>
      </w:hyperlink>
    </w:p>
    <w:p w:rsidR="00DA0EE4" w:rsidRPr="00B6094C" w:rsidRDefault="00DA0EE4" w:rsidP="00FA2BE2">
      <w:pPr>
        <w:rPr>
          <w:rFonts w:ascii="Times New Roman" w:hAnsi="Times New Roman" w:cs="Times New Roman"/>
          <w:sz w:val="24"/>
          <w:szCs w:val="24"/>
        </w:rPr>
      </w:pPr>
    </w:p>
    <w:p w:rsidR="000D3A62" w:rsidRPr="00B6094C" w:rsidRDefault="00CF3946" w:rsidP="00CF3946">
      <w:pPr>
        <w:jc w:val="both"/>
        <w:rPr>
          <w:rStyle w:val="Emphasis"/>
          <w:rFonts w:ascii="Times New Roman" w:hAnsi="Times New Roman" w:cs="Times New Roman"/>
          <w:b/>
          <w:i w:val="0"/>
          <w:iCs w:val="0"/>
          <w:sz w:val="24"/>
          <w:szCs w:val="24"/>
        </w:rPr>
      </w:pPr>
      <w:r w:rsidRPr="00B6094C">
        <w:rPr>
          <w:rStyle w:val="Emphasis"/>
          <w:rFonts w:ascii="Times New Roman" w:hAnsi="Times New Roman" w:cs="Times New Roman"/>
          <w:b/>
          <w:i w:val="0"/>
          <w:iCs w:val="0"/>
          <w:sz w:val="24"/>
          <w:szCs w:val="24"/>
        </w:rPr>
        <w:t xml:space="preserve">Georgia is </w:t>
      </w:r>
      <w:r w:rsidR="0054220F" w:rsidRPr="00B6094C">
        <w:rPr>
          <w:rStyle w:val="Emphasis"/>
          <w:rFonts w:ascii="Times New Roman" w:hAnsi="Times New Roman" w:cs="Times New Roman"/>
          <w:b/>
          <w:i w:val="0"/>
          <w:iCs w:val="0"/>
          <w:sz w:val="24"/>
          <w:szCs w:val="24"/>
        </w:rPr>
        <w:t>66</w:t>
      </w:r>
      <w:r w:rsidRPr="00B6094C">
        <w:rPr>
          <w:rStyle w:val="Emphasis"/>
          <w:rFonts w:ascii="Times New Roman" w:hAnsi="Times New Roman" w:cs="Times New Roman"/>
          <w:b/>
          <w:i w:val="0"/>
          <w:iCs w:val="0"/>
          <w:sz w:val="24"/>
          <w:szCs w:val="24"/>
          <w:vertAlign w:val="superscript"/>
        </w:rPr>
        <w:t>th</w:t>
      </w:r>
      <w:r w:rsidRPr="00B6094C">
        <w:rPr>
          <w:rStyle w:val="Emphasis"/>
          <w:rFonts w:ascii="Times New Roman" w:hAnsi="Times New Roman" w:cs="Times New Roman"/>
          <w:b/>
          <w:i w:val="0"/>
          <w:iCs w:val="0"/>
          <w:sz w:val="24"/>
          <w:szCs w:val="24"/>
        </w:rPr>
        <w:t xml:space="preserve"> </w:t>
      </w:r>
      <w:r w:rsidR="0054220F" w:rsidRPr="00B6094C">
        <w:rPr>
          <w:rStyle w:val="Emphasis"/>
          <w:rFonts w:ascii="Times New Roman" w:hAnsi="Times New Roman" w:cs="Times New Roman"/>
          <w:b/>
          <w:i w:val="0"/>
          <w:iCs w:val="0"/>
          <w:sz w:val="24"/>
          <w:szCs w:val="24"/>
        </w:rPr>
        <w:t>out of 140</w:t>
      </w:r>
      <w:r w:rsidRPr="00B6094C">
        <w:rPr>
          <w:rStyle w:val="Emphasis"/>
          <w:rFonts w:ascii="Times New Roman" w:hAnsi="Times New Roman" w:cs="Times New Roman"/>
          <w:b/>
          <w:i w:val="0"/>
          <w:iCs w:val="0"/>
          <w:sz w:val="24"/>
          <w:szCs w:val="24"/>
        </w:rPr>
        <w:t xml:space="preserve"> countries scoring 4.2.</w:t>
      </w:r>
    </w:p>
    <w:p w:rsidR="0054220F" w:rsidRPr="00B6094C" w:rsidRDefault="000D3A62" w:rsidP="00CF3946">
      <w:pPr>
        <w:jc w:val="both"/>
        <w:rPr>
          <w:rFonts w:ascii="Times New Roman" w:hAnsi="Times New Roman" w:cs="Times New Roman"/>
          <w:sz w:val="24"/>
          <w:szCs w:val="24"/>
          <w:shd w:val="clear" w:color="auto" w:fill="FFFFFF"/>
        </w:rPr>
      </w:pPr>
      <w:r w:rsidRPr="00B6094C">
        <w:rPr>
          <w:rStyle w:val="Emphasis"/>
          <w:rFonts w:ascii="Times New Roman" w:hAnsi="Times New Roman" w:cs="Times New Roman"/>
          <w:i w:val="0"/>
          <w:iCs w:val="0"/>
          <w:sz w:val="24"/>
          <w:szCs w:val="24"/>
        </w:rPr>
        <w:t>T</w:t>
      </w:r>
      <w:r w:rsidR="00CF3946" w:rsidRPr="00B6094C">
        <w:rPr>
          <w:rStyle w:val="Emphasis"/>
          <w:rFonts w:ascii="Times New Roman" w:hAnsi="Times New Roman" w:cs="Times New Roman"/>
          <w:i w:val="0"/>
          <w:iCs w:val="0"/>
          <w:sz w:val="24"/>
          <w:szCs w:val="24"/>
        </w:rPr>
        <w:t xml:space="preserve">he Global Competitiveness Index is having sub-indexes and </w:t>
      </w:r>
      <w:r w:rsidRPr="00B6094C">
        <w:rPr>
          <w:rStyle w:val="Emphasis"/>
          <w:rFonts w:ascii="Times New Roman" w:hAnsi="Times New Roman" w:cs="Times New Roman"/>
          <w:i w:val="0"/>
          <w:iCs w:val="0"/>
          <w:sz w:val="24"/>
          <w:szCs w:val="24"/>
        </w:rPr>
        <w:t>seven</w:t>
      </w:r>
      <w:r w:rsidR="00CF3946" w:rsidRPr="00B6094C">
        <w:rPr>
          <w:rStyle w:val="Emphasis"/>
          <w:rFonts w:ascii="Times New Roman" w:hAnsi="Times New Roman" w:cs="Times New Roman"/>
          <w:i w:val="0"/>
          <w:iCs w:val="0"/>
          <w:sz w:val="24"/>
          <w:szCs w:val="24"/>
        </w:rPr>
        <w:t xml:space="preserve"> pillars.   </w:t>
      </w:r>
      <w:r w:rsidRPr="00B6094C">
        <w:rPr>
          <w:rStyle w:val="Emphasis"/>
          <w:rFonts w:ascii="Times New Roman" w:hAnsi="Times New Roman" w:cs="Times New Roman"/>
          <w:i w:val="0"/>
          <w:iCs w:val="0"/>
          <w:sz w:val="24"/>
          <w:szCs w:val="24"/>
        </w:rPr>
        <w:t>Seventh</w:t>
      </w:r>
      <w:r w:rsidR="0054220F" w:rsidRPr="00B6094C">
        <w:rPr>
          <w:rStyle w:val="Emphasis"/>
          <w:rFonts w:ascii="Times New Roman" w:hAnsi="Times New Roman" w:cs="Times New Roman"/>
          <w:i w:val="0"/>
          <w:iCs w:val="0"/>
          <w:sz w:val="24"/>
          <w:szCs w:val="24"/>
        </w:rPr>
        <w:t xml:space="preserve"> pillar </w:t>
      </w:r>
      <w:r w:rsidR="00CF3946" w:rsidRPr="00B6094C">
        <w:rPr>
          <w:rStyle w:val="Emphasis"/>
          <w:rFonts w:ascii="Times New Roman" w:hAnsi="Times New Roman" w:cs="Times New Roman"/>
          <w:i w:val="0"/>
          <w:iCs w:val="0"/>
          <w:sz w:val="24"/>
          <w:szCs w:val="24"/>
        </w:rPr>
        <w:t>is</w:t>
      </w:r>
      <w:r w:rsidR="0054220F" w:rsidRPr="00B6094C">
        <w:rPr>
          <w:rStyle w:val="Emphasis"/>
          <w:rFonts w:ascii="Times New Roman" w:hAnsi="Times New Roman" w:cs="Times New Roman"/>
          <w:i w:val="0"/>
          <w:iCs w:val="0"/>
          <w:sz w:val="24"/>
          <w:szCs w:val="24"/>
        </w:rPr>
        <w:t xml:space="preserve"> </w:t>
      </w:r>
      <w:proofErr w:type="spellStart"/>
      <w:r w:rsidR="00CF3946" w:rsidRPr="00B6094C">
        <w:rPr>
          <w:rStyle w:val="Emphasis"/>
          <w:rFonts w:ascii="Times New Roman" w:hAnsi="Times New Roman" w:cs="Times New Roman"/>
          <w:i w:val="0"/>
          <w:iCs w:val="0"/>
          <w:sz w:val="24"/>
          <w:szCs w:val="24"/>
        </w:rPr>
        <w:t>labour</w:t>
      </w:r>
      <w:proofErr w:type="spellEnd"/>
      <w:r w:rsidR="0054220F" w:rsidRPr="00B6094C">
        <w:rPr>
          <w:rStyle w:val="Emphasis"/>
          <w:rFonts w:ascii="Times New Roman" w:hAnsi="Times New Roman" w:cs="Times New Roman"/>
          <w:i w:val="0"/>
          <w:iCs w:val="0"/>
          <w:sz w:val="24"/>
          <w:szCs w:val="24"/>
        </w:rPr>
        <w:t xml:space="preserve"> market efficiency</w:t>
      </w:r>
      <w:r w:rsidR="00CF3946" w:rsidRPr="00B6094C">
        <w:rPr>
          <w:rStyle w:val="Emphasis"/>
          <w:rFonts w:ascii="Times New Roman" w:hAnsi="Times New Roman" w:cs="Times New Roman"/>
          <w:i w:val="0"/>
          <w:iCs w:val="0"/>
          <w:sz w:val="24"/>
          <w:szCs w:val="24"/>
        </w:rPr>
        <w:t xml:space="preserve"> where Georgia is </w:t>
      </w:r>
      <w:r w:rsidR="00CF3946" w:rsidRPr="00B6094C">
        <w:rPr>
          <w:rFonts w:ascii="Times New Roman" w:hAnsi="Times New Roman" w:cs="Times New Roman"/>
          <w:sz w:val="24"/>
          <w:szCs w:val="24"/>
          <w:shd w:val="clear" w:color="auto" w:fill="FFFFFF"/>
        </w:rPr>
        <w:t>32</w:t>
      </w:r>
      <w:r w:rsidR="00CF3946" w:rsidRPr="00B6094C">
        <w:rPr>
          <w:rFonts w:ascii="Times New Roman" w:hAnsi="Times New Roman" w:cs="Times New Roman"/>
          <w:sz w:val="24"/>
          <w:szCs w:val="24"/>
          <w:shd w:val="clear" w:color="auto" w:fill="FFFFFF"/>
          <w:vertAlign w:val="superscript"/>
        </w:rPr>
        <w:t xml:space="preserve">th </w:t>
      </w:r>
      <w:r w:rsidR="00CF3946" w:rsidRPr="00B6094C">
        <w:rPr>
          <w:rFonts w:ascii="Times New Roman" w:hAnsi="Times New Roman" w:cs="Times New Roman"/>
          <w:sz w:val="24"/>
          <w:szCs w:val="24"/>
          <w:shd w:val="clear" w:color="auto" w:fill="FFFFFF"/>
        </w:rPr>
        <w:t>out</w:t>
      </w:r>
      <w:r w:rsidR="0054220F" w:rsidRPr="00B6094C">
        <w:rPr>
          <w:rFonts w:ascii="Times New Roman" w:hAnsi="Times New Roman" w:cs="Times New Roman"/>
          <w:sz w:val="24"/>
          <w:szCs w:val="24"/>
          <w:shd w:val="clear" w:color="auto" w:fill="FFFFFF"/>
        </w:rPr>
        <w:t xml:space="preserve"> of 140 </w:t>
      </w:r>
      <w:r w:rsidR="00CF3946" w:rsidRPr="00B6094C">
        <w:rPr>
          <w:rFonts w:ascii="Times New Roman" w:hAnsi="Times New Roman" w:cs="Times New Roman"/>
          <w:sz w:val="24"/>
          <w:szCs w:val="24"/>
          <w:shd w:val="clear" w:color="auto" w:fill="FFFFFF"/>
        </w:rPr>
        <w:t xml:space="preserve">scoring 4.6. </w:t>
      </w:r>
    </w:p>
    <w:p w:rsidR="0054220F" w:rsidRPr="00B6094C" w:rsidRDefault="0054220F" w:rsidP="00CF3946">
      <w:pPr>
        <w:jc w:val="both"/>
        <w:rPr>
          <w:rFonts w:ascii="Times New Roman" w:hAnsi="Times New Roman" w:cs="Times New Roman"/>
          <w:sz w:val="24"/>
          <w:szCs w:val="24"/>
          <w:shd w:val="clear" w:color="auto" w:fill="FFFFFF"/>
        </w:rPr>
      </w:pPr>
      <w:proofErr w:type="spellStart"/>
      <w:r w:rsidRPr="00B6094C">
        <w:rPr>
          <w:rFonts w:ascii="Times New Roman" w:hAnsi="Times New Roman" w:cs="Times New Roman"/>
          <w:sz w:val="24"/>
          <w:szCs w:val="24"/>
          <w:shd w:val="clear" w:color="auto" w:fill="FFFFFF"/>
        </w:rPr>
        <w:t>Labour</w:t>
      </w:r>
      <w:proofErr w:type="spellEnd"/>
      <w:r w:rsidRPr="00B6094C">
        <w:rPr>
          <w:rFonts w:ascii="Times New Roman" w:hAnsi="Times New Roman" w:cs="Times New Roman"/>
          <w:sz w:val="24"/>
          <w:szCs w:val="24"/>
          <w:shd w:val="clear" w:color="auto" w:fill="FFFFFF"/>
        </w:rPr>
        <w:t xml:space="preserve"> market efficiency </w:t>
      </w:r>
      <w:r w:rsidR="00CF3946" w:rsidRPr="00B6094C">
        <w:rPr>
          <w:rFonts w:ascii="Times New Roman" w:hAnsi="Times New Roman" w:cs="Times New Roman"/>
          <w:sz w:val="24"/>
          <w:szCs w:val="24"/>
          <w:shd w:val="clear" w:color="auto" w:fill="FFFFFF"/>
        </w:rPr>
        <w:t>includes flexibility – Georgia 10</w:t>
      </w:r>
      <w:r w:rsidR="00CF3946" w:rsidRPr="00B6094C">
        <w:rPr>
          <w:rFonts w:ascii="Times New Roman" w:hAnsi="Times New Roman" w:cs="Times New Roman"/>
          <w:sz w:val="24"/>
          <w:szCs w:val="24"/>
          <w:shd w:val="clear" w:color="auto" w:fill="FFFFFF"/>
          <w:vertAlign w:val="superscript"/>
        </w:rPr>
        <w:t>th</w:t>
      </w:r>
      <w:r w:rsidR="00CF3946" w:rsidRPr="00B6094C">
        <w:rPr>
          <w:rFonts w:ascii="Times New Roman" w:hAnsi="Times New Roman" w:cs="Times New Roman"/>
          <w:sz w:val="24"/>
          <w:szCs w:val="24"/>
          <w:shd w:val="clear" w:color="auto" w:fill="FFFFFF"/>
        </w:rPr>
        <w:t xml:space="preserve"> scoring 5.4 and efficient use of talent – Georgia 83</w:t>
      </w:r>
      <w:r w:rsidR="00CF3946" w:rsidRPr="00B6094C">
        <w:rPr>
          <w:rFonts w:ascii="Times New Roman" w:hAnsi="Times New Roman" w:cs="Times New Roman"/>
          <w:sz w:val="24"/>
          <w:szCs w:val="24"/>
          <w:shd w:val="clear" w:color="auto" w:fill="FFFFFF"/>
          <w:vertAlign w:val="superscript"/>
        </w:rPr>
        <w:t>th</w:t>
      </w:r>
      <w:r w:rsidR="00CF3946" w:rsidRPr="00B6094C">
        <w:rPr>
          <w:rFonts w:ascii="Times New Roman" w:hAnsi="Times New Roman" w:cs="Times New Roman"/>
          <w:sz w:val="24"/>
          <w:szCs w:val="24"/>
          <w:shd w:val="clear" w:color="auto" w:fill="FFFFFF"/>
        </w:rPr>
        <w:t xml:space="preserve"> scoring 3.8 </w:t>
      </w:r>
    </w:p>
    <w:p w:rsidR="00CF3946" w:rsidRPr="00B6094C" w:rsidRDefault="00CF3946" w:rsidP="00FA2BE2">
      <w:pPr>
        <w:rPr>
          <w:rFonts w:ascii="Times New Roman" w:hAnsi="Times New Roman" w:cs="Times New Roman"/>
        </w:rPr>
      </w:pPr>
    </w:p>
    <w:tbl>
      <w:tblPr>
        <w:tblW w:w="9173"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316"/>
        <w:gridCol w:w="655"/>
        <w:gridCol w:w="752"/>
        <w:gridCol w:w="633"/>
        <w:gridCol w:w="1267"/>
        <w:gridCol w:w="164"/>
      </w:tblGrid>
      <w:tr w:rsidR="00CF3946" w:rsidRPr="00CF3946" w:rsidTr="00CF3946">
        <w:trPr>
          <w:gridAfter w:val="6"/>
          <w:wAfter w:w="3787" w:type="dxa"/>
          <w:trHeight w:val="140"/>
        </w:trPr>
        <w:tc>
          <w:tcPr>
            <w:tcW w:w="0" w:type="auto"/>
            <w:shd w:val="clear" w:color="auto" w:fill="FFFFFF"/>
            <w:vAlign w:val="center"/>
            <w:hideMark/>
          </w:tcPr>
          <w:p w:rsidR="00CF3946" w:rsidRPr="00CF3946" w:rsidRDefault="00CF3946" w:rsidP="00CF3946">
            <w:pPr>
              <w:spacing w:after="0" w:line="240" w:lineRule="auto"/>
              <w:rPr>
                <w:rFonts w:ascii="Times New Roman" w:eastAsia="Times New Roman" w:hAnsi="Times New Roman" w:cs="Times New Roman"/>
                <w:sz w:val="24"/>
                <w:szCs w:val="24"/>
              </w:rPr>
            </w:pPr>
          </w:p>
        </w:tc>
      </w:tr>
      <w:tr w:rsidR="00CF3946" w:rsidRPr="00CF3946" w:rsidTr="00CF3946">
        <w:trPr>
          <w:trHeight w:val="440"/>
        </w:trPr>
        <w:tc>
          <w:tcPr>
            <w:tcW w:w="5386" w:type="dxa"/>
            <w:tcBorders>
              <w:top w:val="single" w:sz="6" w:space="0" w:color="D2D2D2"/>
              <w:left w:val="nil"/>
              <w:bottom w:val="single" w:sz="6" w:space="0" w:color="D2D2D2"/>
              <w:right w:val="nil"/>
            </w:tcBorders>
            <w:shd w:val="clear" w:color="auto" w:fill="F5FBFE"/>
            <w:tcMar>
              <w:top w:w="60" w:type="dxa"/>
              <w:left w:w="225" w:type="dxa"/>
              <w:bottom w:w="60" w:type="dxa"/>
              <w:right w:w="150" w:type="dxa"/>
            </w:tcMar>
            <w:vAlign w:val="center"/>
            <w:hideMark/>
          </w:tcPr>
          <w:p w:rsidR="00CF3946" w:rsidRPr="00CF3946" w:rsidRDefault="00DA09AF" w:rsidP="00CF3946">
            <w:pPr>
              <w:spacing w:before="90" w:after="0" w:line="360" w:lineRule="atLeast"/>
              <w:rPr>
                <w:rFonts w:ascii="Times New Roman" w:eastAsia="Times New Roman" w:hAnsi="Times New Roman" w:cs="Times New Roman"/>
                <w:b/>
                <w:color w:val="333333"/>
                <w:sz w:val="28"/>
                <w:szCs w:val="28"/>
              </w:rPr>
            </w:pPr>
            <w:hyperlink r:id="rId12" w:anchor="indicatorId=GCI.B.07.01" w:history="1">
              <w:r w:rsidR="00CF3946" w:rsidRPr="00B6094C">
                <w:rPr>
                  <w:rFonts w:ascii="Times New Roman" w:eastAsia="Times New Roman" w:hAnsi="Times New Roman" w:cs="Times New Roman"/>
                  <w:b/>
                  <w:color w:val="000000"/>
                  <w:sz w:val="28"/>
                  <w:szCs w:val="28"/>
                  <w:u w:val="single"/>
                </w:rPr>
                <w:t>Flexibility 1-7 (best)</w:t>
              </w:r>
            </w:hyperlink>
          </w:p>
        </w:tc>
        <w:tc>
          <w:tcPr>
            <w:tcW w:w="316" w:type="dxa"/>
            <w:tcBorders>
              <w:top w:val="single" w:sz="6" w:space="0" w:color="D2D2D2"/>
              <w:left w:val="nil"/>
              <w:bottom w:val="single" w:sz="6" w:space="0" w:color="D2D2D2"/>
              <w:right w:val="nil"/>
            </w:tcBorders>
            <w:shd w:val="clear" w:color="auto" w:fill="F5FBFE"/>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color w:val="333333"/>
                <w:sz w:val="20"/>
                <w:szCs w:val="20"/>
              </w:rPr>
            </w:pPr>
          </w:p>
        </w:tc>
        <w:tc>
          <w:tcPr>
            <w:tcW w:w="655" w:type="dxa"/>
            <w:tcBorders>
              <w:top w:val="single" w:sz="6" w:space="0" w:color="D2D2D2"/>
              <w:left w:val="nil"/>
              <w:bottom w:val="single" w:sz="6" w:space="0" w:color="D2D2D2"/>
              <w:right w:val="nil"/>
            </w:tcBorders>
            <w:shd w:val="clear" w:color="auto" w:fill="F5FBFE"/>
            <w:tcMar>
              <w:top w:w="60" w:type="dxa"/>
              <w:left w:w="12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158ABB"/>
                <w:sz w:val="21"/>
                <w:szCs w:val="21"/>
              </w:rPr>
              <w:t>10</w:t>
            </w:r>
          </w:p>
        </w:tc>
        <w:tc>
          <w:tcPr>
            <w:tcW w:w="752" w:type="dxa"/>
            <w:tcBorders>
              <w:top w:val="single" w:sz="6" w:space="0" w:color="D2D2D2"/>
              <w:left w:val="nil"/>
              <w:bottom w:val="single" w:sz="6" w:space="0" w:color="D2D2D2"/>
              <w:right w:val="nil"/>
            </w:tcBorders>
            <w:shd w:val="clear" w:color="auto" w:fill="F5FBFE"/>
            <w:tcMar>
              <w:top w:w="60" w:type="dxa"/>
              <w:left w:w="120" w:type="dxa"/>
              <w:bottom w:w="60" w:type="dxa"/>
              <w:right w:w="30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333333"/>
                <w:sz w:val="21"/>
                <w:szCs w:val="21"/>
              </w:rPr>
              <w:t>5.4</w:t>
            </w:r>
          </w:p>
        </w:tc>
        <w:tc>
          <w:tcPr>
            <w:tcW w:w="633" w:type="dxa"/>
            <w:tcBorders>
              <w:top w:val="single" w:sz="6" w:space="0" w:color="D2D2D2"/>
              <w:left w:val="nil"/>
              <w:bottom w:val="single" w:sz="6" w:space="0" w:color="D2D2D2"/>
              <w:right w:val="nil"/>
            </w:tcBorders>
            <w:shd w:val="clear" w:color="auto" w:fill="F5FBFE"/>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p>
        </w:tc>
        <w:tc>
          <w:tcPr>
            <w:tcW w:w="1267" w:type="dxa"/>
            <w:tcBorders>
              <w:top w:val="single" w:sz="6" w:space="0" w:color="D2D2D2"/>
              <w:left w:val="nil"/>
              <w:bottom w:val="single" w:sz="6" w:space="0" w:color="D2D2D2"/>
              <w:right w:val="nil"/>
            </w:tcBorders>
            <w:shd w:val="clear" w:color="auto" w:fill="F5FBFE"/>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sz w:val="20"/>
                <w:szCs w:val="20"/>
              </w:rPr>
            </w:pPr>
          </w:p>
        </w:tc>
        <w:tc>
          <w:tcPr>
            <w:tcW w:w="164" w:type="dxa"/>
            <w:tcBorders>
              <w:top w:val="single" w:sz="6" w:space="0" w:color="D2D2D2"/>
              <w:left w:val="nil"/>
              <w:bottom w:val="single" w:sz="6" w:space="0" w:color="D2D2D2"/>
              <w:right w:val="nil"/>
            </w:tcBorders>
            <w:shd w:val="clear" w:color="auto" w:fill="F5FBFE"/>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sz w:val="20"/>
                <w:szCs w:val="20"/>
              </w:rPr>
            </w:pPr>
          </w:p>
        </w:tc>
      </w:tr>
      <w:tr w:rsidR="00CF3946" w:rsidRPr="00CF3946" w:rsidTr="00CF3946">
        <w:trPr>
          <w:trHeight w:val="440"/>
        </w:trPr>
        <w:tc>
          <w:tcPr>
            <w:tcW w:w="5386" w:type="dxa"/>
            <w:tcBorders>
              <w:top w:val="single" w:sz="6" w:space="0" w:color="D2D2D2"/>
              <w:left w:val="nil"/>
              <w:bottom w:val="single" w:sz="6" w:space="0" w:color="D2D2D2"/>
              <w:right w:val="nil"/>
            </w:tcBorders>
            <w:shd w:val="clear" w:color="auto" w:fill="FFFFFF"/>
            <w:tcMar>
              <w:top w:w="60" w:type="dxa"/>
              <w:left w:w="300" w:type="dxa"/>
              <w:bottom w:w="60" w:type="dxa"/>
              <w:right w:w="150" w:type="dxa"/>
            </w:tcMar>
            <w:vAlign w:val="center"/>
            <w:hideMark/>
          </w:tcPr>
          <w:p w:rsidR="00CF3946" w:rsidRPr="00CF3946" w:rsidRDefault="00DA09AF" w:rsidP="00CF3946">
            <w:pPr>
              <w:spacing w:before="90" w:after="0" w:line="360" w:lineRule="atLeast"/>
              <w:rPr>
                <w:rFonts w:ascii="Times New Roman" w:eastAsia="Times New Roman" w:hAnsi="Times New Roman" w:cs="Times New Roman"/>
                <w:color w:val="333333"/>
                <w:sz w:val="20"/>
                <w:szCs w:val="20"/>
              </w:rPr>
            </w:pPr>
            <w:hyperlink r:id="rId13" w:anchor="indicatorId=EOSQ135" w:history="1">
              <w:r w:rsidR="00CF3946" w:rsidRPr="00B6094C">
                <w:rPr>
                  <w:rFonts w:ascii="Times New Roman" w:eastAsia="Times New Roman" w:hAnsi="Times New Roman" w:cs="Times New Roman"/>
                  <w:color w:val="000000"/>
                  <w:sz w:val="20"/>
                  <w:szCs w:val="20"/>
                  <w:u w:val="single"/>
                </w:rPr>
                <w:t>Cooperation in labor-employer relations </w:t>
              </w:r>
              <w:r w:rsidR="00CF3946" w:rsidRPr="00B6094C">
                <w:rPr>
                  <w:rFonts w:ascii="Times New Roman" w:eastAsia="Times New Roman" w:hAnsi="Times New Roman" w:cs="Times New Roman"/>
                  <w:color w:val="000000"/>
                  <w:sz w:val="18"/>
                  <w:szCs w:val="18"/>
                  <w:u w:val="single"/>
                </w:rPr>
                <w:t>1-7 (best)</w:t>
              </w:r>
            </w:hyperlink>
          </w:p>
        </w:tc>
        <w:tc>
          <w:tcPr>
            <w:tcW w:w="316"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color w:val="333333"/>
                <w:sz w:val="20"/>
                <w:szCs w:val="20"/>
              </w:rPr>
            </w:pPr>
          </w:p>
        </w:tc>
        <w:tc>
          <w:tcPr>
            <w:tcW w:w="655"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158ABB"/>
                <w:sz w:val="21"/>
                <w:szCs w:val="21"/>
              </w:rPr>
              <w:t>65</w:t>
            </w:r>
          </w:p>
        </w:tc>
        <w:tc>
          <w:tcPr>
            <w:tcW w:w="752" w:type="dxa"/>
            <w:tcBorders>
              <w:top w:val="single" w:sz="6" w:space="0" w:color="D2D2D2"/>
              <w:left w:val="nil"/>
              <w:bottom w:val="single" w:sz="6" w:space="0" w:color="D2D2D2"/>
              <w:right w:val="nil"/>
            </w:tcBorders>
            <w:shd w:val="clear" w:color="auto" w:fill="FFFFFF"/>
            <w:tcMar>
              <w:top w:w="60" w:type="dxa"/>
              <w:left w:w="120" w:type="dxa"/>
              <w:bottom w:w="60" w:type="dxa"/>
              <w:right w:w="30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333333"/>
                <w:sz w:val="21"/>
                <w:szCs w:val="21"/>
              </w:rPr>
              <w:t>4.4</w:t>
            </w:r>
          </w:p>
        </w:tc>
        <w:tc>
          <w:tcPr>
            <w:tcW w:w="633" w:type="dxa"/>
            <w:tcBorders>
              <w:top w:val="single" w:sz="6" w:space="0" w:color="D2D2D2"/>
              <w:left w:val="nil"/>
              <w:bottom w:val="single" w:sz="6" w:space="0" w:color="D2D2D2"/>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p>
        </w:tc>
        <w:tc>
          <w:tcPr>
            <w:tcW w:w="1267"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sz w:val="20"/>
                <w:szCs w:val="20"/>
              </w:rPr>
            </w:pPr>
          </w:p>
        </w:tc>
        <w:tc>
          <w:tcPr>
            <w:tcW w:w="164" w:type="dxa"/>
            <w:tcBorders>
              <w:top w:val="nil"/>
              <w:left w:val="nil"/>
              <w:bottom w:val="nil"/>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sz w:val="20"/>
                <w:szCs w:val="20"/>
              </w:rPr>
            </w:pPr>
          </w:p>
        </w:tc>
      </w:tr>
      <w:tr w:rsidR="00CF3946" w:rsidRPr="00CF3946" w:rsidTr="00CF3946">
        <w:trPr>
          <w:trHeight w:val="440"/>
        </w:trPr>
        <w:tc>
          <w:tcPr>
            <w:tcW w:w="5386" w:type="dxa"/>
            <w:tcBorders>
              <w:top w:val="single" w:sz="6" w:space="0" w:color="D2D2D2"/>
              <w:left w:val="nil"/>
              <w:bottom w:val="single" w:sz="6" w:space="0" w:color="D2D2D2"/>
              <w:right w:val="nil"/>
            </w:tcBorders>
            <w:shd w:val="clear" w:color="auto" w:fill="FFFFFF"/>
            <w:tcMar>
              <w:top w:w="60" w:type="dxa"/>
              <w:left w:w="300" w:type="dxa"/>
              <w:bottom w:w="60" w:type="dxa"/>
              <w:right w:w="150" w:type="dxa"/>
            </w:tcMar>
            <w:vAlign w:val="center"/>
            <w:hideMark/>
          </w:tcPr>
          <w:p w:rsidR="00CF3946" w:rsidRPr="00CF3946" w:rsidRDefault="00DA09AF" w:rsidP="00CF3946">
            <w:pPr>
              <w:spacing w:before="90" w:after="0" w:line="360" w:lineRule="atLeast"/>
              <w:rPr>
                <w:rFonts w:ascii="Times New Roman" w:eastAsia="Times New Roman" w:hAnsi="Times New Roman" w:cs="Times New Roman"/>
                <w:color w:val="333333"/>
                <w:sz w:val="20"/>
                <w:szCs w:val="20"/>
              </w:rPr>
            </w:pPr>
            <w:hyperlink r:id="rId14" w:anchor="indicatorId=EOSQ136" w:history="1">
              <w:r w:rsidR="00CF3946" w:rsidRPr="00B6094C">
                <w:rPr>
                  <w:rFonts w:ascii="Times New Roman" w:eastAsia="Times New Roman" w:hAnsi="Times New Roman" w:cs="Times New Roman"/>
                  <w:color w:val="000000"/>
                  <w:sz w:val="20"/>
                  <w:szCs w:val="20"/>
                  <w:u w:val="single"/>
                </w:rPr>
                <w:t>Flexibility of wage determination </w:t>
              </w:r>
              <w:r w:rsidR="00CF3946" w:rsidRPr="00B6094C">
                <w:rPr>
                  <w:rFonts w:ascii="Times New Roman" w:eastAsia="Times New Roman" w:hAnsi="Times New Roman" w:cs="Times New Roman"/>
                  <w:color w:val="000000"/>
                  <w:sz w:val="18"/>
                  <w:szCs w:val="18"/>
                  <w:u w:val="single"/>
                </w:rPr>
                <w:t>1-7 (best)</w:t>
              </w:r>
            </w:hyperlink>
          </w:p>
        </w:tc>
        <w:tc>
          <w:tcPr>
            <w:tcW w:w="316"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color w:val="333333"/>
                <w:sz w:val="20"/>
                <w:szCs w:val="20"/>
              </w:rPr>
            </w:pPr>
          </w:p>
        </w:tc>
        <w:tc>
          <w:tcPr>
            <w:tcW w:w="655"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158ABB"/>
                <w:sz w:val="21"/>
                <w:szCs w:val="21"/>
              </w:rPr>
              <w:t>10</w:t>
            </w:r>
          </w:p>
        </w:tc>
        <w:tc>
          <w:tcPr>
            <w:tcW w:w="752" w:type="dxa"/>
            <w:tcBorders>
              <w:top w:val="single" w:sz="6" w:space="0" w:color="D2D2D2"/>
              <w:left w:val="nil"/>
              <w:bottom w:val="single" w:sz="6" w:space="0" w:color="D2D2D2"/>
              <w:right w:val="nil"/>
            </w:tcBorders>
            <w:shd w:val="clear" w:color="auto" w:fill="FFFFFF"/>
            <w:tcMar>
              <w:top w:w="60" w:type="dxa"/>
              <w:left w:w="120" w:type="dxa"/>
              <w:bottom w:w="60" w:type="dxa"/>
              <w:right w:w="30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333333"/>
                <w:sz w:val="21"/>
                <w:szCs w:val="21"/>
              </w:rPr>
              <w:t>5.9</w:t>
            </w:r>
          </w:p>
        </w:tc>
        <w:tc>
          <w:tcPr>
            <w:tcW w:w="633" w:type="dxa"/>
            <w:tcBorders>
              <w:top w:val="single" w:sz="6" w:space="0" w:color="D2D2D2"/>
              <w:left w:val="nil"/>
              <w:bottom w:val="single" w:sz="6" w:space="0" w:color="D2D2D2"/>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p>
        </w:tc>
        <w:tc>
          <w:tcPr>
            <w:tcW w:w="1267"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sz w:val="20"/>
                <w:szCs w:val="20"/>
              </w:rPr>
            </w:pPr>
          </w:p>
        </w:tc>
        <w:tc>
          <w:tcPr>
            <w:tcW w:w="164" w:type="dxa"/>
            <w:tcBorders>
              <w:top w:val="nil"/>
              <w:left w:val="nil"/>
              <w:bottom w:val="nil"/>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sz w:val="20"/>
                <w:szCs w:val="20"/>
              </w:rPr>
            </w:pPr>
          </w:p>
        </w:tc>
      </w:tr>
      <w:tr w:rsidR="00CF3946" w:rsidRPr="00CF3946" w:rsidTr="00CF3946">
        <w:trPr>
          <w:trHeight w:val="440"/>
        </w:trPr>
        <w:tc>
          <w:tcPr>
            <w:tcW w:w="5386" w:type="dxa"/>
            <w:tcBorders>
              <w:top w:val="single" w:sz="6" w:space="0" w:color="D2D2D2"/>
              <w:left w:val="nil"/>
              <w:bottom w:val="single" w:sz="6" w:space="0" w:color="D2D2D2"/>
              <w:right w:val="nil"/>
            </w:tcBorders>
            <w:shd w:val="clear" w:color="auto" w:fill="FFFFFF"/>
            <w:tcMar>
              <w:top w:w="60" w:type="dxa"/>
              <w:left w:w="300" w:type="dxa"/>
              <w:bottom w:w="60" w:type="dxa"/>
              <w:right w:w="150" w:type="dxa"/>
            </w:tcMar>
            <w:vAlign w:val="center"/>
            <w:hideMark/>
          </w:tcPr>
          <w:p w:rsidR="00CF3946" w:rsidRPr="00CF3946" w:rsidRDefault="00DA09AF" w:rsidP="00CF3946">
            <w:pPr>
              <w:spacing w:before="90" w:after="0" w:line="360" w:lineRule="atLeast"/>
              <w:rPr>
                <w:rFonts w:ascii="Times New Roman" w:eastAsia="Times New Roman" w:hAnsi="Times New Roman" w:cs="Times New Roman"/>
                <w:color w:val="333333"/>
                <w:sz w:val="20"/>
                <w:szCs w:val="20"/>
              </w:rPr>
            </w:pPr>
            <w:hyperlink r:id="rId15" w:anchor="indicatorId=EOSQ134" w:history="1">
              <w:r w:rsidR="00CF3946" w:rsidRPr="00B6094C">
                <w:rPr>
                  <w:rFonts w:ascii="Times New Roman" w:eastAsia="Times New Roman" w:hAnsi="Times New Roman" w:cs="Times New Roman"/>
                  <w:color w:val="000000"/>
                  <w:sz w:val="20"/>
                  <w:szCs w:val="20"/>
                  <w:u w:val="single"/>
                </w:rPr>
                <w:t>Hiring and firing practices </w:t>
              </w:r>
              <w:r w:rsidR="00CF3946" w:rsidRPr="00B6094C">
                <w:rPr>
                  <w:rFonts w:ascii="Times New Roman" w:eastAsia="Times New Roman" w:hAnsi="Times New Roman" w:cs="Times New Roman"/>
                  <w:color w:val="000000"/>
                  <w:sz w:val="18"/>
                  <w:szCs w:val="18"/>
                  <w:u w:val="single"/>
                </w:rPr>
                <w:t>1-7 (best)</w:t>
              </w:r>
            </w:hyperlink>
          </w:p>
        </w:tc>
        <w:tc>
          <w:tcPr>
            <w:tcW w:w="316"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color w:val="333333"/>
                <w:sz w:val="20"/>
                <w:szCs w:val="20"/>
              </w:rPr>
            </w:pPr>
          </w:p>
        </w:tc>
        <w:tc>
          <w:tcPr>
            <w:tcW w:w="655"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158ABB"/>
                <w:sz w:val="21"/>
                <w:szCs w:val="21"/>
              </w:rPr>
              <w:t>12</w:t>
            </w:r>
          </w:p>
        </w:tc>
        <w:tc>
          <w:tcPr>
            <w:tcW w:w="752" w:type="dxa"/>
            <w:tcBorders>
              <w:top w:val="single" w:sz="6" w:space="0" w:color="D2D2D2"/>
              <w:left w:val="nil"/>
              <w:bottom w:val="single" w:sz="6" w:space="0" w:color="D2D2D2"/>
              <w:right w:val="nil"/>
            </w:tcBorders>
            <w:shd w:val="clear" w:color="auto" w:fill="FFFFFF"/>
            <w:tcMar>
              <w:top w:w="60" w:type="dxa"/>
              <w:left w:w="120" w:type="dxa"/>
              <w:bottom w:w="60" w:type="dxa"/>
              <w:right w:w="30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333333"/>
                <w:sz w:val="21"/>
                <w:szCs w:val="21"/>
              </w:rPr>
              <w:t>4.8</w:t>
            </w:r>
          </w:p>
        </w:tc>
        <w:tc>
          <w:tcPr>
            <w:tcW w:w="633" w:type="dxa"/>
            <w:tcBorders>
              <w:top w:val="single" w:sz="6" w:space="0" w:color="D2D2D2"/>
              <w:left w:val="nil"/>
              <w:bottom w:val="single" w:sz="6" w:space="0" w:color="D2D2D2"/>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p>
        </w:tc>
        <w:tc>
          <w:tcPr>
            <w:tcW w:w="1267"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sz w:val="20"/>
                <w:szCs w:val="20"/>
              </w:rPr>
            </w:pPr>
          </w:p>
        </w:tc>
        <w:tc>
          <w:tcPr>
            <w:tcW w:w="164" w:type="dxa"/>
            <w:tcBorders>
              <w:top w:val="nil"/>
              <w:left w:val="nil"/>
              <w:bottom w:val="nil"/>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sz w:val="20"/>
                <w:szCs w:val="20"/>
              </w:rPr>
            </w:pPr>
          </w:p>
        </w:tc>
      </w:tr>
      <w:tr w:rsidR="00CF3946" w:rsidRPr="00CF3946" w:rsidTr="00CF3946">
        <w:trPr>
          <w:trHeight w:val="440"/>
        </w:trPr>
        <w:tc>
          <w:tcPr>
            <w:tcW w:w="5386" w:type="dxa"/>
            <w:tcBorders>
              <w:top w:val="single" w:sz="6" w:space="0" w:color="D2D2D2"/>
              <w:left w:val="nil"/>
              <w:bottom w:val="single" w:sz="6" w:space="0" w:color="D2D2D2"/>
              <w:right w:val="nil"/>
            </w:tcBorders>
            <w:shd w:val="clear" w:color="auto" w:fill="FFFFFF"/>
            <w:tcMar>
              <w:top w:w="60" w:type="dxa"/>
              <w:left w:w="300" w:type="dxa"/>
              <w:bottom w:w="60" w:type="dxa"/>
              <w:right w:w="150" w:type="dxa"/>
            </w:tcMar>
            <w:vAlign w:val="center"/>
            <w:hideMark/>
          </w:tcPr>
          <w:p w:rsidR="00CF3946" w:rsidRPr="00CF3946" w:rsidRDefault="00DA09AF" w:rsidP="00CF3946">
            <w:pPr>
              <w:spacing w:before="90" w:after="0" w:line="360" w:lineRule="atLeast"/>
              <w:rPr>
                <w:rFonts w:ascii="Times New Roman" w:eastAsia="Times New Roman" w:hAnsi="Times New Roman" w:cs="Times New Roman"/>
                <w:color w:val="333333"/>
                <w:sz w:val="20"/>
                <w:szCs w:val="20"/>
              </w:rPr>
            </w:pPr>
            <w:hyperlink r:id="rId16" w:anchor="indicatorId=REDUNCOST" w:history="1">
              <w:r w:rsidR="00CF3946" w:rsidRPr="00B6094C">
                <w:rPr>
                  <w:rFonts w:ascii="Times New Roman" w:eastAsia="Times New Roman" w:hAnsi="Times New Roman" w:cs="Times New Roman"/>
                  <w:color w:val="000000"/>
                  <w:sz w:val="20"/>
                  <w:szCs w:val="20"/>
                  <w:u w:val="single"/>
                </w:rPr>
                <w:t>Redundancy costs </w:t>
              </w:r>
              <w:r w:rsidR="00CF3946" w:rsidRPr="00B6094C">
                <w:rPr>
                  <w:rFonts w:ascii="Times New Roman" w:eastAsia="Times New Roman" w:hAnsi="Times New Roman" w:cs="Times New Roman"/>
                  <w:color w:val="000000"/>
                  <w:sz w:val="18"/>
                  <w:szCs w:val="18"/>
                  <w:u w:val="single"/>
                </w:rPr>
                <w:t>weeks of salary</w:t>
              </w:r>
            </w:hyperlink>
          </w:p>
        </w:tc>
        <w:tc>
          <w:tcPr>
            <w:tcW w:w="316"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color w:val="333333"/>
                <w:sz w:val="20"/>
                <w:szCs w:val="20"/>
              </w:rPr>
            </w:pPr>
          </w:p>
        </w:tc>
        <w:tc>
          <w:tcPr>
            <w:tcW w:w="655"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158ABB"/>
                <w:sz w:val="21"/>
                <w:szCs w:val="21"/>
              </w:rPr>
              <w:t>20</w:t>
            </w:r>
          </w:p>
        </w:tc>
        <w:tc>
          <w:tcPr>
            <w:tcW w:w="752" w:type="dxa"/>
            <w:tcBorders>
              <w:top w:val="single" w:sz="6" w:space="0" w:color="D2D2D2"/>
              <w:left w:val="nil"/>
              <w:bottom w:val="single" w:sz="6" w:space="0" w:color="D2D2D2"/>
              <w:right w:val="nil"/>
            </w:tcBorders>
            <w:shd w:val="clear" w:color="auto" w:fill="FFFFFF"/>
            <w:tcMar>
              <w:top w:w="60" w:type="dxa"/>
              <w:left w:w="120" w:type="dxa"/>
              <w:bottom w:w="60" w:type="dxa"/>
              <w:right w:w="30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333333"/>
                <w:sz w:val="21"/>
                <w:szCs w:val="21"/>
              </w:rPr>
              <w:t>8.6</w:t>
            </w:r>
          </w:p>
        </w:tc>
        <w:tc>
          <w:tcPr>
            <w:tcW w:w="633" w:type="dxa"/>
            <w:tcBorders>
              <w:top w:val="single" w:sz="6" w:space="0" w:color="D2D2D2"/>
              <w:left w:val="nil"/>
              <w:bottom w:val="single" w:sz="6" w:space="0" w:color="D2D2D2"/>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p>
        </w:tc>
        <w:tc>
          <w:tcPr>
            <w:tcW w:w="1267"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sz w:val="20"/>
                <w:szCs w:val="20"/>
              </w:rPr>
            </w:pPr>
          </w:p>
        </w:tc>
        <w:tc>
          <w:tcPr>
            <w:tcW w:w="164" w:type="dxa"/>
            <w:tcBorders>
              <w:top w:val="nil"/>
              <w:left w:val="nil"/>
              <w:bottom w:val="nil"/>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sz w:val="20"/>
                <w:szCs w:val="20"/>
              </w:rPr>
            </w:pPr>
          </w:p>
        </w:tc>
      </w:tr>
      <w:tr w:rsidR="00CF3946" w:rsidRPr="00CF3946" w:rsidTr="00CF3946">
        <w:trPr>
          <w:trHeight w:val="440"/>
        </w:trPr>
        <w:tc>
          <w:tcPr>
            <w:tcW w:w="5386" w:type="dxa"/>
            <w:tcBorders>
              <w:top w:val="single" w:sz="6" w:space="0" w:color="D2D2D2"/>
              <w:left w:val="nil"/>
              <w:bottom w:val="single" w:sz="6" w:space="0" w:color="D2D2D2"/>
              <w:right w:val="nil"/>
            </w:tcBorders>
            <w:shd w:val="clear" w:color="auto" w:fill="FFFFFF"/>
            <w:tcMar>
              <w:top w:w="60" w:type="dxa"/>
              <w:left w:w="300" w:type="dxa"/>
              <w:bottom w:w="60" w:type="dxa"/>
              <w:right w:w="150" w:type="dxa"/>
            </w:tcMar>
            <w:vAlign w:val="center"/>
            <w:hideMark/>
          </w:tcPr>
          <w:p w:rsidR="00CF3946" w:rsidRPr="00CF3946" w:rsidRDefault="00DA09AF" w:rsidP="00CF3946">
            <w:pPr>
              <w:spacing w:before="90" w:after="0" w:line="360" w:lineRule="atLeast"/>
              <w:rPr>
                <w:rFonts w:ascii="Times New Roman" w:eastAsia="Times New Roman" w:hAnsi="Times New Roman" w:cs="Times New Roman"/>
                <w:color w:val="333333"/>
                <w:sz w:val="20"/>
                <w:szCs w:val="20"/>
              </w:rPr>
            </w:pPr>
            <w:hyperlink r:id="rId17" w:anchor="indicatorId=EOSQ397" w:history="1">
              <w:r w:rsidR="00CF3946" w:rsidRPr="00B6094C">
                <w:rPr>
                  <w:rFonts w:ascii="Times New Roman" w:eastAsia="Times New Roman" w:hAnsi="Times New Roman" w:cs="Times New Roman"/>
                  <w:color w:val="000000"/>
                  <w:sz w:val="20"/>
                  <w:szCs w:val="20"/>
                  <w:u w:val="single"/>
                </w:rPr>
                <w:t>Effect of taxation on incentives to work </w:t>
              </w:r>
              <w:r w:rsidR="00CF3946" w:rsidRPr="00B6094C">
                <w:rPr>
                  <w:rFonts w:ascii="Times New Roman" w:eastAsia="Times New Roman" w:hAnsi="Times New Roman" w:cs="Times New Roman"/>
                  <w:color w:val="000000"/>
                  <w:sz w:val="18"/>
                  <w:szCs w:val="18"/>
                  <w:u w:val="single"/>
                </w:rPr>
                <w:t>1-7 (best)</w:t>
              </w:r>
            </w:hyperlink>
          </w:p>
        </w:tc>
        <w:tc>
          <w:tcPr>
            <w:tcW w:w="316"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color w:val="333333"/>
                <w:sz w:val="20"/>
                <w:szCs w:val="20"/>
              </w:rPr>
            </w:pPr>
          </w:p>
        </w:tc>
        <w:tc>
          <w:tcPr>
            <w:tcW w:w="655"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158ABB"/>
                <w:sz w:val="21"/>
                <w:szCs w:val="21"/>
              </w:rPr>
              <w:t>15</w:t>
            </w:r>
          </w:p>
        </w:tc>
        <w:tc>
          <w:tcPr>
            <w:tcW w:w="752" w:type="dxa"/>
            <w:tcBorders>
              <w:top w:val="single" w:sz="6" w:space="0" w:color="D2D2D2"/>
              <w:left w:val="nil"/>
              <w:bottom w:val="single" w:sz="6" w:space="0" w:color="D2D2D2"/>
              <w:right w:val="nil"/>
            </w:tcBorders>
            <w:shd w:val="clear" w:color="auto" w:fill="FFFFFF"/>
            <w:tcMar>
              <w:top w:w="60" w:type="dxa"/>
              <w:left w:w="120" w:type="dxa"/>
              <w:bottom w:w="60" w:type="dxa"/>
              <w:right w:w="30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333333"/>
                <w:sz w:val="21"/>
                <w:szCs w:val="21"/>
              </w:rPr>
              <w:t>4.8</w:t>
            </w:r>
          </w:p>
        </w:tc>
        <w:tc>
          <w:tcPr>
            <w:tcW w:w="633" w:type="dxa"/>
            <w:tcBorders>
              <w:top w:val="single" w:sz="6" w:space="0" w:color="D2D2D2"/>
              <w:left w:val="nil"/>
              <w:bottom w:val="single" w:sz="6" w:space="0" w:color="D2D2D2"/>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p>
        </w:tc>
        <w:tc>
          <w:tcPr>
            <w:tcW w:w="1267"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sz w:val="20"/>
                <w:szCs w:val="20"/>
              </w:rPr>
            </w:pPr>
          </w:p>
        </w:tc>
        <w:tc>
          <w:tcPr>
            <w:tcW w:w="164" w:type="dxa"/>
            <w:tcBorders>
              <w:top w:val="nil"/>
              <w:left w:val="nil"/>
              <w:bottom w:val="nil"/>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sz w:val="20"/>
                <w:szCs w:val="20"/>
              </w:rPr>
            </w:pPr>
          </w:p>
        </w:tc>
      </w:tr>
      <w:tr w:rsidR="00CF3946" w:rsidRPr="00CF3946" w:rsidTr="00CF3946">
        <w:trPr>
          <w:trHeight w:val="440"/>
        </w:trPr>
        <w:tc>
          <w:tcPr>
            <w:tcW w:w="5386" w:type="dxa"/>
            <w:tcBorders>
              <w:top w:val="single" w:sz="6" w:space="0" w:color="D2D2D2"/>
              <w:left w:val="nil"/>
              <w:bottom w:val="single" w:sz="6" w:space="0" w:color="D2D2D2"/>
              <w:right w:val="nil"/>
            </w:tcBorders>
            <w:shd w:val="clear" w:color="auto" w:fill="FFFFFF"/>
            <w:tcMar>
              <w:top w:w="60" w:type="dxa"/>
              <w:left w:w="225" w:type="dxa"/>
              <w:bottom w:w="60" w:type="dxa"/>
              <w:right w:w="150" w:type="dxa"/>
            </w:tcMar>
            <w:vAlign w:val="center"/>
            <w:hideMark/>
          </w:tcPr>
          <w:p w:rsidR="00CF3946" w:rsidRPr="00CF3946" w:rsidRDefault="00DA09AF" w:rsidP="00CF3946">
            <w:pPr>
              <w:spacing w:before="90" w:after="0" w:line="360" w:lineRule="atLeast"/>
              <w:rPr>
                <w:rFonts w:ascii="Times New Roman" w:eastAsia="Times New Roman" w:hAnsi="Times New Roman" w:cs="Times New Roman"/>
                <w:b/>
                <w:color w:val="333333"/>
                <w:sz w:val="28"/>
                <w:szCs w:val="28"/>
              </w:rPr>
            </w:pPr>
            <w:hyperlink r:id="rId18" w:anchor="indicatorId=GCI.B.07.02" w:history="1">
              <w:r w:rsidR="00CF3946" w:rsidRPr="00B6094C">
                <w:rPr>
                  <w:rFonts w:ascii="Times New Roman" w:eastAsia="Times New Roman" w:hAnsi="Times New Roman" w:cs="Times New Roman"/>
                  <w:b/>
                  <w:color w:val="000000"/>
                  <w:sz w:val="28"/>
                  <w:szCs w:val="28"/>
                  <w:u w:val="single"/>
                </w:rPr>
                <w:t>Efficient use of talent 1-7 (best)</w:t>
              </w:r>
            </w:hyperlink>
          </w:p>
        </w:tc>
        <w:tc>
          <w:tcPr>
            <w:tcW w:w="316"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color w:val="333333"/>
                <w:sz w:val="20"/>
                <w:szCs w:val="20"/>
              </w:rPr>
            </w:pPr>
          </w:p>
        </w:tc>
        <w:tc>
          <w:tcPr>
            <w:tcW w:w="655"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158ABB"/>
                <w:sz w:val="21"/>
                <w:szCs w:val="21"/>
              </w:rPr>
              <w:t>83</w:t>
            </w:r>
          </w:p>
        </w:tc>
        <w:tc>
          <w:tcPr>
            <w:tcW w:w="752" w:type="dxa"/>
            <w:tcBorders>
              <w:top w:val="single" w:sz="6" w:space="0" w:color="D2D2D2"/>
              <w:left w:val="nil"/>
              <w:bottom w:val="single" w:sz="6" w:space="0" w:color="D2D2D2"/>
              <w:right w:val="nil"/>
            </w:tcBorders>
            <w:shd w:val="clear" w:color="auto" w:fill="FFFFFF"/>
            <w:tcMar>
              <w:top w:w="60" w:type="dxa"/>
              <w:left w:w="120" w:type="dxa"/>
              <w:bottom w:w="60" w:type="dxa"/>
              <w:right w:w="30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333333"/>
                <w:sz w:val="21"/>
                <w:szCs w:val="21"/>
              </w:rPr>
              <w:t>3.8</w:t>
            </w:r>
          </w:p>
        </w:tc>
        <w:tc>
          <w:tcPr>
            <w:tcW w:w="633" w:type="dxa"/>
            <w:tcBorders>
              <w:top w:val="single" w:sz="6" w:space="0" w:color="D2D2D2"/>
              <w:left w:val="nil"/>
              <w:bottom w:val="single" w:sz="6" w:space="0" w:color="D2D2D2"/>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p>
        </w:tc>
        <w:tc>
          <w:tcPr>
            <w:tcW w:w="1267"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sz w:val="20"/>
                <w:szCs w:val="20"/>
              </w:rPr>
            </w:pPr>
          </w:p>
        </w:tc>
        <w:tc>
          <w:tcPr>
            <w:tcW w:w="164" w:type="dxa"/>
            <w:tcBorders>
              <w:top w:val="single" w:sz="6" w:space="0" w:color="D2D2D2"/>
              <w:left w:val="nil"/>
              <w:bottom w:val="single" w:sz="6" w:space="0" w:color="D2D2D2"/>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sz w:val="20"/>
                <w:szCs w:val="20"/>
              </w:rPr>
            </w:pPr>
          </w:p>
        </w:tc>
      </w:tr>
      <w:tr w:rsidR="00CF3946" w:rsidRPr="00CF3946" w:rsidTr="00CF3946">
        <w:trPr>
          <w:trHeight w:val="440"/>
        </w:trPr>
        <w:tc>
          <w:tcPr>
            <w:tcW w:w="5386" w:type="dxa"/>
            <w:tcBorders>
              <w:top w:val="single" w:sz="6" w:space="0" w:color="D2D2D2"/>
              <w:left w:val="nil"/>
              <w:bottom w:val="single" w:sz="6" w:space="0" w:color="D2D2D2"/>
              <w:right w:val="nil"/>
            </w:tcBorders>
            <w:shd w:val="clear" w:color="auto" w:fill="FFFFFF"/>
            <w:tcMar>
              <w:top w:w="60" w:type="dxa"/>
              <w:left w:w="300" w:type="dxa"/>
              <w:bottom w:w="60" w:type="dxa"/>
              <w:right w:w="150" w:type="dxa"/>
            </w:tcMar>
            <w:vAlign w:val="center"/>
            <w:hideMark/>
          </w:tcPr>
          <w:p w:rsidR="00CF3946" w:rsidRPr="00CF3946" w:rsidRDefault="00DA09AF" w:rsidP="00CF3946">
            <w:pPr>
              <w:spacing w:before="90" w:after="0" w:line="360" w:lineRule="atLeast"/>
              <w:rPr>
                <w:rFonts w:ascii="Times New Roman" w:eastAsia="Times New Roman" w:hAnsi="Times New Roman" w:cs="Times New Roman"/>
                <w:color w:val="333333"/>
                <w:sz w:val="20"/>
                <w:szCs w:val="20"/>
              </w:rPr>
            </w:pPr>
            <w:hyperlink r:id="rId19" w:anchor="indicatorId=EOSQ137" w:history="1">
              <w:r w:rsidR="00CF3946" w:rsidRPr="00B6094C">
                <w:rPr>
                  <w:rFonts w:ascii="Times New Roman" w:eastAsia="Times New Roman" w:hAnsi="Times New Roman" w:cs="Times New Roman"/>
                  <w:color w:val="000000"/>
                  <w:sz w:val="20"/>
                  <w:szCs w:val="20"/>
                  <w:u w:val="single"/>
                </w:rPr>
                <w:t>Pay and productivity </w:t>
              </w:r>
              <w:r w:rsidR="00CF3946" w:rsidRPr="00B6094C">
                <w:rPr>
                  <w:rFonts w:ascii="Times New Roman" w:eastAsia="Times New Roman" w:hAnsi="Times New Roman" w:cs="Times New Roman"/>
                  <w:color w:val="000000"/>
                  <w:sz w:val="18"/>
                  <w:szCs w:val="18"/>
                  <w:u w:val="single"/>
                </w:rPr>
                <w:t>1-7 (best)</w:t>
              </w:r>
            </w:hyperlink>
          </w:p>
        </w:tc>
        <w:tc>
          <w:tcPr>
            <w:tcW w:w="316"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color w:val="333333"/>
                <w:sz w:val="20"/>
                <w:szCs w:val="20"/>
              </w:rPr>
            </w:pPr>
          </w:p>
        </w:tc>
        <w:tc>
          <w:tcPr>
            <w:tcW w:w="655"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158ABB"/>
                <w:sz w:val="21"/>
                <w:szCs w:val="21"/>
              </w:rPr>
              <w:t>63</w:t>
            </w:r>
          </w:p>
        </w:tc>
        <w:tc>
          <w:tcPr>
            <w:tcW w:w="752" w:type="dxa"/>
            <w:tcBorders>
              <w:top w:val="single" w:sz="6" w:space="0" w:color="D2D2D2"/>
              <w:left w:val="nil"/>
              <w:bottom w:val="single" w:sz="6" w:space="0" w:color="D2D2D2"/>
              <w:right w:val="nil"/>
            </w:tcBorders>
            <w:shd w:val="clear" w:color="auto" w:fill="FFFFFF"/>
            <w:tcMar>
              <w:top w:w="60" w:type="dxa"/>
              <w:left w:w="120" w:type="dxa"/>
              <w:bottom w:w="60" w:type="dxa"/>
              <w:right w:w="30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333333"/>
                <w:sz w:val="21"/>
                <w:szCs w:val="21"/>
              </w:rPr>
              <w:t>4.1</w:t>
            </w:r>
          </w:p>
        </w:tc>
        <w:tc>
          <w:tcPr>
            <w:tcW w:w="633" w:type="dxa"/>
            <w:tcBorders>
              <w:top w:val="single" w:sz="6" w:space="0" w:color="D2D2D2"/>
              <w:left w:val="nil"/>
              <w:bottom w:val="single" w:sz="6" w:space="0" w:color="D2D2D2"/>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p>
        </w:tc>
        <w:tc>
          <w:tcPr>
            <w:tcW w:w="1267"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sz w:val="20"/>
                <w:szCs w:val="20"/>
              </w:rPr>
            </w:pPr>
          </w:p>
        </w:tc>
        <w:tc>
          <w:tcPr>
            <w:tcW w:w="164" w:type="dxa"/>
            <w:tcBorders>
              <w:top w:val="nil"/>
              <w:left w:val="nil"/>
              <w:bottom w:val="nil"/>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sz w:val="20"/>
                <w:szCs w:val="20"/>
              </w:rPr>
            </w:pPr>
          </w:p>
        </w:tc>
      </w:tr>
      <w:tr w:rsidR="00CF3946" w:rsidRPr="00CF3946" w:rsidTr="00CF3946">
        <w:trPr>
          <w:trHeight w:val="440"/>
        </w:trPr>
        <w:tc>
          <w:tcPr>
            <w:tcW w:w="5386" w:type="dxa"/>
            <w:tcBorders>
              <w:top w:val="single" w:sz="6" w:space="0" w:color="D2D2D2"/>
              <w:left w:val="nil"/>
              <w:bottom w:val="single" w:sz="6" w:space="0" w:color="D2D2D2"/>
              <w:right w:val="nil"/>
            </w:tcBorders>
            <w:shd w:val="clear" w:color="auto" w:fill="FFFFFF"/>
            <w:tcMar>
              <w:top w:w="60" w:type="dxa"/>
              <w:left w:w="300" w:type="dxa"/>
              <w:bottom w:w="60" w:type="dxa"/>
              <w:right w:w="150" w:type="dxa"/>
            </w:tcMar>
            <w:vAlign w:val="center"/>
            <w:hideMark/>
          </w:tcPr>
          <w:p w:rsidR="00CF3946" w:rsidRPr="00CF3946" w:rsidRDefault="00DA09AF" w:rsidP="00CF3946">
            <w:pPr>
              <w:spacing w:before="90" w:after="0" w:line="360" w:lineRule="atLeast"/>
              <w:rPr>
                <w:rFonts w:ascii="Times New Roman" w:eastAsia="Times New Roman" w:hAnsi="Times New Roman" w:cs="Times New Roman"/>
                <w:color w:val="333333"/>
                <w:sz w:val="20"/>
                <w:szCs w:val="20"/>
              </w:rPr>
            </w:pPr>
            <w:hyperlink r:id="rId20" w:anchor="indicatorId=EOSQ126" w:history="1">
              <w:r w:rsidR="00CF3946" w:rsidRPr="00B6094C">
                <w:rPr>
                  <w:rFonts w:ascii="Times New Roman" w:eastAsia="Times New Roman" w:hAnsi="Times New Roman" w:cs="Times New Roman"/>
                  <w:color w:val="000000"/>
                  <w:sz w:val="20"/>
                  <w:szCs w:val="20"/>
                  <w:u w:val="single"/>
                </w:rPr>
                <w:t>Reliance on professional management </w:t>
              </w:r>
              <w:r w:rsidR="00CF3946" w:rsidRPr="00B6094C">
                <w:rPr>
                  <w:rFonts w:ascii="Times New Roman" w:eastAsia="Times New Roman" w:hAnsi="Times New Roman" w:cs="Times New Roman"/>
                  <w:color w:val="000000"/>
                  <w:sz w:val="18"/>
                  <w:szCs w:val="18"/>
                  <w:u w:val="single"/>
                </w:rPr>
                <w:t>1-7 (best)</w:t>
              </w:r>
            </w:hyperlink>
          </w:p>
        </w:tc>
        <w:tc>
          <w:tcPr>
            <w:tcW w:w="316"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color w:val="333333"/>
                <w:sz w:val="20"/>
                <w:szCs w:val="20"/>
              </w:rPr>
            </w:pPr>
          </w:p>
        </w:tc>
        <w:tc>
          <w:tcPr>
            <w:tcW w:w="655"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158ABB"/>
                <w:sz w:val="21"/>
                <w:szCs w:val="21"/>
              </w:rPr>
              <w:t>60</w:t>
            </w:r>
          </w:p>
        </w:tc>
        <w:tc>
          <w:tcPr>
            <w:tcW w:w="752" w:type="dxa"/>
            <w:tcBorders>
              <w:top w:val="single" w:sz="6" w:space="0" w:color="D2D2D2"/>
              <w:left w:val="nil"/>
              <w:bottom w:val="single" w:sz="6" w:space="0" w:color="D2D2D2"/>
              <w:right w:val="nil"/>
            </w:tcBorders>
            <w:shd w:val="clear" w:color="auto" w:fill="FFFFFF"/>
            <w:tcMar>
              <w:top w:w="60" w:type="dxa"/>
              <w:left w:w="120" w:type="dxa"/>
              <w:bottom w:w="60" w:type="dxa"/>
              <w:right w:w="30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333333"/>
                <w:sz w:val="21"/>
                <w:szCs w:val="21"/>
              </w:rPr>
              <w:t>4.4</w:t>
            </w:r>
          </w:p>
        </w:tc>
        <w:tc>
          <w:tcPr>
            <w:tcW w:w="633" w:type="dxa"/>
            <w:tcBorders>
              <w:top w:val="single" w:sz="6" w:space="0" w:color="D2D2D2"/>
              <w:left w:val="nil"/>
              <w:bottom w:val="single" w:sz="6" w:space="0" w:color="D2D2D2"/>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p>
        </w:tc>
        <w:tc>
          <w:tcPr>
            <w:tcW w:w="1267"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sz w:val="20"/>
                <w:szCs w:val="20"/>
              </w:rPr>
            </w:pPr>
          </w:p>
        </w:tc>
        <w:tc>
          <w:tcPr>
            <w:tcW w:w="164" w:type="dxa"/>
            <w:tcBorders>
              <w:top w:val="nil"/>
              <w:left w:val="nil"/>
              <w:bottom w:val="nil"/>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sz w:val="20"/>
                <w:szCs w:val="20"/>
              </w:rPr>
            </w:pPr>
          </w:p>
        </w:tc>
      </w:tr>
      <w:tr w:rsidR="00CF3946" w:rsidRPr="00CF3946" w:rsidTr="00CF3946">
        <w:trPr>
          <w:trHeight w:val="440"/>
        </w:trPr>
        <w:tc>
          <w:tcPr>
            <w:tcW w:w="5386" w:type="dxa"/>
            <w:tcBorders>
              <w:top w:val="single" w:sz="6" w:space="0" w:color="D2D2D2"/>
              <w:left w:val="nil"/>
              <w:bottom w:val="single" w:sz="6" w:space="0" w:color="D2D2D2"/>
              <w:right w:val="nil"/>
            </w:tcBorders>
            <w:shd w:val="clear" w:color="auto" w:fill="FFFFFF"/>
            <w:tcMar>
              <w:top w:w="60" w:type="dxa"/>
              <w:left w:w="300" w:type="dxa"/>
              <w:bottom w:w="60" w:type="dxa"/>
              <w:right w:w="150" w:type="dxa"/>
            </w:tcMar>
            <w:vAlign w:val="center"/>
            <w:hideMark/>
          </w:tcPr>
          <w:p w:rsidR="00CF3946" w:rsidRPr="00CF3946" w:rsidRDefault="00DA09AF" w:rsidP="00CF3946">
            <w:pPr>
              <w:spacing w:before="90" w:after="0" w:line="360" w:lineRule="atLeast"/>
              <w:rPr>
                <w:rFonts w:ascii="Times New Roman" w:eastAsia="Times New Roman" w:hAnsi="Times New Roman" w:cs="Times New Roman"/>
                <w:color w:val="333333"/>
                <w:sz w:val="20"/>
                <w:szCs w:val="20"/>
              </w:rPr>
            </w:pPr>
            <w:hyperlink r:id="rId21" w:anchor="indicatorId=EOSQ399" w:history="1">
              <w:r w:rsidR="00CF3946" w:rsidRPr="00B6094C">
                <w:rPr>
                  <w:rFonts w:ascii="Times New Roman" w:eastAsia="Times New Roman" w:hAnsi="Times New Roman" w:cs="Times New Roman"/>
                  <w:color w:val="000000"/>
                  <w:sz w:val="20"/>
                  <w:szCs w:val="20"/>
                  <w:u w:val="single"/>
                </w:rPr>
                <w:t>Country capacity to retain talent </w:t>
              </w:r>
              <w:r w:rsidR="00CF3946" w:rsidRPr="00B6094C">
                <w:rPr>
                  <w:rFonts w:ascii="Times New Roman" w:eastAsia="Times New Roman" w:hAnsi="Times New Roman" w:cs="Times New Roman"/>
                  <w:color w:val="000000"/>
                  <w:sz w:val="18"/>
                  <w:szCs w:val="18"/>
                  <w:u w:val="single"/>
                </w:rPr>
                <w:t>1-7 (best)</w:t>
              </w:r>
            </w:hyperlink>
          </w:p>
        </w:tc>
        <w:tc>
          <w:tcPr>
            <w:tcW w:w="316"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color w:val="333333"/>
                <w:sz w:val="20"/>
                <w:szCs w:val="20"/>
              </w:rPr>
            </w:pPr>
          </w:p>
        </w:tc>
        <w:tc>
          <w:tcPr>
            <w:tcW w:w="655"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158ABB"/>
                <w:sz w:val="21"/>
                <w:szCs w:val="21"/>
              </w:rPr>
              <w:t>102</w:t>
            </w:r>
          </w:p>
        </w:tc>
        <w:tc>
          <w:tcPr>
            <w:tcW w:w="752" w:type="dxa"/>
            <w:tcBorders>
              <w:top w:val="single" w:sz="6" w:space="0" w:color="D2D2D2"/>
              <w:left w:val="nil"/>
              <w:bottom w:val="single" w:sz="6" w:space="0" w:color="D2D2D2"/>
              <w:right w:val="nil"/>
            </w:tcBorders>
            <w:shd w:val="clear" w:color="auto" w:fill="FFFFFF"/>
            <w:tcMar>
              <w:top w:w="60" w:type="dxa"/>
              <w:left w:w="120" w:type="dxa"/>
              <w:bottom w:w="60" w:type="dxa"/>
              <w:right w:w="30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333333"/>
                <w:sz w:val="21"/>
                <w:szCs w:val="21"/>
              </w:rPr>
              <w:t>2.9</w:t>
            </w:r>
          </w:p>
        </w:tc>
        <w:tc>
          <w:tcPr>
            <w:tcW w:w="633" w:type="dxa"/>
            <w:tcBorders>
              <w:top w:val="single" w:sz="6" w:space="0" w:color="D2D2D2"/>
              <w:left w:val="nil"/>
              <w:bottom w:val="single" w:sz="6" w:space="0" w:color="D2D2D2"/>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p>
        </w:tc>
        <w:tc>
          <w:tcPr>
            <w:tcW w:w="1267"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sz w:val="20"/>
                <w:szCs w:val="20"/>
              </w:rPr>
            </w:pPr>
          </w:p>
        </w:tc>
        <w:tc>
          <w:tcPr>
            <w:tcW w:w="164" w:type="dxa"/>
            <w:tcBorders>
              <w:top w:val="nil"/>
              <w:left w:val="nil"/>
              <w:bottom w:val="nil"/>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sz w:val="20"/>
                <w:szCs w:val="20"/>
              </w:rPr>
            </w:pPr>
          </w:p>
        </w:tc>
      </w:tr>
      <w:tr w:rsidR="00CF3946" w:rsidRPr="00CF3946" w:rsidTr="00CF3946">
        <w:trPr>
          <w:trHeight w:val="440"/>
        </w:trPr>
        <w:tc>
          <w:tcPr>
            <w:tcW w:w="5386" w:type="dxa"/>
            <w:tcBorders>
              <w:top w:val="single" w:sz="6" w:space="0" w:color="D2D2D2"/>
              <w:left w:val="nil"/>
              <w:bottom w:val="single" w:sz="6" w:space="0" w:color="D2D2D2"/>
              <w:right w:val="nil"/>
            </w:tcBorders>
            <w:shd w:val="clear" w:color="auto" w:fill="FFFFFF"/>
            <w:tcMar>
              <w:top w:w="60" w:type="dxa"/>
              <w:left w:w="300" w:type="dxa"/>
              <w:bottom w:w="60" w:type="dxa"/>
              <w:right w:w="150" w:type="dxa"/>
            </w:tcMar>
            <w:vAlign w:val="center"/>
            <w:hideMark/>
          </w:tcPr>
          <w:p w:rsidR="00CF3946" w:rsidRPr="00CF3946" w:rsidRDefault="00DA09AF" w:rsidP="00CF3946">
            <w:pPr>
              <w:spacing w:before="90" w:after="0" w:line="360" w:lineRule="atLeast"/>
              <w:rPr>
                <w:rFonts w:ascii="Times New Roman" w:eastAsia="Times New Roman" w:hAnsi="Times New Roman" w:cs="Times New Roman"/>
                <w:color w:val="333333"/>
                <w:sz w:val="20"/>
                <w:szCs w:val="20"/>
              </w:rPr>
            </w:pPr>
            <w:hyperlink r:id="rId22" w:anchor="indicatorId=EOSQ400" w:history="1">
              <w:r w:rsidR="00CF3946" w:rsidRPr="00B6094C">
                <w:rPr>
                  <w:rFonts w:ascii="Times New Roman" w:eastAsia="Times New Roman" w:hAnsi="Times New Roman" w:cs="Times New Roman"/>
                  <w:color w:val="000000"/>
                  <w:sz w:val="20"/>
                  <w:szCs w:val="20"/>
                  <w:u w:val="single"/>
                </w:rPr>
                <w:t>Country capacity to attract talent </w:t>
              </w:r>
              <w:r w:rsidR="00CF3946" w:rsidRPr="00B6094C">
                <w:rPr>
                  <w:rFonts w:ascii="Times New Roman" w:eastAsia="Times New Roman" w:hAnsi="Times New Roman" w:cs="Times New Roman"/>
                  <w:color w:val="000000"/>
                  <w:sz w:val="18"/>
                  <w:szCs w:val="18"/>
                  <w:u w:val="single"/>
                </w:rPr>
                <w:t>1-7 (best)</w:t>
              </w:r>
            </w:hyperlink>
          </w:p>
        </w:tc>
        <w:tc>
          <w:tcPr>
            <w:tcW w:w="316"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color w:val="333333"/>
                <w:sz w:val="20"/>
                <w:szCs w:val="20"/>
              </w:rPr>
            </w:pPr>
          </w:p>
        </w:tc>
        <w:tc>
          <w:tcPr>
            <w:tcW w:w="655"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158ABB"/>
                <w:sz w:val="21"/>
                <w:szCs w:val="21"/>
              </w:rPr>
              <w:t>117</w:t>
            </w:r>
          </w:p>
        </w:tc>
        <w:tc>
          <w:tcPr>
            <w:tcW w:w="752" w:type="dxa"/>
            <w:tcBorders>
              <w:top w:val="single" w:sz="6" w:space="0" w:color="D2D2D2"/>
              <w:left w:val="nil"/>
              <w:bottom w:val="single" w:sz="6" w:space="0" w:color="D2D2D2"/>
              <w:right w:val="nil"/>
            </w:tcBorders>
            <w:shd w:val="clear" w:color="auto" w:fill="FFFFFF"/>
            <w:tcMar>
              <w:top w:w="60" w:type="dxa"/>
              <w:left w:w="120" w:type="dxa"/>
              <w:bottom w:w="60" w:type="dxa"/>
              <w:right w:w="30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333333"/>
                <w:sz w:val="21"/>
                <w:szCs w:val="21"/>
              </w:rPr>
              <w:t>2.5</w:t>
            </w:r>
          </w:p>
        </w:tc>
        <w:tc>
          <w:tcPr>
            <w:tcW w:w="633" w:type="dxa"/>
            <w:tcBorders>
              <w:top w:val="single" w:sz="6" w:space="0" w:color="D2D2D2"/>
              <w:left w:val="nil"/>
              <w:bottom w:val="single" w:sz="6" w:space="0" w:color="D2D2D2"/>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p>
        </w:tc>
        <w:tc>
          <w:tcPr>
            <w:tcW w:w="1267"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sz w:val="20"/>
                <w:szCs w:val="20"/>
              </w:rPr>
            </w:pPr>
          </w:p>
        </w:tc>
        <w:tc>
          <w:tcPr>
            <w:tcW w:w="164" w:type="dxa"/>
            <w:tcBorders>
              <w:top w:val="nil"/>
              <w:left w:val="nil"/>
              <w:bottom w:val="nil"/>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sz w:val="20"/>
                <w:szCs w:val="20"/>
              </w:rPr>
            </w:pPr>
          </w:p>
        </w:tc>
      </w:tr>
      <w:tr w:rsidR="00CF3946" w:rsidRPr="00CF3946" w:rsidTr="00CF3946">
        <w:trPr>
          <w:trHeight w:val="440"/>
        </w:trPr>
        <w:tc>
          <w:tcPr>
            <w:tcW w:w="5386" w:type="dxa"/>
            <w:tcBorders>
              <w:top w:val="single" w:sz="6" w:space="0" w:color="D2D2D2"/>
              <w:left w:val="nil"/>
              <w:bottom w:val="single" w:sz="6" w:space="0" w:color="D2D2D2"/>
              <w:right w:val="nil"/>
            </w:tcBorders>
            <w:shd w:val="clear" w:color="auto" w:fill="FFFFFF"/>
            <w:tcMar>
              <w:top w:w="60" w:type="dxa"/>
              <w:left w:w="300" w:type="dxa"/>
              <w:bottom w:w="60" w:type="dxa"/>
              <w:right w:w="150" w:type="dxa"/>
            </w:tcMar>
            <w:vAlign w:val="center"/>
            <w:hideMark/>
          </w:tcPr>
          <w:p w:rsidR="00CF3946" w:rsidRPr="00CF3946" w:rsidRDefault="00DA09AF" w:rsidP="00CF3946">
            <w:pPr>
              <w:spacing w:before="90" w:after="0" w:line="360" w:lineRule="atLeast"/>
              <w:rPr>
                <w:rFonts w:ascii="Times New Roman" w:eastAsia="Times New Roman" w:hAnsi="Times New Roman" w:cs="Times New Roman"/>
                <w:color w:val="333333"/>
                <w:sz w:val="20"/>
                <w:szCs w:val="20"/>
              </w:rPr>
            </w:pPr>
            <w:hyperlink r:id="rId23" w:anchor="indicatorId=FEMLABOR" w:history="1">
              <w:r w:rsidR="00CF3946" w:rsidRPr="00B6094C">
                <w:rPr>
                  <w:rFonts w:ascii="Times New Roman" w:eastAsia="Times New Roman" w:hAnsi="Times New Roman" w:cs="Times New Roman"/>
                  <w:color w:val="000000"/>
                  <w:sz w:val="20"/>
                  <w:szCs w:val="20"/>
                  <w:u w:val="single"/>
                </w:rPr>
                <w:t>Female participation in the labor force </w:t>
              </w:r>
              <w:r w:rsidR="00CF3946" w:rsidRPr="00B6094C">
                <w:rPr>
                  <w:rFonts w:ascii="Times New Roman" w:eastAsia="Times New Roman" w:hAnsi="Times New Roman" w:cs="Times New Roman"/>
                  <w:color w:val="000000"/>
                  <w:sz w:val="18"/>
                  <w:szCs w:val="18"/>
                  <w:u w:val="single"/>
                </w:rPr>
                <w:t>ratio to men</w:t>
              </w:r>
            </w:hyperlink>
          </w:p>
        </w:tc>
        <w:tc>
          <w:tcPr>
            <w:tcW w:w="316"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color w:val="333333"/>
                <w:sz w:val="20"/>
                <w:szCs w:val="20"/>
              </w:rPr>
            </w:pPr>
          </w:p>
        </w:tc>
        <w:tc>
          <w:tcPr>
            <w:tcW w:w="655"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158ABB"/>
                <w:sz w:val="21"/>
                <w:szCs w:val="21"/>
              </w:rPr>
              <w:t>84</w:t>
            </w:r>
          </w:p>
        </w:tc>
        <w:tc>
          <w:tcPr>
            <w:tcW w:w="752" w:type="dxa"/>
            <w:tcBorders>
              <w:top w:val="single" w:sz="6" w:space="0" w:color="D2D2D2"/>
              <w:left w:val="nil"/>
              <w:bottom w:val="single" w:sz="6" w:space="0" w:color="D2D2D2"/>
              <w:right w:val="nil"/>
            </w:tcBorders>
            <w:shd w:val="clear" w:color="auto" w:fill="FFFFFF"/>
            <w:tcMar>
              <w:top w:w="60" w:type="dxa"/>
              <w:left w:w="120" w:type="dxa"/>
              <w:bottom w:w="60" w:type="dxa"/>
              <w:right w:w="30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r w:rsidRPr="00B6094C">
              <w:rPr>
                <w:rFonts w:ascii="Times New Roman" w:eastAsia="Times New Roman" w:hAnsi="Times New Roman" w:cs="Times New Roman"/>
                <w:color w:val="333333"/>
                <w:sz w:val="21"/>
                <w:szCs w:val="21"/>
              </w:rPr>
              <w:t>0.8</w:t>
            </w:r>
          </w:p>
        </w:tc>
        <w:tc>
          <w:tcPr>
            <w:tcW w:w="633" w:type="dxa"/>
            <w:tcBorders>
              <w:top w:val="single" w:sz="6" w:space="0" w:color="D2D2D2"/>
              <w:left w:val="nil"/>
              <w:bottom w:val="single" w:sz="6" w:space="0" w:color="D2D2D2"/>
              <w:right w:val="nil"/>
            </w:tcBorders>
            <w:shd w:val="clear" w:color="auto" w:fill="FFFFFF"/>
            <w:tcMar>
              <w:top w:w="60" w:type="dxa"/>
              <w:left w:w="0" w:type="dxa"/>
              <w:bottom w:w="60" w:type="dxa"/>
              <w:right w:w="150" w:type="dxa"/>
            </w:tcMar>
            <w:vAlign w:val="center"/>
            <w:hideMark/>
          </w:tcPr>
          <w:p w:rsidR="00CF3946" w:rsidRPr="00CF3946" w:rsidRDefault="00CF3946" w:rsidP="00CF3946">
            <w:pPr>
              <w:spacing w:before="90" w:after="0" w:line="360" w:lineRule="atLeast"/>
              <w:jc w:val="right"/>
              <w:rPr>
                <w:rFonts w:ascii="Times New Roman" w:eastAsia="Times New Roman" w:hAnsi="Times New Roman" w:cs="Times New Roman"/>
                <w:color w:val="333333"/>
                <w:sz w:val="21"/>
                <w:szCs w:val="21"/>
              </w:rPr>
            </w:pPr>
          </w:p>
        </w:tc>
        <w:tc>
          <w:tcPr>
            <w:tcW w:w="1267" w:type="dxa"/>
            <w:tcBorders>
              <w:top w:val="single" w:sz="6" w:space="0" w:color="D2D2D2"/>
              <w:left w:val="nil"/>
              <w:bottom w:val="single" w:sz="6" w:space="0" w:color="D2D2D2"/>
              <w:right w:val="nil"/>
            </w:tcBorders>
            <w:shd w:val="clear" w:color="auto" w:fill="FFFFFF"/>
            <w:tcMar>
              <w:top w:w="60" w:type="dxa"/>
              <w:left w:w="120" w:type="dxa"/>
              <w:bottom w:w="60" w:type="dxa"/>
              <w:right w:w="150" w:type="dxa"/>
            </w:tcMar>
            <w:vAlign w:val="center"/>
            <w:hideMark/>
          </w:tcPr>
          <w:p w:rsidR="00CF3946" w:rsidRPr="00CF3946" w:rsidRDefault="00CF3946" w:rsidP="00CF3946">
            <w:pPr>
              <w:spacing w:before="90" w:after="0" w:line="360" w:lineRule="atLeast"/>
              <w:rPr>
                <w:rFonts w:ascii="Times New Roman" w:eastAsia="Times New Roman" w:hAnsi="Times New Roman" w:cs="Times New Roman"/>
                <w:sz w:val="20"/>
                <w:szCs w:val="20"/>
              </w:rPr>
            </w:pPr>
          </w:p>
        </w:tc>
        <w:tc>
          <w:tcPr>
            <w:tcW w:w="0" w:type="auto"/>
            <w:shd w:val="clear" w:color="auto" w:fill="FFFFFF"/>
            <w:vAlign w:val="center"/>
            <w:hideMark/>
          </w:tcPr>
          <w:p w:rsidR="00CF3946" w:rsidRPr="00CF3946" w:rsidRDefault="00CF3946" w:rsidP="00CF3946">
            <w:pPr>
              <w:spacing w:before="90" w:after="0" w:line="240" w:lineRule="auto"/>
              <w:rPr>
                <w:rFonts w:ascii="Times New Roman" w:eastAsia="Times New Roman" w:hAnsi="Times New Roman" w:cs="Times New Roman"/>
                <w:sz w:val="20"/>
                <w:szCs w:val="20"/>
              </w:rPr>
            </w:pPr>
          </w:p>
        </w:tc>
      </w:tr>
    </w:tbl>
    <w:p w:rsidR="00CF3946" w:rsidRDefault="00CF3946" w:rsidP="00FA2BE2">
      <w:pPr>
        <w:rPr>
          <w:rFonts w:ascii="Times New Roman" w:hAnsi="Times New Roman" w:cs="Times New Roman"/>
        </w:rPr>
      </w:pPr>
    </w:p>
    <w:p w:rsidR="00A65AFF" w:rsidRDefault="00A65AFF" w:rsidP="00FA2BE2">
      <w:pPr>
        <w:rPr>
          <w:rFonts w:ascii="Times New Roman" w:hAnsi="Times New Roman" w:cs="Times New Roman"/>
        </w:rPr>
      </w:pPr>
    </w:p>
    <w:p w:rsidR="00A65AFF" w:rsidRDefault="00A65AFF" w:rsidP="00A65AFF">
      <w:pPr>
        <w:pStyle w:val="ListParagraph"/>
        <w:numPr>
          <w:ilvl w:val="0"/>
          <w:numId w:val="2"/>
        </w:numPr>
      </w:pPr>
      <w:r>
        <w:t xml:space="preserve">The </w:t>
      </w:r>
      <w:r w:rsidRPr="00A24A5E">
        <w:rPr>
          <w:b/>
          <w:bCs/>
        </w:rPr>
        <w:t>Human Development Index</w:t>
      </w:r>
      <w:r>
        <w:t xml:space="preserve"> (</w:t>
      </w:r>
      <w:r w:rsidRPr="00A24A5E">
        <w:rPr>
          <w:b/>
          <w:bCs/>
        </w:rPr>
        <w:t>HDI</w:t>
      </w:r>
      <w:r>
        <w:t xml:space="preserve">) (UNDP) is a statistic composite index of </w:t>
      </w:r>
      <w:hyperlink r:id="rId24" w:tooltip="Life expectancy" w:history="1">
        <w:r>
          <w:rPr>
            <w:rStyle w:val="Hyperlink"/>
          </w:rPr>
          <w:t>life expectancy</w:t>
        </w:r>
      </w:hyperlink>
      <w:r>
        <w:t xml:space="preserve">, </w:t>
      </w:r>
      <w:hyperlink r:id="rId25" w:tooltip="Education" w:history="1">
        <w:r>
          <w:rPr>
            <w:rStyle w:val="Hyperlink"/>
          </w:rPr>
          <w:t>education</w:t>
        </w:r>
      </w:hyperlink>
      <w:r>
        <w:t xml:space="preserve">, and </w:t>
      </w:r>
      <w:hyperlink r:id="rId26" w:tooltip="Per capita income" w:history="1">
        <w:r>
          <w:rPr>
            <w:rStyle w:val="Hyperlink"/>
          </w:rPr>
          <w:t>per capita income</w:t>
        </w:r>
      </w:hyperlink>
      <w:r>
        <w:t xml:space="preserve"> indicators, which are used to rank countries into four tiers of </w:t>
      </w:r>
      <w:hyperlink r:id="rId27" w:tooltip="Human development (humanity)" w:history="1">
        <w:r>
          <w:rPr>
            <w:rStyle w:val="Hyperlink"/>
          </w:rPr>
          <w:t>human development</w:t>
        </w:r>
      </w:hyperlink>
      <w:r>
        <w:t xml:space="preserve">. A country scores a higher HDI when the </w:t>
      </w:r>
      <w:hyperlink r:id="rId28" w:tooltip="Life expectancy at birth" w:history="1">
        <w:r>
          <w:rPr>
            <w:rStyle w:val="Hyperlink"/>
          </w:rPr>
          <w:t>lifespan</w:t>
        </w:r>
      </w:hyperlink>
      <w:r>
        <w:t xml:space="preserve"> is higher, the </w:t>
      </w:r>
      <w:hyperlink r:id="rId29" w:tooltip="Education" w:history="1">
        <w:r>
          <w:rPr>
            <w:rStyle w:val="Hyperlink"/>
          </w:rPr>
          <w:t>education</w:t>
        </w:r>
      </w:hyperlink>
      <w:r>
        <w:t xml:space="preserve"> level is higher, and the </w:t>
      </w:r>
      <w:hyperlink r:id="rId30" w:tooltip="GDP per capita" w:history="1">
        <w:r>
          <w:rPr>
            <w:rStyle w:val="Hyperlink"/>
          </w:rPr>
          <w:t>GDP per capita</w:t>
        </w:r>
      </w:hyperlink>
      <w:r>
        <w:t xml:space="preserve"> is higher.  Last report issued on September 14, 2018. Georgia’s index is 0.78 – High Human Development. Rank – 70. - </w:t>
      </w:r>
      <w:hyperlink r:id="rId31" w:history="1">
        <w:r w:rsidRPr="0002119A">
          <w:rPr>
            <w:rStyle w:val="Hyperlink"/>
          </w:rPr>
          <w:t>http://hdr.undp.org/en/2018-update</w:t>
        </w:r>
      </w:hyperlink>
      <w:r>
        <w:t xml:space="preserve"> </w:t>
      </w:r>
    </w:p>
    <w:p w:rsidR="00A65AFF" w:rsidRDefault="00A65AFF" w:rsidP="00A65AFF">
      <w:pPr>
        <w:pStyle w:val="ListParagraph"/>
      </w:pPr>
    </w:p>
    <w:p w:rsidR="00A65AFF" w:rsidRDefault="00A65AFF" w:rsidP="00A65AFF"/>
    <w:p w:rsidR="00A65AFF" w:rsidRPr="00A24A5E" w:rsidRDefault="00A65AFF" w:rsidP="00A65AFF">
      <w:pPr>
        <w:pStyle w:val="ListParagraph"/>
        <w:numPr>
          <w:ilvl w:val="0"/>
          <w:numId w:val="2"/>
        </w:numPr>
        <w:rPr>
          <w:rFonts w:ascii="Times New Roman" w:eastAsia="Times New Roman" w:hAnsi="Times New Roman" w:cs="Times New Roman"/>
          <w:b/>
          <w:sz w:val="24"/>
          <w:szCs w:val="24"/>
        </w:rPr>
      </w:pPr>
      <w:r w:rsidRPr="00A24A5E">
        <w:rPr>
          <w:b/>
        </w:rPr>
        <w:t xml:space="preserve">US Department of State Trafficking in Persons report – </w:t>
      </w:r>
      <w:hyperlink r:id="rId32" w:history="1">
        <w:r w:rsidRPr="00A24A5E">
          <w:rPr>
            <w:rFonts w:ascii="Times New Roman" w:eastAsia="Times New Roman" w:hAnsi="Times New Roman" w:cs="Times New Roman"/>
            <w:b/>
            <w:color w:val="0000FF"/>
            <w:sz w:val="24"/>
            <w:szCs w:val="24"/>
            <w:u w:val="single"/>
          </w:rPr>
          <w:t>2018 Trafficking in Persons Report</w:t>
        </w:r>
      </w:hyperlink>
      <w:r w:rsidRPr="00A24A5E">
        <w:rPr>
          <w:rFonts w:ascii="Times New Roman" w:eastAsia="Times New Roman" w:hAnsi="Times New Roman" w:cs="Times New Roman"/>
          <w:b/>
          <w:sz w:val="24"/>
          <w:szCs w:val="24"/>
        </w:rPr>
        <w:t xml:space="preserve"> -Georgia is placed in Tier 1</w:t>
      </w:r>
    </w:p>
    <w:p w:rsidR="00A65AFF" w:rsidRDefault="00A65AFF" w:rsidP="00A65AFF">
      <w:pPr>
        <w:pStyle w:val="ListParagraph"/>
      </w:pPr>
    </w:p>
    <w:p w:rsidR="00A65AFF" w:rsidRDefault="00A65AFF" w:rsidP="00A65AFF">
      <w:r>
        <w:t xml:space="preserve">The Department of State prepares </w:t>
      </w:r>
      <w:r w:rsidRPr="00A24A5E">
        <w:rPr>
          <w:i/>
          <w:iCs/>
        </w:rPr>
        <w:t>Report</w:t>
      </w:r>
      <w:r>
        <w:t xml:space="preserve"> using information from U.S. embassies, government officials, nongovernmental and international organizations, published reports, news articles, academic studies, and research trips to every region of the world, and information submitted to </w:t>
      </w:r>
      <w:hyperlink r:id="rId33" w:history="1">
        <w:r w:rsidRPr="0002119A">
          <w:rPr>
            <w:rStyle w:val="Hyperlink"/>
          </w:rPr>
          <w:t>tipreport@state.gov</w:t>
        </w:r>
      </w:hyperlink>
      <w:r>
        <w:t>.</w:t>
      </w:r>
    </w:p>
    <w:p w:rsidR="00A65AFF" w:rsidRDefault="00A65AFF" w:rsidP="00A65AFF">
      <w:pPr>
        <w:pStyle w:val="NormalWeb"/>
      </w:pPr>
      <w:r>
        <w:rPr>
          <w:rStyle w:val="Strong"/>
        </w:rPr>
        <w:t>Guide to the Tiers</w:t>
      </w:r>
      <w:r>
        <w:t xml:space="preserve"> </w:t>
      </w:r>
    </w:p>
    <w:p w:rsidR="00A65AFF" w:rsidRDefault="00A65AFF" w:rsidP="00A65AFF">
      <w:pPr>
        <w:pStyle w:val="NormalWeb"/>
      </w:pPr>
      <w:r>
        <w:rPr>
          <w:i/>
          <w:iCs/>
        </w:rPr>
        <w:t>Tier 1</w:t>
      </w:r>
      <w:r>
        <w:t xml:space="preserve"> </w:t>
      </w:r>
    </w:p>
    <w:p w:rsidR="00A65AFF" w:rsidRDefault="00A65AFF" w:rsidP="00A65AFF">
      <w:pPr>
        <w:pStyle w:val="NormalWeb"/>
      </w:pPr>
      <w:proofErr w:type="gramStart"/>
      <w:r>
        <w:t>The governments of countries that fully meet the TVPA’s minimum standards for the elimination of trafficking.</w:t>
      </w:r>
      <w:proofErr w:type="gramEnd"/>
      <w:r>
        <w:t xml:space="preserve"> </w:t>
      </w:r>
      <w:bookmarkStart w:id="0" w:name="_GoBack"/>
      <w:bookmarkEnd w:id="0"/>
    </w:p>
    <w:p w:rsidR="00A65AFF" w:rsidRDefault="00A65AFF" w:rsidP="00A65AFF">
      <w:pPr>
        <w:pStyle w:val="NormalWeb"/>
      </w:pPr>
      <w:r>
        <w:rPr>
          <w:i/>
          <w:iCs/>
        </w:rPr>
        <w:t>Tier 2</w:t>
      </w:r>
      <w:r>
        <w:t xml:space="preserve"> </w:t>
      </w:r>
    </w:p>
    <w:p w:rsidR="00A65AFF" w:rsidRDefault="00A65AFF" w:rsidP="00A65AFF">
      <w:pPr>
        <w:pStyle w:val="NormalWeb"/>
      </w:pPr>
      <w:proofErr w:type="gramStart"/>
      <w:r>
        <w:t>The governments of countries that do not fully meet the TVPA’s minimum standards, but are making significant efforts to bring themselves into compliance with those standards.</w:t>
      </w:r>
      <w:proofErr w:type="gramEnd"/>
      <w:r>
        <w:t xml:space="preserve"> </w:t>
      </w:r>
    </w:p>
    <w:p w:rsidR="00A65AFF" w:rsidRDefault="00A65AFF" w:rsidP="00A65AFF">
      <w:pPr>
        <w:pStyle w:val="NormalWeb"/>
      </w:pPr>
      <w:r>
        <w:rPr>
          <w:i/>
          <w:iCs/>
        </w:rPr>
        <w:t>Tier 2 Watch List</w:t>
      </w:r>
      <w:r>
        <w:t xml:space="preserve"> </w:t>
      </w:r>
    </w:p>
    <w:p w:rsidR="00A65AFF" w:rsidRDefault="00A65AFF" w:rsidP="00A65AFF">
      <w:pPr>
        <w:pStyle w:val="NormalWeb"/>
      </w:pPr>
      <w:proofErr w:type="gramStart"/>
      <w:r>
        <w:t>The government of countries that do not fully meet the TVPA’s minimum standards, but are making significant efforts to bring themselves into compliance with those standards.</w:t>
      </w:r>
      <w:proofErr w:type="gramEnd"/>
      <w:r>
        <w:t xml:space="preserve"> </w:t>
      </w:r>
    </w:p>
    <w:p w:rsidR="00A65AFF" w:rsidRDefault="00A65AFF" w:rsidP="00A65AFF">
      <w:pPr>
        <w:pStyle w:val="NormalWeb"/>
      </w:pPr>
      <w:r>
        <w:rPr>
          <w:i/>
          <w:iCs/>
        </w:rPr>
        <w:t>Tier 3</w:t>
      </w:r>
      <w:r>
        <w:t xml:space="preserve"> </w:t>
      </w:r>
    </w:p>
    <w:p w:rsidR="00A65AFF" w:rsidRDefault="00A65AFF" w:rsidP="00A65AFF">
      <w:pPr>
        <w:pStyle w:val="NormalWeb"/>
      </w:pPr>
      <w:proofErr w:type="gramStart"/>
      <w:r>
        <w:t>The governments of countries that do not fully meet the TVPA’s minimum standards and are not making significant efforts to do so.</w:t>
      </w:r>
      <w:proofErr w:type="gramEnd"/>
      <w:r>
        <w:t xml:space="preserve"> </w:t>
      </w:r>
    </w:p>
    <w:p w:rsidR="00A65AFF" w:rsidRPr="00B6094C" w:rsidRDefault="00A65AFF" w:rsidP="00FA2BE2">
      <w:pPr>
        <w:rPr>
          <w:rFonts w:ascii="Times New Roman" w:hAnsi="Times New Roman" w:cs="Times New Roman"/>
        </w:rPr>
      </w:pPr>
    </w:p>
    <w:sectPr w:rsidR="00A65AFF" w:rsidRPr="00B60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5CBC"/>
    <w:multiLevelType w:val="hybridMultilevel"/>
    <w:tmpl w:val="17DA84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F14D9"/>
    <w:multiLevelType w:val="hybridMultilevel"/>
    <w:tmpl w:val="9FBA2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BC9"/>
    <w:rsid w:val="000D3A62"/>
    <w:rsid w:val="00347037"/>
    <w:rsid w:val="00387E6B"/>
    <w:rsid w:val="003B0B2D"/>
    <w:rsid w:val="00426907"/>
    <w:rsid w:val="0049544F"/>
    <w:rsid w:val="004B65E0"/>
    <w:rsid w:val="0054220F"/>
    <w:rsid w:val="00545AF4"/>
    <w:rsid w:val="0054658C"/>
    <w:rsid w:val="00676D04"/>
    <w:rsid w:val="00872ED3"/>
    <w:rsid w:val="00A65AFF"/>
    <w:rsid w:val="00AC1B78"/>
    <w:rsid w:val="00AD0F56"/>
    <w:rsid w:val="00B6094C"/>
    <w:rsid w:val="00C15552"/>
    <w:rsid w:val="00CA5AF1"/>
    <w:rsid w:val="00CF3946"/>
    <w:rsid w:val="00DA09AF"/>
    <w:rsid w:val="00DA0EE4"/>
    <w:rsid w:val="00E90BEA"/>
    <w:rsid w:val="00F516FC"/>
    <w:rsid w:val="00FA2BE2"/>
    <w:rsid w:val="00FE1BC9"/>
    <w:rsid w:val="00FF4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4B65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FA2BE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2E6"/>
    <w:rPr>
      <w:color w:val="0000FF"/>
      <w:u w:val="single"/>
    </w:rPr>
  </w:style>
  <w:style w:type="character" w:customStyle="1" w:styleId="measurement">
    <w:name w:val="measurement"/>
    <w:basedOn w:val="DefaultParagraphFont"/>
    <w:rsid w:val="00FF42E6"/>
  </w:style>
  <w:style w:type="character" w:customStyle="1" w:styleId="thechange">
    <w:name w:val="the_change"/>
    <w:basedOn w:val="DefaultParagraphFont"/>
    <w:rsid w:val="00FF42E6"/>
  </w:style>
  <w:style w:type="paragraph" w:styleId="NormalWeb">
    <w:name w:val="Normal (Web)"/>
    <w:basedOn w:val="Normal"/>
    <w:uiPriority w:val="99"/>
    <w:semiHidden/>
    <w:unhideWhenUsed/>
    <w:rsid w:val="004954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A2BE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4B65E0"/>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54220F"/>
    <w:rPr>
      <w:i/>
      <w:iCs/>
    </w:rPr>
  </w:style>
  <w:style w:type="character" w:styleId="Strong">
    <w:name w:val="Strong"/>
    <w:basedOn w:val="DefaultParagraphFont"/>
    <w:uiPriority w:val="22"/>
    <w:qFormat/>
    <w:rsid w:val="00AD0F56"/>
    <w:rPr>
      <w:b/>
      <w:bCs/>
    </w:rPr>
  </w:style>
  <w:style w:type="paragraph" w:styleId="ListParagraph">
    <w:name w:val="List Paragraph"/>
    <w:basedOn w:val="Normal"/>
    <w:uiPriority w:val="34"/>
    <w:qFormat/>
    <w:rsid w:val="00A65AFF"/>
    <w:pPr>
      <w:spacing w:after="200" w:line="276" w:lineRule="auto"/>
      <w:ind w:left="720"/>
      <w:contextualSpacing/>
    </w:pPr>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4B65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FA2BE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2E6"/>
    <w:rPr>
      <w:color w:val="0000FF"/>
      <w:u w:val="single"/>
    </w:rPr>
  </w:style>
  <w:style w:type="character" w:customStyle="1" w:styleId="measurement">
    <w:name w:val="measurement"/>
    <w:basedOn w:val="DefaultParagraphFont"/>
    <w:rsid w:val="00FF42E6"/>
  </w:style>
  <w:style w:type="character" w:customStyle="1" w:styleId="thechange">
    <w:name w:val="the_change"/>
    <w:basedOn w:val="DefaultParagraphFont"/>
    <w:rsid w:val="00FF42E6"/>
  </w:style>
  <w:style w:type="paragraph" w:styleId="NormalWeb">
    <w:name w:val="Normal (Web)"/>
    <w:basedOn w:val="Normal"/>
    <w:uiPriority w:val="99"/>
    <w:semiHidden/>
    <w:unhideWhenUsed/>
    <w:rsid w:val="004954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A2BE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4B65E0"/>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54220F"/>
    <w:rPr>
      <w:i/>
      <w:iCs/>
    </w:rPr>
  </w:style>
  <w:style w:type="character" w:styleId="Strong">
    <w:name w:val="Strong"/>
    <w:basedOn w:val="DefaultParagraphFont"/>
    <w:uiPriority w:val="22"/>
    <w:qFormat/>
    <w:rsid w:val="00AD0F56"/>
    <w:rPr>
      <w:b/>
      <w:bCs/>
    </w:rPr>
  </w:style>
  <w:style w:type="paragraph" w:styleId="ListParagraph">
    <w:name w:val="List Paragraph"/>
    <w:basedOn w:val="Normal"/>
    <w:uiPriority w:val="34"/>
    <w:qFormat/>
    <w:rsid w:val="00A65AFF"/>
    <w:pPr>
      <w:spacing w:after="200" w:line="276" w:lineRule="auto"/>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014">
      <w:bodyDiv w:val="1"/>
      <w:marLeft w:val="0"/>
      <w:marRight w:val="0"/>
      <w:marTop w:val="0"/>
      <w:marBottom w:val="0"/>
      <w:divBdr>
        <w:top w:val="none" w:sz="0" w:space="0" w:color="auto"/>
        <w:left w:val="none" w:sz="0" w:space="0" w:color="auto"/>
        <w:bottom w:val="none" w:sz="0" w:space="0" w:color="auto"/>
        <w:right w:val="none" w:sz="0" w:space="0" w:color="auto"/>
      </w:divBdr>
    </w:div>
    <w:div w:id="189686733">
      <w:bodyDiv w:val="1"/>
      <w:marLeft w:val="0"/>
      <w:marRight w:val="0"/>
      <w:marTop w:val="0"/>
      <w:marBottom w:val="0"/>
      <w:divBdr>
        <w:top w:val="none" w:sz="0" w:space="0" w:color="auto"/>
        <w:left w:val="none" w:sz="0" w:space="0" w:color="auto"/>
        <w:bottom w:val="none" w:sz="0" w:space="0" w:color="auto"/>
        <w:right w:val="none" w:sz="0" w:space="0" w:color="auto"/>
      </w:divBdr>
    </w:div>
    <w:div w:id="1278833974">
      <w:bodyDiv w:val="1"/>
      <w:marLeft w:val="0"/>
      <w:marRight w:val="0"/>
      <w:marTop w:val="0"/>
      <w:marBottom w:val="0"/>
      <w:divBdr>
        <w:top w:val="none" w:sz="0" w:space="0" w:color="auto"/>
        <w:left w:val="none" w:sz="0" w:space="0" w:color="auto"/>
        <w:bottom w:val="none" w:sz="0" w:space="0" w:color="auto"/>
        <w:right w:val="none" w:sz="0" w:space="0" w:color="auto"/>
      </w:divBdr>
    </w:div>
    <w:div w:id="1282803772">
      <w:bodyDiv w:val="1"/>
      <w:marLeft w:val="0"/>
      <w:marRight w:val="0"/>
      <w:marTop w:val="0"/>
      <w:marBottom w:val="0"/>
      <w:divBdr>
        <w:top w:val="none" w:sz="0" w:space="0" w:color="auto"/>
        <w:left w:val="none" w:sz="0" w:space="0" w:color="auto"/>
        <w:bottom w:val="none" w:sz="0" w:space="0" w:color="auto"/>
        <w:right w:val="none" w:sz="0" w:space="0" w:color="auto"/>
      </w:divBdr>
    </w:div>
    <w:div w:id="1685088162">
      <w:bodyDiv w:val="1"/>
      <w:marLeft w:val="0"/>
      <w:marRight w:val="0"/>
      <w:marTop w:val="0"/>
      <w:marBottom w:val="0"/>
      <w:divBdr>
        <w:top w:val="none" w:sz="0" w:space="0" w:color="auto"/>
        <w:left w:val="none" w:sz="0" w:space="0" w:color="auto"/>
        <w:bottom w:val="none" w:sz="0" w:space="0" w:color="auto"/>
        <w:right w:val="none" w:sz="0" w:space="0" w:color="auto"/>
      </w:divBdr>
    </w:div>
    <w:div w:id="199190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domhouse.org/report/freedom-world/freedom-world-2018" TargetMode="External"/><Relationship Id="rId13" Type="http://schemas.openxmlformats.org/officeDocument/2006/relationships/hyperlink" Target="http://reports.weforum.org/global-competitiveness-report-2015-2016/competitiveness-rankings/" TargetMode="External"/><Relationship Id="rId18" Type="http://schemas.openxmlformats.org/officeDocument/2006/relationships/hyperlink" Target="http://reports.weforum.org/global-competitiveness-report-2015-2016/competitiveness-rankings/" TargetMode="External"/><Relationship Id="rId26" Type="http://schemas.openxmlformats.org/officeDocument/2006/relationships/hyperlink" Target="https://en.wikipedia.org/wiki/Per_capita_income" TargetMode="External"/><Relationship Id="rId3" Type="http://schemas.microsoft.com/office/2007/relationships/stylesWithEffects" Target="stylesWithEffects.xml"/><Relationship Id="rId21" Type="http://schemas.openxmlformats.org/officeDocument/2006/relationships/hyperlink" Target="http://reports.weforum.org/global-competitiveness-report-2015-2016/competitiveness-rankings/" TargetMode="External"/><Relationship Id="rId34" Type="http://schemas.openxmlformats.org/officeDocument/2006/relationships/fontTable" Target="fontTable.xml"/><Relationship Id="rId7" Type="http://schemas.openxmlformats.org/officeDocument/2006/relationships/hyperlink" Target="https://www.fraserinstitute.org/sites/default/files/economic-freedom-of-the-world-2018.pdf" TargetMode="External"/><Relationship Id="rId12" Type="http://schemas.openxmlformats.org/officeDocument/2006/relationships/hyperlink" Target="http://reports.weforum.org/global-competitiveness-report-2015-2016/competitiveness-rankings/" TargetMode="External"/><Relationship Id="rId17" Type="http://schemas.openxmlformats.org/officeDocument/2006/relationships/hyperlink" Target="http://reports.weforum.org/global-competitiveness-report-2015-2016/competitiveness-rankings/" TargetMode="External"/><Relationship Id="rId25" Type="http://schemas.openxmlformats.org/officeDocument/2006/relationships/hyperlink" Target="https://en.wikipedia.org/wiki/Education" TargetMode="External"/><Relationship Id="rId33" Type="http://schemas.openxmlformats.org/officeDocument/2006/relationships/hyperlink" Target="mailto:tipreport@state.gov" TargetMode="External"/><Relationship Id="rId2" Type="http://schemas.openxmlformats.org/officeDocument/2006/relationships/styles" Target="styles.xml"/><Relationship Id="rId16" Type="http://schemas.openxmlformats.org/officeDocument/2006/relationships/hyperlink" Target="http://reports.weforum.org/global-competitiveness-report-2015-2016/competitiveness-rankings/" TargetMode="External"/><Relationship Id="rId20" Type="http://schemas.openxmlformats.org/officeDocument/2006/relationships/hyperlink" Target="http://reports.weforum.org/global-competitiveness-report-2015-2016/competitiveness-rankings/" TargetMode="External"/><Relationship Id="rId29" Type="http://schemas.openxmlformats.org/officeDocument/2006/relationships/hyperlink" Target="https://en.wikipedia.org/wiki/Education" TargetMode="External"/><Relationship Id="rId1" Type="http://schemas.openxmlformats.org/officeDocument/2006/relationships/numbering" Target="numbering.xml"/><Relationship Id="rId6" Type="http://schemas.openxmlformats.org/officeDocument/2006/relationships/hyperlink" Target="http://www.economy.ge/uploads/files/2017/reitingebi/heritage_2018_geo.pdf" TargetMode="External"/><Relationship Id="rId11" Type="http://schemas.openxmlformats.org/officeDocument/2006/relationships/hyperlink" Target="http://reports.weforum.org/global-competitiveness-report-2015-2016/economies/" TargetMode="External"/><Relationship Id="rId24" Type="http://schemas.openxmlformats.org/officeDocument/2006/relationships/hyperlink" Target="https://en.wikipedia.org/wiki/Life_expectancy" TargetMode="External"/><Relationship Id="rId32" Type="http://schemas.openxmlformats.org/officeDocument/2006/relationships/hyperlink" Target="http://www.state.gov/j/tip/rls/tiprpt/2018/index.htm" TargetMode="External"/><Relationship Id="rId5" Type="http://schemas.openxmlformats.org/officeDocument/2006/relationships/webSettings" Target="webSettings.xml"/><Relationship Id="rId15" Type="http://schemas.openxmlformats.org/officeDocument/2006/relationships/hyperlink" Target="http://reports.weforum.org/global-competitiveness-report-2015-2016/competitiveness-rankings/" TargetMode="External"/><Relationship Id="rId23" Type="http://schemas.openxmlformats.org/officeDocument/2006/relationships/hyperlink" Target="http://reports.weforum.org/global-competitiveness-report-2015-2016/competitiveness-rankings/" TargetMode="External"/><Relationship Id="rId28" Type="http://schemas.openxmlformats.org/officeDocument/2006/relationships/hyperlink" Target="https://en.wikipedia.org/wiki/Life_expectancy_at_birth" TargetMode="External"/><Relationship Id="rId10" Type="http://schemas.openxmlformats.org/officeDocument/2006/relationships/hyperlink" Target="http://reports.weforum.org/global-competitiveness-report-2015-2016/competitiveness-rankings/" TargetMode="External"/><Relationship Id="rId19" Type="http://schemas.openxmlformats.org/officeDocument/2006/relationships/hyperlink" Target="http://reports.weforum.org/global-competitiveness-report-2015-2016/competitiveness-rankings/" TargetMode="External"/><Relationship Id="rId31" Type="http://schemas.openxmlformats.org/officeDocument/2006/relationships/hyperlink" Target="http://hdr.undp.org/en/2018-update" TargetMode="External"/><Relationship Id="rId4" Type="http://schemas.openxmlformats.org/officeDocument/2006/relationships/settings" Target="settings.xml"/><Relationship Id="rId9" Type="http://schemas.openxmlformats.org/officeDocument/2006/relationships/hyperlink" Target="https://freedomhouse.org/report/freedom-world/2018/georgia" TargetMode="External"/><Relationship Id="rId14" Type="http://schemas.openxmlformats.org/officeDocument/2006/relationships/hyperlink" Target="http://reports.weforum.org/global-competitiveness-report-2015-2016/competitiveness-rankings/" TargetMode="External"/><Relationship Id="rId22" Type="http://schemas.openxmlformats.org/officeDocument/2006/relationships/hyperlink" Target="http://reports.weforum.org/global-competitiveness-report-2015-2016/competitiveness-rankings/" TargetMode="External"/><Relationship Id="rId27" Type="http://schemas.openxmlformats.org/officeDocument/2006/relationships/hyperlink" Target="https://en.wikipedia.org/wiki/Human_development_(humanity)" TargetMode="External"/><Relationship Id="rId30" Type="http://schemas.openxmlformats.org/officeDocument/2006/relationships/hyperlink" Target="https://en.wikipedia.org/wiki/GDP_per_capita"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Tamar Barkalaia</cp:lastModifiedBy>
  <cp:revision>2</cp:revision>
  <dcterms:created xsi:type="dcterms:W3CDTF">2018-10-17T16:22:00Z</dcterms:created>
  <dcterms:modified xsi:type="dcterms:W3CDTF">2018-10-17T16:22:00Z</dcterms:modified>
</cp:coreProperties>
</file>