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შრომის უსაფრთოების ნორმები შემებლობის ნებართვეის გაცემისას</w:t>
      </w:r>
    </w:p>
    <w:p>
      <w:pPr>
        <w:pStyle w:val="Body"/>
        <w:bidi w:val="0"/>
      </w:pPr>
    </w:p>
    <w:p>
      <w:pPr>
        <w:pStyle w:val="Body"/>
        <w:bidi w:val="0"/>
      </w:pPr>
      <w:r>
        <w:rPr>
          <w:rtl w:val="0"/>
        </w:rPr>
        <w:t xml:space="preserve">დღეის მდგომარეობით, სამშენებლო ნებართვების გაცემაზე უფლებამოსილია ადგილობრივი თვითმმართველოები და ეკონომიკისა და მდგრადი განვითარების სამინისტროს ტექნიკური და სამშენებლო ზედამხედველობის სააგენტო. </w:t>
      </w:r>
    </w:p>
    <w:p>
      <w:pPr>
        <w:pStyle w:val="Body"/>
        <w:bidi w:val="0"/>
      </w:pPr>
    </w:p>
    <w:p>
      <w:pPr>
        <w:pStyle w:val="Body"/>
        <w:rPr>
          <w:u w:val="single"/>
        </w:rPr>
      </w:pPr>
      <w:r>
        <w:rPr>
          <w:u w:val="single"/>
          <w:rtl w:val="0"/>
        </w:rPr>
        <w:t xml:space="preserve"> შენობა-ნაგებობებათა კლასები განისაზღვრება შემდეგი მახასიათებლებით:</w:t>
      </w:r>
    </w:p>
    <w:p>
      <w:pPr>
        <w:pStyle w:val="Body"/>
        <w:rPr>
          <w:u w:val="single"/>
        </w:rPr>
      </w:pPr>
    </w:p>
    <w:p>
      <w:pPr>
        <w:pStyle w:val="Body"/>
        <w:numPr>
          <w:ilvl w:val="0"/>
          <w:numId w:val="2"/>
        </w:numPr>
        <w:rPr>
          <w:i w:val="1"/>
          <w:iCs w:val="1"/>
        </w:rPr>
      </w:pPr>
      <w:r>
        <w:rPr>
          <w:i w:val="1"/>
          <w:iCs w:val="1"/>
          <w:rtl w:val="0"/>
        </w:rPr>
        <w:t>პირველი კლასი -შენობა ნაგებობა, რომელიც არ საჭიროებს ნებართვას</w:t>
      </w:r>
    </w:p>
    <w:p>
      <w:pPr>
        <w:pStyle w:val="Body"/>
        <w:numPr>
          <w:ilvl w:val="0"/>
          <w:numId w:val="2"/>
        </w:numPr>
        <w:rPr>
          <w:i w:val="1"/>
          <w:iCs w:val="1"/>
        </w:rPr>
      </w:pPr>
      <w:r>
        <w:rPr>
          <w:i w:val="1"/>
          <w:iCs w:val="1"/>
          <w:rtl w:val="0"/>
        </w:rPr>
        <w:t>მეორე კლასი - შენობა ნაგებობა რისკის დაბალი ფაქტორით</w:t>
      </w:r>
    </w:p>
    <w:p>
      <w:pPr>
        <w:pStyle w:val="Body"/>
        <w:numPr>
          <w:ilvl w:val="0"/>
          <w:numId w:val="2"/>
        </w:numPr>
        <w:rPr>
          <w:i w:val="1"/>
          <w:iCs w:val="1"/>
        </w:rPr>
      </w:pPr>
      <w:r>
        <w:rPr>
          <w:i w:val="1"/>
          <w:iCs w:val="1"/>
          <w:rtl w:val="0"/>
        </w:rPr>
        <w:t>მესამე კლასი - შენობა ნაგებობა რისკის საშუალო ფაქტორით</w:t>
      </w:r>
    </w:p>
    <w:p>
      <w:pPr>
        <w:pStyle w:val="Body"/>
        <w:numPr>
          <w:ilvl w:val="0"/>
          <w:numId w:val="2"/>
        </w:numPr>
        <w:rPr>
          <w:i w:val="1"/>
          <w:iCs w:val="1"/>
        </w:rPr>
      </w:pPr>
      <w:r>
        <w:rPr>
          <w:i w:val="1"/>
          <w:iCs w:val="1"/>
          <w:rtl w:val="0"/>
        </w:rPr>
        <w:t>მეოთე კლასი - შენობა ნაგებობა მომეტებული რისკის ფაქტორით</w:t>
      </w:r>
    </w:p>
    <w:p>
      <w:pPr>
        <w:pStyle w:val="Body"/>
        <w:numPr>
          <w:ilvl w:val="0"/>
          <w:numId w:val="2"/>
        </w:numPr>
        <w:rPr>
          <w:i w:val="1"/>
          <w:iCs w:val="1"/>
        </w:rPr>
      </w:pPr>
      <w:r>
        <w:rPr>
          <w:i w:val="1"/>
          <w:iCs w:val="1"/>
          <w:rtl w:val="0"/>
        </w:rPr>
        <w:t>მეხუთე კლასი - განსაკუთრებული მნიშვნელობის შენობა ნაგებობა მომეტებული რისკით</w:t>
      </w:r>
    </w:p>
    <w:p>
      <w:pPr>
        <w:pStyle w:val="Body"/>
        <w:rPr>
          <w:i w:val="1"/>
          <w:iCs w:val="1"/>
        </w:rPr>
      </w:pPr>
    </w:p>
    <w:p>
      <w:pPr>
        <w:pStyle w:val="Body"/>
        <w:bidi w:val="0"/>
      </w:pPr>
      <w:r>
        <w:rPr>
          <w:rtl w:val="0"/>
        </w:rPr>
        <w:t>პირველ ოთხ კლასზე, ნებართვის გამცემ ორგანოს წარმოადგენს ადგილობრივი მუნიციპალიტეტები, ხოლო მეხუთე კლასის ნებართვებზე პასუხისმგებელია ეკონომიკის სამინისტროს შესაბამისი კომპეტენტური სამსახური.</w:t>
      </w:r>
    </w:p>
    <w:p>
      <w:pPr>
        <w:pStyle w:val="Body"/>
        <w:bidi w:val="0"/>
      </w:pPr>
    </w:p>
    <w:p>
      <w:pPr>
        <w:pStyle w:val="Body"/>
        <w:bidi w:val="0"/>
      </w:pPr>
      <w:r>
        <w:rPr>
          <w:rtl w:val="0"/>
        </w:rPr>
        <w:t>მშენებლობის გაცემისას მოქმედებს შემდეგი საკანონმდებლო ნორმები</w:t>
      </w:r>
    </w:p>
    <w:p>
      <w:pPr>
        <w:pStyle w:val="Body"/>
        <w:bidi w:val="0"/>
      </w:pPr>
    </w:p>
    <w:p>
      <w:pPr>
        <w:pStyle w:val="Body"/>
        <w:numPr>
          <w:ilvl w:val="0"/>
          <w:numId w:val="4"/>
        </w:numPr>
        <w:bidi w:val="0"/>
      </w:pPr>
      <w:r>
        <w:rPr>
          <w:rtl w:val="0"/>
        </w:rPr>
        <w:t>საქართველოს კანონი ,,ლიცენზიებისა და ნებართვების შესახებ</w:t>
      </w:r>
      <w:r>
        <w:rPr>
          <w:rtl w:val="0"/>
        </w:rPr>
        <w:t>”</w:t>
      </w:r>
    </w:p>
    <w:p>
      <w:pPr>
        <w:pStyle w:val="Body"/>
        <w:numPr>
          <w:ilvl w:val="0"/>
          <w:numId w:val="4"/>
        </w:numPr>
        <w:bidi w:val="0"/>
      </w:pPr>
      <w:r>
        <w:rPr>
          <w:rtl w:val="0"/>
        </w:rPr>
        <w:t>,,პროდუქტის უსაფრთოებისა და თავისუფალი მიმოქცევის კოდექსი</w:t>
      </w:r>
      <w:r>
        <w:rPr>
          <w:rtl w:val="0"/>
        </w:rPr>
        <w:t>”</w:t>
      </w:r>
    </w:p>
    <w:p>
      <w:pPr>
        <w:pStyle w:val="Body"/>
        <w:numPr>
          <w:ilvl w:val="0"/>
          <w:numId w:val="4"/>
        </w:numPr>
        <w:bidi w:val="0"/>
      </w:pPr>
      <w:r>
        <w:rPr>
          <w:rtl w:val="0"/>
        </w:rPr>
        <w:t>,,მშენებლობის ნებართვის გაცემის წესისა და სანებართვო პირობების  შესახებ</w:t>
      </w:r>
      <w:r>
        <w:rPr>
          <w:rtl w:val="0"/>
        </w:rPr>
        <w:t xml:space="preserve">” </w:t>
      </w:r>
      <w:r>
        <w:rPr>
          <w:rtl w:val="0"/>
        </w:rPr>
        <w:t>საქართველოს მთავრონის 2009 წლის #57 დადგენილება</w:t>
      </w:r>
    </w:p>
    <w:p>
      <w:pPr>
        <w:pStyle w:val="Body"/>
        <w:bidi w:val="0"/>
      </w:pPr>
    </w:p>
    <w:p>
      <w:pPr>
        <w:pStyle w:val="Body"/>
        <w:bidi w:val="0"/>
      </w:pPr>
      <w:r>
        <w:rPr>
          <w:rtl w:val="0"/>
        </w:rPr>
        <w:t>აღნიშნული საკანონმდებლო რეგულაციების გათვალისწინებით, ნებართვის გაცემისთვის მოთხოვნილია განცხადებისა და შესაბამისი დოკუმენტების წარდგენის ვალდებულება, როგორიცაა:</w:t>
      </w:r>
    </w:p>
    <w:p>
      <w:pPr>
        <w:pStyle w:val="Body"/>
        <w:bidi w:val="0"/>
      </w:pPr>
    </w:p>
    <w:p>
      <w:pPr>
        <w:pStyle w:val="Body"/>
        <w:numPr>
          <w:ilvl w:val="0"/>
          <w:numId w:val="4"/>
        </w:numPr>
        <w:bidi w:val="0"/>
      </w:pPr>
      <w:r>
        <w:rPr>
          <w:rtl w:val="0"/>
        </w:rPr>
        <w:t xml:space="preserve">  მიწის ნაკვეთის სამშენებლოდ გამოყენების პირობების პროექტი</w:t>
      </w:r>
    </w:p>
    <w:p>
      <w:pPr>
        <w:pStyle w:val="Body"/>
        <w:numPr>
          <w:ilvl w:val="0"/>
          <w:numId w:val="4"/>
        </w:numPr>
        <w:bidi w:val="0"/>
      </w:pPr>
      <w:r>
        <w:rPr>
          <w:rtl w:val="0"/>
        </w:rPr>
        <w:t xml:space="preserve">არქიტექტურული პროექტის, კონსტრუქციული ან/და  ტექნოლოგიური სქემის შეთანხმება </w:t>
      </w:r>
    </w:p>
    <w:p>
      <w:pPr>
        <w:pStyle w:val="Body"/>
        <w:numPr>
          <w:ilvl w:val="0"/>
          <w:numId w:val="4"/>
        </w:numPr>
        <w:bidi w:val="0"/>
      </w:pPr>
      <w:r>
        <w:rPr>
          <w:rtl w:val="0"/>
        </w:rPr>
        <w:t>გარემოზე ზემოქმედების შეფასების ანგარიში</w:t>
      </w:r>
    </w:p>
    <w:p>
      <w:pPr>
        <w:pStyle w:val="Body"/>
        <w:numPr>
          <w:ilvl w:val="0"/>
          <w:numId w:val="4"/>
        </w:numPr>
        <w:bidi w:val="0"/>
      </w:pPr>
      <w:r>
        <w:rPr>
          <w:rtl w:val="0"/>
        </w:rPr>
        <w:t>დაგეგმილი სამუშაოების სიტუაციური გეგმა</w:t>
      </w:r>
    </w:p>
    <w:p>
      <w:pPr>
        <w:pStyle w:val="Body"/>
        <w:numPr>
          <w:ilvl w:val="0"/>
          <w:numId w:val="4"/>
        </w:numPr>
        <w:bidi w:val="0"/>
      </w:pPr>
      <w:r>
        <w:rPr>
          <w:rtl w:val="0"/>
        </w:rPr>
        <w:t>მიწის ნაკვეთის სიტუაციური გეგმა</w:t>
      </w:r>
    </w:p>
    <w:p>
      <w:pPr>
        <w:pStyle w:val="Body"/>
        <w:numPr>
          <w:ilvl w:val="0"/>
          <w:numId w:val="4"/>
        </w:numPr>
        <w:bidi w:val="0"/>
      </w:pPr>
      <w:r>
        <w:rPr>
          <w:rtl w:val="0"/>
        </w:rPr>
        <w:t>მიწის ნაკვეთის გამწვანიანების კოეფიციენტი</w:t>
      </w:r>
    </w:p>
    <w:p>
      <w:pPr>
        <w:pStyle w:val="Body"/>
        <w:numPr>
          <w:ilvl w:val="0"/>
          <w:numId w:val="4"/>
        </w:numPr>
        <w:bidi w:val="0"/>
      </w:pPr>
      <w:r>
        <w:rPr>
          <w:rtl w:val="0"/>
        </w:rPr>
        <w:t xml:space="preserve">განაშენიანების კოეფიციენტი </w:t>
      </w:r>
    </w:p>
    <w:p>
      <w:pPr>
        <w:pStyle w:val="Body"/>
        <w:bidi w:val="0"/>
      </w:pPr>
    </w:p>
    <w:p>
      <w:pPr>
        <w:pStyle w:val="Body"/>
        <w:bidi w:val="0"/>
      </w:pPr>
    </w:p>
    <w:p>
      <w:pPr>
        <w:pStyle w:val="Body"/>
        <w:bidi w:val="0"/>
      </w:pPr>
      <w:r>
        <w:rPr>
          <w:rtl w:val="0"/>
        </w:rPr>
        <w:t>აღსანიშნავია, რომ ჩამონათვალში არ ხდება შრომის უსაფრხოების ნორმების შეთანხმება, შესაბამისად ნაკლებია მისი კონტროლის მექანიზმები.</w:t>
      </w:r>
    </w:p>
    <w:p>
      <w:pPr>
        <w:pStyle w:val="Body"/>
        <w:bidi w:val="0"/>
      </w:pPr>
    </w:p>
    <w:p>
      <w:pPr>
        <w:pStyle w:val="Body"/>
        <w:bidi w:val="0"/>
      </w:pPr>
      <w:r>
        <w:rPr>
          <w:rtl w:val="0"/>
        </w:rPr>
        <w:t>აღნიშნულის დარეგულირებისთვის საჭიროა სამშენებლო ნებართვების გაცემისას აუცილებელ კომპონენტად მიეთითოს შრომის უსაფრთოების პროექტის წარმოდგენისა და პერიოდული ანგარიშგების ვალდებულება. აღნიშული მოთხოვნა იქნება სავალდებულოდ შესასრულებელი სამშენებლო კომპანიის მიმართ, რაც თავის მხრივ  გამოიწვევს მშენებელის მიერ მეტად ყურადღების გამახვილებას.</w:t>
      </w:r>
    </w:p>
    <w:p>
      <w:pPr>
        <w:pStyle w:val="Body"/>
        <w:bidi w:val="0"/>
      </w:pPr>
    </w:p>
    <w:p>
      <w:pPr>
        <w:pStyle w:val="Body"/>
        <w:bidi w:val="0"/>
      </w:pPr>
      <w:r>
        <w:rPr>
          <w:rtl w:val="0"/>
        </w:rPr>
        <w:t>ასევე უნდა აღინიშნოს, რომ სხვა ინფრასტრუქტურული პროექტების განხორციელებისას დღეის მდგომარეობით არ არსებობს არანაირი შეთანხმებისა თუ სხვა რაიმე ტიპის სამუშაოთა ნანხორციელების პროექტის წარმოდგენის ვალდებულება.</w:t>
      </w:r>
    </w:p>
    <w:p>
      <w:pPr>
        <w:pStyle w:val="Body"/>
        <w:bidi w:val="0"/>
      </w:pPr>
    </w:p>
    <w:p>
      <w:pPr>
        <w:pStyle w:val="Body"/>
        <w:bidi w:val="0"/>
      </w:pPr>
      <w:r>
        <w:rPr>
          <w:rtl w:val="0"/>
        </w:rPr>
        <w:t>აღნიშნული სიტუაციის რეგულირებისთვის მიზანშეწონილია მშენებლობის ნებართვისა თუ სხვა ინფრასტრუქტურული პროექტის განხორციელებისას მოხდეს სავალდებულო კომპონენტად  განისაზღვროთ შრომის უსაფრთოების ნორმების წინასწარი და პერიოდული შშეთანხმებისა და წარდგენის ვალდებულება.</w:t>
      </w:r>
    </w:p>
    <w:p>
      <w:pPr>
        <w:pStyle w:val="Body"/>
        <w:bidi w:val="0"/>
      </w:pPr>
    </w:p>
    <w:p>
      <w:pPr>
        <w:pStyle w:val="Body"/>
        <w:bidi w:val="0"/>
      </w:pPr>
      <w:r>
        <w:rPr>
          <w:rtl w:val="0"/>
        </w:rPr>
        <w:t>ასევე მნიშვნელოვანია, რომ სახელმწიფო ტენდერის გამოცხადებისას, სავალდებულო მოთხოვნად განისაზღვროს შრომის უსაფრთოების კომპონენტი. აღნიშნული ჩანაწერი საშუალებას მისცემს შემსრულებელ კომპანიებს ხარჯები ოფიციალურად გამოყონ შრომის უსაფრთოების ნორმების დაცვის უზრუნველსაყოფად, რაც შემდგომში უსაფრთოების კულტურის განვითარების საწინდარი იქნება ორგანიზაციულ დონეზე.</w:t>
      </w:r>
    </w:p>
    <w:p>
      <w:pPr>
        <w:pStyle w:val="Body"/>
        <w:bidi w:val="0"/>
      </w:pPr>
      <w:r>
        <w:rPr>
          <w:rtl w:val="0"/>
        </w:rPr>
        <w:t>ასევე რეკომენდირებულია, ისეთი კომპანიები, რომელიც არ დაიცავენ უსაფრთოების ნორმებს, მოხდეს მათი ე.წ ,,შავ სიაში</w:t>
      </w:r>
      <w:r>
        <w:rPr>
          <w:rtl w:val="0"/>
        </w:rPr>
        <w:t xml:space="preserve">” </w:t>
      </w:r>
      <w:r>
        <w:rPr>
          <w:rtl w:val="0"/>
        </w:rPr>
        <w:t>გადანაცვლება, რაც პოზიტიურტან ერთად სავალდებულო ხასიათს შესძენს უსაფრთოების ნორმების დაცვას ორგანიზაციულ დონეზე</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Big"/>
  </w:abstractNum>
  <w:abstractNum w:abstractNumId="1">
    <w:multiLevelType w:val="hybridMultilevel"/>
    <w:styleLink w:val="Bullet Big"/>
    <w:lvl w:ilvl="0">
      <w:start w:val="1"/>
      <w:numFmt w:val="bullet"/>
      <w:suff w:val="tab"/>
      <w:lvlText w:val="•"/>
      <w:lvlJc w:val="left"/>
      <w:pPr>
        <w:ind w:left="240" w:hanging="240"/>
      </w:pPr>
      <w:rPr>
        <w:rFonts w:hAnsi="Arial Unicode MS"/>
        <w:i w:val="1"/>
        <w:iCs w:val="1"/>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ind w:left="480" w:hanging="240"/>
      </w:pPr>
      <w:rPr>
        <w:rFonts w:hAnsi="Arial Unicode MS"/>
        <w:i w:val="1"/>
        <w:iCs w:val="1"/>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ind w:left="720" w:hanging="240"/>
      </w:pPr>
      <w:rPr>
        <w:rFonts w:hAnsi="Arial Unicode MS"/>
        <w:i w:val="1"/>
        <w:iCs w:val="1"/>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ind w:left="960" w:hanging="240"/>
      </w:pPr>
      <w:rPr>
        <w:rFonts w:hAnsi="Arial Unicode MS"/>
        <w:i w:val="1"/>
        <w:iCs w:val="1"/>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ind w:left="1200" w:hanging="240"/>
      </w:pPr>
      <w:rPr>
        <w:rFonts w:hAnsi="Arial Unicode MS"/>
        <w:i w:val="1"/>
        <w:iCs w:val="1"/>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ind w:left="1440" w:hanging="240"/>
      </w:pPr>
      <w:rPr>
        <w:rFonts w:hAnsi="Arial Unicode MS"/>
        <w:i w:val="1"/>
        <w:iCs w:val="1"/>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ind w:left="1680" w:hanging="240"/>
      </w:pPr>
      <w:rPr>
        <w:rFonts w:hAnsi="Arial Unicode MS"/>
        <w:i w:val="1"/>
        <w:iCs w:val="1"/>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ind w:left="1920" w:hanging="240"/>
      </w:pPr>
      <w:rPr>
        <w:rFonts w:hAnsi="Arial Unicode MS"/>
        <w:i w:val="1"/>
        <w:iCs w:val="1"/>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ind w:left="2160" w:hanging="240"/>
      </w:pPr>
      <w:rPr>
        <w:rFonts w:hAnsi="Arial Unicode MS"/>
        <w:i w:val="1"/>
        <w:iCs w:val="1"/>
        <w:caps w:val="0"/>
        <w:smallCaps w:val="0"/>
        <w:strike w:val="0"/>
        <w:dstrike w:val="0"/>
        <w:outline w:val="0"/>
        <w:emboss w:val="0"/>
        <w:imprint w:val="0"/>
        <w:spacing w:val="0"/>
        <w:w w:val="100"/>
        <w:kern w:val="0"/>
        <w:position w:val="0"/>
        <w:sz w:val="26"/>
        <w:szCs w:val="26"/>
        <w:highlight w:val="none"/>
        <w:vertAlign w:val="baseline"/>
      </w:rPr>
    </w:lvl>
  </w:abstractNum>
  <w:abstractNum w:abstractNumId="2">
    <w:multiLevelType w:val="hybridMultilevel"/>
    <w:numStyleLink w:val="Dash"/>
  </w:abstractNum>
  <w:abstractNum w:abstractNumId="3">
    <w:multiLevelType w:val="hybridMultilevel"/>
    <w:styleLink w:val="Dash"/>
    <w:lvl w:ilvl="0">
      <w:start w:val="1"/>
      <w:numFmt w:val="bullet"/>
      <w:suff w:val="tab"/>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start w:val="1"/>
      <w:numFmt w:val="bullet"/>
      <w:suff w:val="tab"/>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numbering" w:styleId="Bullet Big">
    <w:name w:val="Bullet Big"/>
    <w:pPr>
      <w:numPr>
        <w:numId w:val="1"/>
      </w:numPr>
    </w:pPr>
  </w:style>
  <w:style w:type="numbering" w:styleId="Dash">
    <w:name w:val="Dash"/>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