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6B7" w:rsidRPr="00CB06B7" w:rsidRDefault="00CB06B7">
      <w:pPr>
        <w:rPr>
          <w:b/>
          <w:lang w:val="ka-GE"/>
        </w:rPr>
      </w:pPr>
      <w:r w:rsidRPr="00CB06B7">
        <w:rPr>
          <w:b/>
          <w:lang w:val="ka-GE"/>
        </w:rPr>
        <w:t>ჯანმრთელობის გაზომვისა და შეფასების ინსტიტუტი</w:t>
      </w:r>
      <w:r w:rsidR="00561A87">
        <w:rPr>
          <w:b/>
          <w:lang w:val="ka-GE"/>
        </w:rPr>
        <w:t xml:space="preserve"> (აშშ)</w:t>
      </w:r>
      <w:r w:rsidRPr="00CB06B7">
        <w:rPr>
          <w:b/>
          <w:lang w:val="ka-GE"/>
        </w:rPr>
        <w:t xml:space="preserve"> და </w:t>
      </w:r>
      <w:r w:rsidRPr="00CB06B7">
        <w:rPr>
          <w:b/>
        </w:rPr>
        <w:t xml:space="preserve">COVID-19 </w:t>
      </w:r>
      <w:r w:rsidRPr="00CB06B7">
        <w:rPr>
          <w:b/>
          <w:lang w:val="ka-GE"/>
        </w:rPr>
        <w:t>მოდელირება</w:t>
      </w:r>
      <w:r w:rsidR="005268F5">
        <w:rPr>
          <w:b/>
          <w:lang w:val="ka-GE"/>
        </w:rPr>
        <w:t xml:space="preserve"> საქართველოსთვის</w:t>
      </w:r>
    </w:p>
    <w:p w:rsidR="00E87C67" w:rsidRDefault="00CF7A14">
      <w:pPr>
        <w:rPr>
          <w:lang w:val="ka-GE"/>
        </w:rPr>
      </w:pPr>
      <w:r>
        <w:rPr>
          <w:lang w:val="ka-GE"/>
        </w:rPr>
        <w:t>ჯანმრთელობის გაზომვისა და შეფასების ინსტიტუტი (</w:t>
      </w:r>
      <w:r w:rsidRPr="00CB06B7">
        <w:rPr>
          <w:lang w:val="ka-GE"/>
        </w:rPr>
        <w:t>The Institute for Health Metrics and Evaluation</w:t>
      </w:r>
      <w:r>
        <w:rPr>
          <w:lang w:val="ka-GE"/>
        </w:rPr>
        <w:t xml:space="preserve">, </w:t>
      </w:r>
      <w:r w:rsidRPr="00CB06B7">
        <w:rPr>
          <w:lang w:val="ka-GE"/>
        </w:rPr>
        <w:t xml:space="preserve">IHME) </w:t>
      </w:r>
      <w:r>
        <w:rPr>
          <w:lang w:val="ka-GE"/>
        </w:rPr>
        <w:t>არის გლობალური ჯანმრთელობის კვლევების დამოუკიდებელი ცენტრი ვაშინგტონის უნივერსიტეტის ბაზაზე (სიეტლი, აშშ)</w:t>
      </w:r>
      <w:r w:rsidR="00CB06B7">
        <w:rPr>
          <w:rStyle w:val="FootnoteReference"/>
          <w:lang w:val="ka-GE"/>
        </w:rPr>
        <w:footnoteReference w:id="1"/>
      </w:r>
      <w:r>
        <w:rPr>
          <w:lang w:val="ka-GE"/>
        </w:rPr>
        <w:t>. მოყოლებული 2007 წლიდან ცენტრი ახორციელებს დამოუკიდებელ, მტკიცებულებებზე დაფუძნებულ</w:t>
      </w:r>
      <w:r w:rsidR="008C765F">
        <w:rPr>
          <w:lang w:val="ka-GE"/>
        </w:rPr>
        <w:t>,</w:t>
      </w:r>
      <w:r>
        <w:rPr>
          <w:lang w:val="ka-GE"/>
        </w:rPr>
        <w:t xml:space="preserve"> გლობალური ჯანმრთელობის ანალიზს, რითაც ეხმარებ</w:t>
      </w:r>
      <w:r w:rsidR="008C765F">
        <w:rPr>
          <w:lang w:val="ka-GE"/>
        </w:rPr>
        <w:t>ა</w:t>
      </w:r>
      <w:r>
        <w:rPr>
          <w:lang w:val="ka-GE"/>
        </w:rPr>
        <w:t xml:space="preserve"> მსოფლიო მასშტაბით პოლიტიკის შემქმნელებს, გადაწყვეტილების მიმღებებს, მკვლევარებს და დაინტერესებულ</w:t>
      </w:r>
      <w:r w:rsidR="008C765F">
        <w:rPr>
          <w:lang w:val="ka-GE"/>
        </w:rPr>
        <w:t>ი</w:t>
      </w:r>
      <w:r>
        <w:rPr>
          <w:lang w:val="ka-GE"/>
        </w:rPr>
        <w:t xml:space="preserve"> ქვეყნებ</w:t>
      </w:r>
      <w:r w:rsidR="008C765F">
        <w:rPr>
          <w:lang w:val="ka-GE"/>
        </w:rPr>
        <w:t>ი</w:t>
      </w:r>
      <w:r>
        <w:rPr>
          <w:lang w:val="ka-GE"/>
        </w:rPr>
        <w:t xml:space="preserve">ს </w:t>
      </w:r>
      <w:r w:rsidR="008C765F">
        <w:rPr>
          <w:lang w:val="ka-GE"/>
        </w:rPr>
        <w:t xml:space="preserve">მთავრობებს გადაწყვეტილებების მიღებაში </w:t>
      </w:r>
      <w:r>
        <w:rPr>
          <w:lang w:val="ka-GE"/>
        </w:rPr>
        <w:t xml:space="preserve">ჯანმრთელობის მიმართულებით არსებული ტრენდების გათვალისწინებით. მათი ძირითადი მხარდამჭერი ბილ და მელინდა გეითსების ფონდი და ვაშინგტონის შტატის ადმინისტრაციაა. </w:t>
      </w:r>
      <w:r w:rsidRPr="00CF7A14">
        <w:rPr>
          <w:lang w:val="ka-GE"/>
        </w:rPr>
        <w:t>IHME-</w:t>
      </w:r>
      <w:r>
        <w:rPr>
          <w:lang w:val="ka-GE"/>
        </w:rPr>
        <w:t>ს განსაკუთრებით გაუთქვა სახელი ე.წ. ჯანმრთელობის გლობალური ტვირთის შესწავლამ (</w:t>
      </w:r>
      <w:r w:rsidRPr="00CF7A14">
        <w:rPr>
          <w:lang w:val="ka-GE"/>
        </w:rPr>
        <w:t>Global Burden of Disease, GBD study)</w:t>
      </w:r>
      <w:r>
        <w:rPr>
          <w:lang w:val="ka-GE"/>
        </w:rPr>
        <w:t xml:space="preserve">, </w:t>
      </w:r>
      <w:r w:rsidR="008C765F">
        <w:rPr>
          <w:lang w:val="ka-GE"/>
        </w:rPr>
        <w:t xml:space="preserve">მსოფლიოში </w:t>
      </w:r>
      <w:r>
        <w:rPr>
          <w:lang w:val="ka-GE"/>
        </w:rPr>
        <w:t xml:space="preserve">დედათა სიკვდილიანობის ანალიზმა და გლობალური ჯანმრთელობის დაფინანსების </w:t>
      </w:r>
      <w:r w:rsidR="008C765F">
        <w:rPr>
          <w:lang w:val="ka-GE"/>
        </w:rPr>
        <w:t>შესწავლამ</w:t>
      </w:r>
      <w:r>
        <w:rPr>
          <w:lang w:val="ka-GE"/>
        </w:rPr>
        <w:t xml:space="preserve"> (</w:t>
      </w:r>
      <w:r w:rsidRPr="00CF7A14">
        <w:rPr>
          <w:lang w:val="ka-GE"/>
        </w:rPr>
        <w:t xml:space="preserve">Financing Global Health, FGH), </w:t>
      </w:r>
      <w:r>
        <w:rPr>
          <w:lang w:val="ka-GE"/>
        </w:rPr>
        <w:t xml:space="preserve">სადაც ქვეყნებთან კოლაბორაციით, მსოფლიო მასშტაბით ახორციელებს ყოველწლიურ ანალიზს და შედეგებს სამედიცინო საზოგადოების ყველაზე პრესტიჟულ ჟურნალ, </w:t>
      </w:r>
      <w:r w:rsidRPr="00CF7A14">
        <w:rPr>
          <w:lang w:val="ka-GE"/>
        </w:rPr>
        <w:t xml:space="preserve">The Lancet </w:t>
      </w:r>
      <w:r>
        <w:rPr>
          <w:lang w:val="ka-GE"/>
        </w:rPr>
        <w:t xml:space="preserve">აქვეყნებს. </w:t>
      </w:r>
      <w:r w:rsidR="00B246D8">
        <w:rPr>
          <w:lang w:val="ka-GE"/>
        </w:rPr>
        <w:t xml:space="preserve"> მის კოლაბორატორებსა და ინფორმაციის მომხმარებლებში არიან ევროკავშირი, ჯანმო, იაპონიის თანამშრომლობის საერთაშორისო სააგენტო, თეთრი სახლი, საუდის არაბეთის მთავრობა</w:t>
      </w:r>
      <w:r w:rsidR="008C765F">
        <w:rPr>
          <w:lang w:val="ka-GE"/>
        </w:rPr>
        <w:t>,</w:t>
      </w:r>
      <w:r w:rsidR="00B246D8">
        <w:rPr>
          <w:lang w:val="ka-GE"/>
        </w:rPr>
        <w:t xml:space="preserve"> </w:t>
      </w:r>
      <w:r w:rsidR="008C765F">
        <w:rPr>
          <w:lang w:val="ka-GE"/>
        </w:rPr>
        <w:t>მსოფლიოს განვითარებული და განვითარებად</w:t>
      </w:r>
      <w:r w:rsidR="008479B6">
        <w:rPr>
          <w:lang w:val="ka-GE"/>
        </w:rPr>
        <w:t>ი</w:t>
      </w:r>
      <w:r w:rsidR="008C765F">
        <w:rPr>
          <w:lang w:val="ka-GE"/>
        </w:rPr>
        <w:t xml:space="preserve"> ქვეყნები</w:t>
      </w:r>
      <w:r w:rsidR="008479B6">
        <w:rPr>
          <w:lang w:val="ka-GE"/>
        </w:rPr>
        <w:t>ს სხვადასხვა უწყებები</w:t>
      </w:r>
      <w:r w:rsidR="008C765F">
        <w:rPr>
          <w:lang w:val="ka-GE"/>
        </w:rPr>
        <w:t xml:space="preserve"> </w:t>
      </w:r>
      <w:r w:rsidR="00B246D8">
        <w:rPr>
          <w:lang w:val="ka-GE"/>
        </w:rPr>
        <w:t>და სხვა.</w:t>
      </w:r>
    </w:p>
    <w:p w:rsidR="00B246D8" w:rsidRDefault="00B246D8">
      <w:pPr>
        <w:rPr>
          <w:lang w:val="ka-GE"/>
        </w:rPr>
      </w:pPr>
      <w:r>
        <w:rPr>
          <w:lang w:val="ka-GE"/>
        </w:rPr>
        <w:t xml:space="preserve">საქართველოსთან </w:t>
      </w:r>
      <w:r w:rsidR="005D03F5">
        <w:rPr>
          <w:lang w:val="ka-GE"/>
        </w:rPr>
        <w:t xml:space="preserve">2014 წლიდან, როგორც ოფიციალურ კოლაბორატორთან, </w:t>
      </w:r>
      <w:r w:rsidRPr="006C7E25">
        <w:rPr>
          <w:lang w:val="ka-GE"/>
        </w:rPr>
        <w:t>IHME</w:t>
      </w:r>
      <w:r>
        <w:rPr>
          <w:lang w:val="ka-GE"/>
        </w:rPr>
        <w:t xml:space="preserve"> </w:t>
      </w:r>
      <w:r w:rsidR="005D03F5">
        <w:rPr>
          <w:lang w:val="ka-GE"/>
        </w:rPr>
        <w:t xml:space="preserve">ინტენსიურად თანამშრომლობს და </w:t>
      </w:r>
      <w:r>
        <w:rPr>
          <w:lang w:val="ka-GE"/>
        </w:rPr>
        <w:t xml:space="preserve">ახორციელებს </w:t>
      </w:r>
      <w:r w:rsidR="005D03F5">
        <w:rPr>
          <w:lang w:val="ka-GE"/>
        </w:rPr>
        <w:t xml:space="preserve">ქვეყნის მონაცემების ასახვას </w:t>
      </w:r>
      <w:r w:rsidRPr="006C7E25">
        <w:rPr>
          <w:lang w:val="ka-GE"/>
        </w:rPr>
        <w:t>GBD</w:t>
      </w:r>
      <w:r>
        <w:rPr>
          <w:lang w:val="ka-GE"/>
        </w:rPr>
        <w:t xml:space="preserve"> </w:t>
      </w:r>
      <w:r w:rsidR="005D03F5">
        <w:rPr>
          <w:lang w:val="ka-GE"/>
        </w:rPr>
        <w:t>კვლევაში</w:t>
      </w:r>
      <w:r w:rsidRPr="006C7E25">
        <w:rPr>
          <w:lang w:val="ka-GE"/>
        </w:rPr>
        <w:t>, დედათ</w:t>
      </w:r>
      <w:r w:rsidR="005D03F5">
        <w:rPr>
          <w:lang w:val="ka-GE"/>
        </w:rPr>
        <w:t>ა</w:t>
      </w:r>
      <w:r w:rsidRPr="006C7E25">
        <w:rPr>
          <w:lang w:val="ka-GE"/>
        </w:rPr>
        <w:t xml:space="preserve"> სიკვდილიანობის ანალიზს</w:t>
      </w:r>
      <w:r w:rsidR="005D03F5">
        <w:rPr>
          <w:lang w:val="ka-GE"/>
        </w:rPr>
        <w:t>ა</w:t>
      </w:r>
      <w:r w:rsidRPr="006C7E25">
        <w:rPr>
          <w:lang w:val="ka-GE"/>
        </w:rPr>
        <w:t xml:space="preserve"> და სხვადასხვა </w:t>
      </w:r>
      <w:r>
        <w:rPr>
          <w:lang w:val="ka-GE"/>
        </w:rPr>
        <w:t xml:space="preserve">გლობალური ჯანმრთელობის სფეროში </w:t>
      </w:r>
      <w:r w:rsidRPr="006C7E25">
        <w:rPr>
          <w:lang w:val="ka-GE"/>
        </w:rPr>
        <w:t>აქტ</w:t>
      </w:r>
      <w:r>
        <w:rPr>
          <w:lang w:val="ka-GE"/>
        </w:rPr>
        <w:t xml:space="preserve">უალური ტრენდების </w:t>
      </w:r>
      <w:r w:rsidR="005D03F5">
        <w:rPr>
          <w:lang w:val="ka-GE"/>
        </w:rPr>
        <w:t>განხილვას</w:t>
      </w:r>
      <w:r>
        <w:rPr>
          <w:lang w:val="ka-GE"/>
        </w:rPr>
        <w:t xml:space="preserve">. </w:t>
      </w:r>
      <w:r w:rsidR="00561A87">
        <w:rPr>
          <w:lang w:val="ka-GE"/>
        </w:rPr>
        <w:t>საქართველოს დაავადებათა კონტროლისა და საზოგადოებრივი ჯანმრთელობის ეროვნული ცენტრი (</w:t>
      </w:r>
      <w:r w:rsidR="00561A87">
        <w:t>NCDC)</w:t>
      </w:r>
      <w:r w:rsidR="006C7E25">
        <w:rPr>
          <w:lang w:val="ka-GE"/>
        </w:rPr>
        <w:t xml:space="preserve"> არის ქვეყანაში მათი ძირითადი საკონტაქტო ორგანიზაცია.</w:t>
      </w:r>
    </w:p>
    <w:p w:rsidR="00A16691" w:rsidRDefault="006C7E25">
      <w:pPr>
        <w:rPr>
          <w:lang w:val="ka-GE"/>
        </w:rPr>
      </w:pPr>
      <w:r w:rsidRPr="006C7E25">
        <w:rPr>
          <w:lang w:val="ka-GE"/>
        </w:rPr>
        <w:t>C</w:t>
      </w:r>
      <w:r w:rsidR="00A16691" w:rsidRPr="00A16691">
        <w:rPr>
          <w:lang w:val="ka-GE"/>
        </w:rPr>
        <w:t>OVID</w:t>
      </w:r>
      <w:r w:rsidRPr="006C7E25">
        <w:rPr>
          <w:lang w:val="ka-GE"/>
        </w:rPr>
        <w:t xml:space="preserve">-19 </w:t>
      </w:r>
      <w:r>
        <w:rPr>
          <w:lang w:val="ka-GE"/>
        </w:rPr>
        <w:t xml:space="preserve">პანდემიამ </w:t>
      </w:r>
      <w:r w:rsidRPr="006C7E25">
        <w:rPr>
          <w:lang w:val="ka-GE"/>
        </w:rPr>
        <w:t>IHME</w:t>
      </w:r>
      <w:r>
        <w:rPr>
          <w:lang w:val="ka-GE"/>
        </w:rPr>
        <w:t xml:space="preserve">-ს სამუშაო არეალი გააფართოვა და ბოლო თვეებია </w:t>
      </w:r>
      <w:r w:rsidR="00BB6488">
        <w:rPr>
          <w:lang w:val="ka-GE"/>
        </w:rPr>
        <w:t>აქვეყნებენ</w:t>
      </w:r>
      <w:r>
        <w:rPr>
          <w:lang w:val="ka-GE"/>
        </w:rPr>
        <w:t xml:space="preserve"> მოდელირებებს. თავდაპირველად მათ</w:t>
      </w:r>
      <w:r w:rsidR="008C765F">
        <w:rPr>
          <w:lang w:val="ka-GE"/>
        </w:rPr>
        <w:t>ი</w:t>
      </w:r>
      <w:r>
        <w:rPr>
          <w:lang w:val="ka-GE"/>
        </w:rPr>
        <w:t xml:space="preserve"> სამიზნე არეალი მხოლოდ აშშ იყო, შემდეგ  მოცვა </w:t>
      </w:r>
      <w:r w:rsidR="005D03F5">
        <w:rPr>
          <w:lang w:val="ka-GE"/>
        </w:rPr>
        <w:t>გაფართოვდა</w:t>
      </w:r>
      <w:r w:rsidR="005D03F5" w:rsidRPr="005D03F5">
        <w:rPr>
          <w:lang w:val="ka-GE"/>
        </w:rPr>
        <w:t xml:space="preserve"> </w:t>
      </w:r>
      <w:r>
        <w:rPr>
          <w:lang w:val="ka-GE"/>
        </w:rPr>
        <w:t>და დაემატ</w:t>
      </w:r>
      <w:r w:rsidR="005D03F5">
        <w:rPr>
          <w:lang w:val="ka-GE"/>
        </w:rPr>
        <w:t>ა</w:t>
      </w:r>
      <w:r>
        <w:rPr>
          <w:lang w:val="ka-GE"/>
        </w:rPr>
        <w:t xml:space="preserve"> ის ქვეყნები, რომლებიც განსაკუთრებით გამოირჩეოდნენ </w:t>
      </w:r>
      <w:r w:rsidR="005D03F5">
        <w:rPr>
          <w:lang w:val="ka-GE"/>
        </w:rPr>
        <w:t>ინფექციის გავრცელებით</w:t>
      </w:r>
      <w:r>
        <w:rPr>
          <w:lang w:val="ka-GE"/>
        </w:rPr>
        <w:t xml:space="preserve">. </w:t>
      </w:r>
      <w:r w:rsidR="00A16691">
        <w:rPr>
          <w:lang w:val="ka-GE"/>
        </w:rPr>
        <w:t xml:space="preserve">ამჟამად </w:t>
      </w:r>
      <w:r w:rsidR="00A16691" w:rsidRPr="00A16691">
        <w:rPr>
          <w:lang w:val="ka-GE"/>
        </w:rPr>
        <w:t>IHME</w:t>
      </w:r>
      <w:r w:rsidR="00A16691">
        <w:rPr>
          <w:lang w:val="ka-GE"/>
        </w:rPr>
        <w:t xml:space="preserve"> მთავარი დამკვეთები არიან თეთრი სახლი და ევროკავშირი, რომლებიც მათი დახმარებით ახდენენ ჰოსპიტალურ სექტორზე </w:t>
      </w:r>
      <w:r w:rsidR="008C765F">
        <w:rPr>
          <w:lang w:val="ka-GE"/>
        </w:rPr>
        <w:t>ზე</w:t>
      </w:r>
      <w:r w:rsidR="00A16691">
        <w:rPr>
          <w:lang w:val="ka-GE"/>
        </w:rPr>
        <w:t>წოლისა და პერსონალური თავდაცვის საშუალებების (</w:t>
      </w:r>
      <w:r w:rsidR="00A16691" w:rsidRPr="00A16691">
        <w:rPr>
          <w:lang w:val="ka-GE"/>
        </w:rPr>
        <w:t xml:space="preserve">PPE) </w:t>
      </w:r>
      <w:r w:rsidR="00A16691">
        <w:rPr>
          <w:lang w:val="ka-GE"/>
        </w:rPr>
        <w:t xml:space="preserve">გათვლას. </w:t>
      </w:r>
    </w:p>
    <w:p w:rsidR="00CB06B7" w:rsidRPr="000A3C71" w:rsidRDefault="00CB06B7" w:rsidP="00CB06B7">
      <w:pPr>
        <w:rPr>
          <w:b/>
          <w:lang w:val="ka-GE"/>
        </w:rPr>
      </w:pPr>
      <w:r w:rsidRPr="000A3C71">
        <w:rPr>
          <w:b/>
          <w:lang w:val="ka-GE"/>
        </w:rPr>
        <w:t>მოდელირება საქართველოსთვის</w:t>
      </w:r>
    </w:p>
    <w:p w:rsidR="006C7E25" w:rsidRPr="00A74F5D" w:rsidRDefault="00561A87">
      <w:pPr>
        <w:rPr>
          <w:lang w:val="ka-GE"/>
        </w:rPr>
      </w:pPr>
      <w:r w:rsidRPr="00561A87">
        <w:rPr>
          <w:lang w:val="ka-GE"/>
        </w:rPr>
        <w:t>NCDC</w:t>
      </w:r>
      <w:bookmarkStart w:id="0" w:name="_GoBack"/>
      <w:bookmarkEnd w:id="0"/>
      <w:r w:rsidR="006C7E25">
        <w:rPr>
          <w:lang w:val="ka-GE"/>
        </w:rPr>
        <w:t xml:space="preserve">-მ, არსებული კოლაბორაციის ფარგლებში, მარტიდან დაიწყო </w:t>
      </w:r>
      <w:r w:rsidR="006C7E25" w:rsidRPr="006C7E25">
        <w:rPr>
          <w:lang w:val="ka-GE"/>
        </w:rPr>
        <w:t>IHME-</w:t>
      </w:r>
      <w:r w:rsidR="006C7E25">
        <w:rPr>
          <w:lang w:val="ka-GE"/>
        </w:rPr>
        <w:t>სთან მოლაპარაკება და გარკვეული მონაცემების მიწოდება მოდელირებების წარმოებისთვის</w:t>
      </w:r>
      <w:r w:rsidR="000A3C71">
        <w:rPr>
          <w:lang w:val="ka-GE"/>
        </w:rPr>
        <w:t>.</w:t>
      </w:r>
      <w:r w:rsidR="006C7E25">
        <w:rPr>
          <w:lang w:val="ka-GE"/>
        </w:rPr>
        <w:t xml:space="preserve"> თუმცა ინფექციის დაბალი გავრცელებისა და სიკვდილიანობის მცირე ციფრების გამო იმ პერიოდში შეუძლებელი იყო მოდელირებაში ქვეყნის შეყვანა. </w:t>
      </w:r>
      <w:r w:rsidR="005268F5">
        <w:rPr>
          <w:lang w:val="ka-GE"/>
        </w:rPr>
        <w:t>ივნ</w:t>
      </w:r>
      <w:r w:rsidR="006C7E25">
        <w:rPr>
          <w:lang w:val="ka-GE"/>
        </w:rPr>
        <w:t xml:space="preserve">ისიდან თანამშრომლობა გააქტიურდა და </w:t>
      </w:r>
      <w:r w:rsidR="006C7E25" w:rsidRPr="006C7E25">
        <w:rPr>
          <w:lang w:val="ka-GE"/>
        </w:rPr>
        <w:t>IHME</w:t>
      </w:r>
      <w:r w:rsidR="006C7E25">
        <w:rPr>
          <w:lang w:val="ka-GE"/>
        </w:rPr>
        <w:t>-ს წარმომადგენელს, საქართველოს კოორდინატორს</w:t>
      </w:r>
      <w:r w:rsidR="000A3C71">
        <w:rPr>
          <w:lang w:val="ka-GE"/>
        </w:rPr>
        <w:t>,</w:t>
      </w:r>
      <w:r w:rsidR="006C7E25">
        <w:rPr>
          <w:lang w:val="ka-GE"/>
        </w:rPr>
        <w:t xml:space="preserve"> მიეწოდა </w:t>
      </w:r>
      <w:r w:rsidR="00A16691">
        <w:rPr>
          <w:lang w:val="ka-GE"/>
        </w:rPr>
        <w:t>ე</w:t>
      </w:r>
      <w:r w:rsidR="006C7E25">
        <w:rPr>
          <w:lang w:val="ka-GE"/>
        </w:rPr>
        <w:t>პიდსიტუაციასთან დაკავშირებული ყველა სახის ოფიციალური ინფორმაცია (</w:t>
      </w:r>
      <w:r w:rsidR="00A74F5D">
        <w:rPr>
          <w:lang w:val="ka-GE"/>
        </w:rPr>
        <w:t xml:space="preserve">საწოლთა ფონდი, </w:t>
      </w:r>
      <w:r w:rsidR="00A74F5D" w:rsidRPr="00A74F5D">
        <w:rPr>
          <w:lang w:val="ka-GE"/>
        </w:rPr>
        <w:t xml:space="preserve">ICU </w:t>
      </w:r>
      <w:r w:rsidR="00A74F5D">
        <w:rPr>
          <w:lang w:val="ka-GE"/>
        </w:rPr>
        <w:t xml:space="preserve">და ვენტილატორების რაოდენობა, ინფექციის </w:t>
      </w:r>
      <w:r w:rsidR="006C7E25">
        <w:rPr>
          <w:lang w:val="ka-GE"/>
        </w:rPr>
        <w:t>გავრცელება, აქტიური შემთვევები, გარდაცვალება, ტესტირებები - ყოველდღიური პირველადი და განმეორებითი, ქვეყანაშ</w:t>
      </w:r>
      <w:r w:rsidR="000A3C71">
        <w:rPr>
          <w:lang w:val="ka-GE"/>
        </w:rPr>
        <w:t>ი</w:t>
      </w:r>
      <w:r w:rsidR="006C7E25">
        <w:rPr>
          <w:lang w:val="ka-GE"/>
        </w:rPr>
        <w:t xml:space="preserve"> გატარებული </w:t>
      </w:r>
      <w:r w:rsidR="006C7E25">
        <w:rPr>
          <w:lang w:val="ka-GE"/>
        </w:rPr>
        <w:lastRenderedPageBreak/>
        <w:t>ღონისძებები, გაცემული რეკომენდაციები და სხვა).</w:t>
      </w:r>
      <w:r w:rsidR="00A74F5D">
        <w:rPr>
          <w:lang w:val="ka-GE"/>
        </w:rPr>
        <w:t xml:space="preserve"> მონაცემები </w:t>
      </w:r>
      <w:r w:rsidR="00A74F5D" w:rsidRPr="00A74F5D">
        <w:rPr>
          <w:lang w:val="ka-GE"/>
        </w:rPr>
        <w:t>IHME მხრიდან გადამოწმდა და შეჯერდა ჯონს ჰოპკინსის, ჯანმო</w:t>
      </w:r>
      <w:r w:rsidR="000A3C71">
        <w:rPr>
          <w:lang w:val="ka-GE"/>
        </w:rPr>
        <w:t>-</w:t>
      </w:r>
      <w:r w:rsidR="00A74F5D" w:rsidRPr="00A74F5D">
        <w:rPr>
          <w:lang w:val="ka-GE"/>
        </w:rPr>
        <w:t xml:space="preserve">ს, our world in data </w:t>
      </w:r>
      <w:r w:rsidR="00A74F5D">
        <w:rPr>
          <w:lang w:val="ka-GE"/>
        </w:rPr>
        <w:t>და სხვა საერთაშორისო წყაროებთან.</w:t>
      </w:r>
      <w:r w:rsidR="00CB06B7">
        <w:rPr>
          <w:lang w:val="ka-GE"/>
        </w:rPr>
        <w:t xml:space="preserve"> </w:t>
      </w:r>
    </w:p>
    <w:p w:rsidR="006C7E25" w:rsidRDefault="006C7E25">
      <w:pPr>
        <w:rPr>
          <w:lang w:val="ka-GE"/>
        </w:rPr>
      </w:pPr>
      <w:r>
        <w:rPr>
          <w:lang w:val="ka-GE"/>
        </w:rPr>
        <w:t xml:space="preserve">25 ივნისს პირველად გამოქვეყნდა </w:t>
      </w:r>
      <w:r w:rsidRPr="006C7E25">
        <w:rPr>
          <w:lang w:val="ka-GE"/>
        </w:rPr>
        <w:t>IHME-</w:t>
      </w:r>
      <w:r>
        <w:rPr>
          <w:lang w:val="ka-GE"/>
        </w:rPr>
        <w:t xml:space="preserve">ს სამი </w:t>
      </w:r>
      <w:r w:rsidR="005D03F5">
        <w:rPr>
          <w:lang w:val="ka-GE"/>
        </w:rPr>
        <w:t>სც</w:t>
      </w:r>
      <w:r>
        <w:rPr>
          <w:lang w:val="ka-GE"/>
        </w:rPr>
        <w:t xml:space="preserve">ენარით </w:t>
      </w:r>
      <w:r w:rsidR="00CB06B7">
        <w:rPr>
          <w:lang w:val="ka-GE"/>
        </w:rPr>
        <w:t>საქართველოსთვის</w:t>
      </w:r>
      <w:r>
        <w:rPr>
          <w:lang w:val="ka-GE"/>
        </w:rPr>
        <w:t xml:space="preserve"> შემუშ</w:t>
      </w:r>
      <w:r w:rsidR="00CB06B7">
        <w:rPr>
          <w:lang w:val="ka-GE"/>
        </w:rPr>
        <w:t>ა</w:t>
      </w:r>
      <w:r>
        <w:rPr>
          <w:lang w:val="ka-GE"/>
        </w:rPr>
        <w:t>ვებული პროგნოზი</w:t>
      </w:r>
      <w:r w:rsidR="00CB06B7">
        <w:rPr>
          <w:rStyle w:val="FootnoteReference"/>
          <w:lang w:val="ka-GE"/>
        </w:rPr>
        <w:footnoteReference w:id="2"/>
      </w:r>
      <w:r>
        <w:rPr>
          <w:lang w:val="ka-GE"/>
        </w:rPr>
        <w:t>.</w:t>
      </w:r>
      <w:r w:rsidR="005D03F5">
        <w:rPr>
          <w:lang w:val="ka-GE"/>
        </w:rPr>
        <w:t xml:space="preserve"> პროგნოზირების ძირითადი მახასიათებლებია:</w:t>
      </w:r>
    </w:p>
    <w:p w:rsidR="005D03F5" w:rsidRPr="00A16691" w:rsidRDefault="005D03F5" w:rsidP="00A16691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lang w:val="ka-GE"/>
        </w:rPr>
      </w:pPr>
      <w:r w:rsidRPr="00A16691">
        <w:rPr>
          <w:lang w:val="ka-GE"/>
        </w:rPr>
        <w:t xml:space="preserve">მოიცავს </w:t>
      </w:r>
      <w:r w:rsidR="00CB06B7" w:rsidRPr="00A16691">
        <w:rPr>
          <w:lang w:val="ka-GE"/>
        </w:rPr>
        <w:t>მაქსიმუმ</w:t>
      </w:r>
      <w:r w:rsidR="00CB06B7">
        <w:rPr>
          <w:lang w:val="ka-GE"/>
        </w:rPr>
        <w:t xml:space="preserve"> </w:t>
      </w:r>
      <w:r w:rsidRPr="00A16691">
        <w:rPr>
          <w:lang w:val="ka-GE"/>
        </w:rPr>
        <w:t>შემდგომ 3 თვეს;</w:t>
      </w:r>
    </w:p>
    <w:p w:rsidR="005D03F5" w:rsidRPr="00A16691" w:rsidRDefault="005D03F5" w:rsidP="00A16691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lang w:val="ka-GE"/>
        </w:rPr>
      </w:pPr>
      <w:r w:rsidRPr="00A16691">
        <w:rPr>
          <w:lang w:val="ka-GE"/>
        </w:rPr>
        <w:t>რეგულარულად ხდება განახლება და დაზუსტება (</w:t>
      </w:r>
      <w:r w:rsidR="002001ED">
        <w:rPr>
          <w:lang w:val="ka-GE"/>
        </w:rPr>
        <w:t xml:space="preserve">საშუალოდ </w:t>
      </w:r>
      <w:r w:rsidRPr="00A16691">
        <w:rPr>
          <w:lang w:val="ka-GE"/>
        </w:rPr>
        <w:t>2 კვირაში ერთხელ);</w:t>
      </w:r>
    </w:p>
    <w:p w:rsidR="00A16691" w:rsidRDefault="00A16691" w:rsidP="00A16691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lang w:val="ka-GE"/>
        </w:rPr>
      </w:pPr>
      <w:r w:rsidRPr="00A16691">
        <w:rPr>
          <w:lang w:val="ka-GE"/>
        </w:rPr>
        <w:t>ითვალისწინებს, რომ დაავადების გადატანის შემდეგ ყალიბდება მყარი იმუნიტეტი, ხოლო მთლიანი მოსახლეობა ახალი კორონავირუსთან მიმართებაში იყოფა SEIR 4 ჯგუფად: ის, ვინც შესაძლოა დაინფიცირდეს (</w:t>
      </w:r>
      <w:r w:rsidRPr="00A16691">
        <w:rPr>
          <w:b/>
          <w:lang w:val="ka-GE"/>
        </w:rPr>
        <w:t>S</w:t>
      </w:r>
      <w:r w:rsidRPr="00A16691">
        <w:rPr>
          <w:lang w:val="ka-GE"/>
        </w:rPr>
        <w:t>-usceptible); ვინც დაინფიცირდა, მაგრამ ჯერ არ არის გადამდები (</w:t>
      </w:r>
      <w:r w:rsidRPr="00A16691">
        <w:rPr>
          <w:b/>
          <w:lang w:val="ka-GE"/>
        </w:rPr>
        <w:t>E</w:t>
      </w:r>
      <w:r w:rsidRPr="00A16691">
        <w:rPr>
          <w:lang w:val="ka-GE"/>
        </w:rPr>
        <w:t>-xposed); დაინფიცირებული და გადამდები ინდივიდები (</w:t>
      </w:r>
      <w:r w:rsidRPr="00A16691">
        <w:rPr>
          <w:b/>
          <w:lang w:val="ka-GE"/>
        </w:rPr>
        <w:t>I</w:t>
      </w:r>
      <w:r w:rsidRPr="00A16691">
        <w:rPr>
          <w:lang w:val="ka-GE"/>
        </w:rPr>
        <w:t>-nfective); გამოჯანმრთელებულები, მყარი იმუნიტეტით (</w:t>
      </w:r>
      <w:r w:rsidRPr="00A16691">
        <w:rPr>
          <w:b/>
          <w:lang w:val="ka-GE"/>
        </w:rPr>
        <w:t>R</w:t>
      </w:r>
      <w:r w:rsidRPr="00A16691">
        <w:rPr>
          <w:lang w:val="ka-GE"/>
        </w:rPr>
        <w:t>-ecovered);</w:t>
      </w:r>
    </w:p>
    <w:p w:rsidR="00A74F5D" w:rsidRDefault="00A74F5D" w:rsidP="00A16691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lang w:val="ka-GE"/>
        </w:rPr>
      </w:pPr>
      <w:r>
        <w:t xml:space="preserve">COVID </w:t>
      </w:r>
      <w:r>
        <w:rPr>
          <w:lang w:val="ka-GE"/>
        </w:rPr>
        <w:t>გარდაცვალებული შემთხვევები მნიშვნელოვანი ცვლადია მოდელში და მეტი სარწმუნოებისთვის</w:t>
      </w:r>
      <w:r w:rsidR="000A3C71">
        <w:rPr>
          <w:lang w:val="ka-GE"/>
        </w:rPr>
        <w:t>,</w:t>
      </w:r>
      <w:r>
        <w:rPr>
          <w:lang w:val="ka-GE"/>
        </w:rPr>
        <w:t xml:space="preserve"> გათვალისწინებული ხდება ე.წ. ჭარბსიკვდილიანობის მონაცემები;</w:t>
      </w:r>
    </w:p>
    <w:p w:rsidR="002001ED" w:rsidRDefault="002001ED" w:rsidP="00A16691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lang w:val="ka-GE"/>
        </w:rPr>
      </w:pPr>
      <w:r>
        <w:rPr>
          <w:lang w:val="ka-GE"/>
        </w:rPr>
        <w:t>ნაცვლად სეზონურობისა, მოდელში ასახულია პნევმონიის რაოდენობა სეზონთან მიმართებაში;</w:t>
      </w:r>
    </w:p>
    <w:p w:rsidR="002001ED" w:rsidRDefault="002001ED" w:rsidP="00A16691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lang w:val="ka-GE"/>
        </w:rPr>
      </w:pPr>
      <w:r>
        <w:rPr>
          <w:lang w:val="ka-GE"/>
        </w:rPr>
        <w:t>გათვალისწინებულია მოსახლეობის სიმჭიდროვე, ოჯახებში ადამიანების საშუალო რაოდენობა, საზოგადო ტრანსპორტის მოხმარება, გრიპის სეზონურობა, მობილობა, კონტაქტების ტაოდენობა, შემზღუდველი ღონისძიები, დაწყება და ხანგრძლივობა.</w:t>
      </w:r>
    </w:p>
    <w:p w:rsidR="002001ED" w:rsidRPr="00A16691" w:rsidRDefault="002001ED" w:rsidP="002001ED">
      <w:pPr>
        <w:pStyle w:val="ListParagraph"/>
        <w:spacing w:after="0" w:line="240" w:lineRule="auto"/>
        <w:ind w:left="714"/>
        <w:rPr>
          <w:lang w:val="ka-GE"/>
        </w:rPr>
      </w:pPr>
    </w:p>
    <w:p w:rsidR="005D03F5" w:rsidRPr="00CB06B7" w:rsidRDefault="00A16691">
      <w:pPr>
        <w:rPr>
          <w:u w:val="single"/>
          <w:lang w:val="ka-GE"/>
        </w:rPr>
      </w:pPr>
      <w:r w:rsidRPr="00CB06B7">
        <w:rPr>
          <w:u w:val="single"/>
          <w:lang w:val="ka-GE"/>
        </w:rPr>
        <w:t>პირველი სცენარი, რეფერენსი</w:t>
      </w:r>
      <w:r w:rsidR="002001ED" w:rsidRPr="00CB06B7">
        <w:rPr>
          <w:u w:val="single"/>
          <w:lang w:val="ka-GE"/>
        </w:rPr>
        <w:t xml:space="preserve"> (ყავისფერი)</w:t>
      </w:r>
      <w:r w:rsidRPr="00CB06B7">
        <w:rPr>
          <w:u w:val="single"/>
          <w:lang w:val="ka-GE"/>
        </w:rPr>
        <w:t>:</w:t>
      </w:r>
    </w:p>
    <w:p w:rsidR="00A16691" w:rsidRPr="004F4D16" w:rsidRDefault="004F4D16" w:rsidP="004F4D16">
      <w:pPr>
        <w:pStyle w:val="ListParagraph"/>
        <w:numPr>
          <w:ilvl w:val="0"/>
          <w:numId w:val="2"/>
        </w:numPr>
        <w:rPr>
          <w:lang w:val="ka-GE"/>
        </w:rPr>
      </w:pPr>
      <w:r w:rsidRPr="004F4D16">
        <w:rPr>
          <w:lang w:val="ka-GE"/>
        </w:rPr>
        <w:t xml:space="preserve">ნიღბების გამოყენება რჩება იმ რაოდენობით, რაც ამჟამად არის; </w:t>
      </w:r>
    </w:p>
    <w:p w:rsidR="004F4D16" w:rsidRPr="004F4D16" w:rsidRDefault="004F4D16" w:rsidP="004F4D16">
      <w:pPr>
        <w:pStyle w:val="ListParagraph"/>
        <w:numPr>
          <w:ilvl w:val="0"/>
          <w:numId w:val="2"/>
        </w:numPr>
        <w:rPr>
          <w:lang w:val="ka-GE"/>
        </w:rPr>
      </w:pPr>
      <w:r w:rsidRPr="004F4D16">
        <w:rPr>
          <w:lang w:val="ka-GE"/>
        </w:rPr>
        <w:t>თანდათან, მაგრამ სტაბილურად მცირდება სოციალური დისტანცირება;</w:t>
      </w:r>
    </w:p>
    <w:p w:rsidR="004F4D16" w:rsidRPr="004F4D16" w:rsidRDefault="004F4D16" w:rsidP="004F4D16">
      <w:pPr>
        <w:pStyle w:val="ListParagraph"/>
        <w:numPr>
          <w:ilvl w:val="0"/>
          <w:numId w:val="2"/>
        </w:numPr>
        <w:rPr>
          <w:lang w:val="ka-GE"/>
        </w:rPr>
      </w:pPr>
      <w:r w:rsidRPr="004F4D16">
        <w:rPr>
          <w:lang w:val="ka-GE"/>
        </w:rPr>
        <w:t>თუ შედეგად მიიღება სიკვდილიანობა 8 / 1 000 000 მოსახლეზე, 6 კვირით კვლავ იქნება მკაცრად მოთხოვნილი გარკვეულ ღონისძებები (საგანმანათლებლო დაწესებულებების და არა-ესენციური ბიზნესების დახურვა, „დარჩი სახლში“ განკარგულება, დიდი თ</w:t>
      </w:r>
      <w:r w:rsidR="000A3C71">
        <w:rPr>
          <w:lang w:val="ka-GE"/>
        </w:rPr>
        <w:t>ა</w:t>
      </w:r>
      <w:r w:rsidRPr="004F4D16">
        <w:rPr>
          <w:lang w:val="ka-GE"/>
        </w:rPr>
        <w:t>ვყრილობების აკრძალვა, ნიღბების სავალდებულო ტარება),  რასაც მოყვება 2 კვირა შემსუბუქება და თუ საჭიროა შემდგომი 6 კვირა ისევ გამკაცრება</w:t>
      </w:r>
      <w:r w:rsidR="000A3C71">
        <w:rPr>
          <w:lang w:val="ka-GE"/>
        </w:rPr>
        <w:t>.</w:t>
      </w:r>
    </w:p>
    <w:p w:rsidR="004F4D16" w:rsidRPr="00CB06B7" w:rsidRDefault="004F4D16">
      <w:pPr>
        <w:rPr>
          <w:u w:val="single"/>
          <w:lang w:val="ka-GE"/>
        </w:rPr>
      </w:pPr>
      <w:r w:rsidRPr="00CB06B7">
        <w:rPr>
          <w:u w:val="single"/>
          <w:lang w:val="ka-GE"/>
        </w:rPr>
        <w:t>მეორე სცენარი, ყველა შეზღუდვის მოხსნა</w:t>
      </w:r>
      <w:r w:rsidR="004C3B20" w:rsidRPr="00CB06B7">
        <w:rPr>
          <w:u w:val="single"/>
          <w:lang w:val="ka-GE"/>
        </w:rPr>
        <w:t xml:space="preserve"> (წითელი)</w:t>
      </w:r>
      <w:r w:rsidRPr="00CB06B7">
        <w:rPr>
          <w:u w:val="single"/>
          <w:lang w:val="ka-GE"/>
        </w:rPr>
        <w:t>:</w:t>
      </w:r>
    </w:p>
    <w:p w:rsidR="004F4D16" w:rsidRPr="004F4D16" w:rsidRDefault="004F4D16" w:rsidP="004F4D16">
      <w:pPr>
        <w:pStyle w:val="ListParagraph"/>
        <w:numPr>
          <w:ilvl w:val="0"/>
          <w:numId w:val="2"/>
        </w:numPr>
        <w:rPr>
          <w:lang w:val="ka-GE"/>
        </w:rPr>
      </w:pPr>
      <w:r w:rsidRPr="004F4D16">
        <w:rPr>
          <w:lang w:val="ka-GE"/>
        </w:rPr>
        <w:t xml:space="preserve">ნიღბების გამოყენება რჩება იმ რაოდენობით, რაც ამჟამად არის; </w:t>
      </w:r>
    </w:p>
    <w:p w:rsidR="004F4D16" w:rsidRPr="004F4D16" w:rsidRDefault="004F4D16" w:rsidP="004F4D16">
      <w:pPr>
        <w:pStyle w:val="ListParagraph"/>
        <w:numPr>
          <w:ilvl w:val="0"/>
          <w:numId w:val="2"/>
        </w:numPr>
        <w:rPr>
          <w:lang w:val="ka-GE"/>
        </w:rPr>
      </w:pPr>
      <w:r w:rsidRPr="004F4D16">
        <w:rPr>
          <w:lang w:val="ka-GE"/>
        </w:rPr>
        <w:t>თანდათან, მაგრამ სტაბილურად მცირდება სოციალური დისტანცირება;</w:t>
      </w:r>
    </w:p>
    <w:p w:rsidR="004F4D16" w:rsidRPr="004F4D16" w:rsidRDefault="004F4D16" w:rsidP="004F4D16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არც ერთ შემთხვევაში არ მოხდება მკაცრი ღონისძებების ხელახლა შემოღება.</w:t>
      </w:r>
    </w:p>
    <w:p w:rsidR="004F4D16" w:rsidRPr="00CB06B7" w:rsidRDefault="004F4D16" w:rsidP="004F4D16">
      <w:pPr>
        <w:rPr>
          <w:u w:val="single"/>
          <w:lang w:val="ka-GE"/>
        </w:rPr>
      </w:pPr>
      <w:r w:rsidRPr="00CB06B7">
        <w:rPr>
          <w:u w:val="single"/>
          <w:lang w:val="ka-GE"/>
        </w:rPr>
        <w:t>მესამე სცენარი, ნიღბების უნივერსალური მოხმარება</w:t>
      </w:r>
      <w:r w:rsidR="004C3B20" w:rsidRPr="00CB06B7">
        <w:rPr>
          <w:u w:val="single"/>
          <w:lang w:val="ka-GE"/>
        </w:rPr>
        <w:t xml:space="preserve"> (მწვანე)</w:t>
      </w:r>
      <w:r w:rsidRPr="00CB06B7">
        <w:rPr>
          <w:u w:val="single"/>
          <w:lang w:val="ka-GE"/>
        </w:rPr>
        <w:t>:</w:t>
      </w:r>
    </w:p>
    <w:p w:rsidR="004F4D16" w:rsidRPr="004F4D16" w:rsidRDefault="004F4D16" w:rsidP="004F4D16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 xml:space="preserve">საჯარო, საზოგადო ადგილებში </w:t>
      </w:r>
      <w:r w:rsidRPr="004F4D16">
        <w:rPr>
          <w:lang w:val="ka-GE"/>
        </w:rPr>
        <w:t xml:space="preserve">ნიღბების გამოყენება </w:t>
      </w:r>
      <w:r>
        <w:rPr>
          <w:lang w:val="ka-GE"/>
        </w:rPr>
        <w:t xml:space="preserve">მომავალი 7 დღის განმავლობაში </w:t>
      </w:r>
      <w:r w:rsidR="000A3C71">
        <w:rPr>
          <w:lang w:val="ka-GE"/>
        </w:rPr>
        <w:t>მიაღწევ</w:t>
      </w:r>
      <w:r>
        <w:rPr>
          <w:lang w:val="ka-GE"/>
        </w:rPr>
        <w:t xml:space="preserve">ს მინიმუმ 95%-ს (ამჟამად </w:t>
      </w:r>
      <w:r w:rsidR="000A3C71">
        <w:t>IHME</w:t>
      </w:r>
      <w:r w:rsidR="000A3C71">
        <w:rPr>
          <w:lang w:val="ka-GE"/>
        </w:rPr>
        <w:t xml:space="preserve">-ს რუკაზე </w:t>
      </w:r>
      <w:r>
        <w:rPr>
          <w:lang w:val="ka-GE"/>
        </w:rPr>
        <w:t>საქართველოში 60-80% ფარგლებშია);</w:t>
      </w:r>
      <w:r w:rsidRPr="004F4D16">
        <w:rPr>
          <w:lang w:val="ka-GE"/>
        </w:rPr>
        <w:t xml:space="preserve"> </w:t>
      </w:r>
    </w:p>
    <w:p w:rsidR="004F4D16" w:rsidRPr="004F4D16" w:rsidRDefault="004F4D16" w:rsidP="004F4D16">
      <w:pPr>
        <w:pStyle w:val="ListParagraph"/>
        <w:numPr>
          <w:ilvl w:val="0"/>
          <w:numId w:val="2"/>
        </w:numPr>
        <w:rPr>
          <w:lang w:val="ka-GE"/>
        </w:rPr>
      </w:pPr>
      <w:r w:rsidRPr="004F4D16">
        <w:rPr>
          <w:lang w:val="ka-GE"/>
        </w:rPr>
        <w:t>თანდათან, მაგრამ სტაბილურად მცირდება სოციალური დისტანცირება;</w:t>
      </w:r>
    </w:p>
    <w:p w:rsidR="004F4D16" w:rsidRDefault="004F4D16" w:rsidP="004F4D16">
      <w:pPr>
        <w:pStyle w:val="ListParagraph"/>
        <w:numPr>
          <w:ilvl w:val="0"/>
          <w:numId w:val="2"/>
        </w:numPr>
        <w:rPr>
          <w:lang w:val="ka-GE"/>
        </w:rPr>
      </w:pPr>
      <w:r w:rsidRPr="004F4D16">
        <w:rPr>
          <w:lang w:val="ka-GE"/>
        </w:rPr>
        <w:t xml:space="preserve">თუ შედეგად მიიღება სიკვდილიანობა 8 / 1 000 000 მოსახლეზე, 6 კვირით კვლავ იქნება მკაცრად მოთხოვნილი გარკვეულ ღონისძებები (საგანმანათლებლო დაწესებულებების და არა-ესენციური ბიზნესების დახურვა, „დარჩი სახლში“ განკარგულება, დიდი </w:t>
      </w:r>
      <w:r w:rsidRPr="004F4D16">
        <w:rPr>
          <w:lang w:val="ka-GE"/>
        </w:rPr>
        <w:lastRenderedPageBreak/>
        <w:t>თ</w:t>
      </w:r>
      <w:r w:rsidR="000A3C71">
        <w:rPr>
          <w:lang w:val="ka-GE"/>
        </w:rPr>
        <w:t>ა</w:t>
      </w:r>
      <w:r w:rsidRPr="004F4D16">
        <w:rPr>
          <w:lang w:val="ka-GE"/>
        </w:rPr>
        <w:t>ვყრილობების აკრძალვა, ნიღბების სავალდებულო ტარება),  რასაც მოყვება 2 კვირა შემსუბუქება და თუ საჭიროა შემდგომი 6 კვირა ისევ გამკაცრება;</w:t>
      </w:r>
    </w:p>
    <w:p w:rsidR="00BB6488" w:rsidRDefault="00CB06B7" w:rsidP="0035369D">
      <w:pPr>
        <w:rPr>
          <w:lang w:val="ka-GE"/>
        </w:rPr>
      </w:pPr>
      <w:r>
        <w:rPr>
          <w:lang w:val="ka-GE"/>
        </w:rPr>
        <w:t xml:space="preserve">წარმოდგენილი სცენარების მიხედვით, საქართველოს პროგნოზი წარმოდგენილია </w:t>
      </w:r>
      <w:r>
        <w:t>IHME</w:t>
      </w:r>
      <w:r>
        <w:rPr>
          <w:lang w:val="ka-GE"/>
        </w:rPr>
        <w:t>-ს ოფიციალურ ვებ-გვერდზე</w:t>
      </w:r>
      <w:r>
        <w:rPr>
          <w:rStyle w:val="FootnoteReference"/>
          <w:lang w:val="ka-GE"/>
        </w:rPr>
        <w:footnoteReference w:id="3"/>
      </w:r>
      <w:r>
        <w:rPr>
          <w:lang w:val="ka-GE"/>
        </w:rPr>
        <w:t xml:space="preserve">. </w:t>
      </w:r>
    </w:p>
    <w:p w:rsidR="0035369D" w:rsidRDefault="0035369D" w:rsidP="0035369D">
      <w:pPr>
        <w:rPr>
          <w:lang w:val="ka-GE"/>
        </w:rPr>
      </w:pPr>
      <w:r w:rsidRPr="00BB6488">
        <w:rPr>
          <w:u w:val="single"/>
          <w:lang w:val="ka-GE"/>
        </w:rPr>
        <w:t>საერთო სიკვდილიანობა</w:t>
      </w:r>
      <w:r>
        <w:rPr>
          <w:lang w:val="ka-GE"/>
        </w:rPr>
        <w:t xml:space="preserve"> - სამივე სცენარით გათვალისწინებული პირობების დაცვით, 1 ოქტომბერს მცირედ იქნება სიკვდილიანობის მაჩვენებელის მატება (</w:t>
      </w:r>
      <w:r w:rsidR="005268F5">
        <w:rPr>
          <w:lang w:val="ka-GE"/>
        </w:rPr>
        <w:t xml:space="preserve">თუმცა </w:t>
      </w:r>
      <w:r>
        <w:rPr>
          <w:lang w:val="ka-GE"/>
        </w:rPr>
        <w:t>მესამე სცენარ</w:t>
      </w:r>
      <w:r w:rsidR="005268F5">
        <w:rPr>
          <w:lang w:val="ka-GE"/>
        </w:rPr>
        <w:t>ის შესრულებისას სიკვდილიანობა ამჟამინდელი მაჩვენებელის მსგავსია</w:t>
      </w:r>
      <w:r>
        <w:rPr>
          <w:lang w:val="ka-GE"/>
        </w:rPr>
        <w:t>)</w:t>
      </w:r>
    </w:p>
    <w:p w:rsidR="0035369D" w:rsidRPr="0035369D" w:rsidRDefault="0035369D" w:rsidP="0035369D">
      <w:pPr>
        <w:rPr>
          <w:lang w:val="ka-GE"/>
        </w:rPr>
      </w:pPr>
      <w:r>
        <w:rPr>
          <w:noProof/>
        </w:rPr>
        <w:drawing>
          <wp:inline distT="0" distB="0" distL="0" distR="0">
            <wp:extent cx="5511772" cy="27305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2023" cy="274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D16" w:rsidRDefault="003E6EB4" w:rsidP="0035369D">
      <w:pPr>
        <w:rPr>
          <w:lang w:val="ka-GE"/>
        </w:rPr>
      </w:pPr>
      <w:r>
        <w:rPr>
          <w:lang w:val="ka-GE"/>
        </w:rPr>
        <w:t xml:space="preserve">ამჟამინდელი </w:t>
      </w:r>
      <w:r w:rsidR="0035369D">
        <w:rPr>
          <w:lang w:val="ka-GE"/>
        </w:rPr>
        <w:t>არსებული სიტუაციის გაგრძელებით (</w:t>
      </w:r>
      <w:r w:rsidR="009F1E71">
        <w:rPr>
          <w:lang w:val="ka-GE"/>
        </w:rPr>
        <w:t xml:space="preserve">მოდელირება მოიცავს მხოლოდ პირველ </w:t>
      </w:r>
      <w:r w:rsidR="0035369D">
        <w:rPr>
          <w:lang w:val="ka-GE"/>
        </w:rPr>
        <w:t>სცენარ</w:t>
      </w:r>
      <w:r w:rsidR="009F1E71">
        <w:rPr>
          <w:lang w:val="ka-GE"/>
        </w:rPr>
        <w:t>ს</w:t>
      </w:r>
      <w:r w:rsidR="0035369D">
        <w:rPr>
          <w:lang w:val="ka-GE"/>
        </w:rPr>
        <w:t xml:space="preserve">), 1 ოქტომბრისთვის საჭირო </w:t>
      </w:r>
      <w:r w:rsidR="0035369D" w:rsidRPr="00BB6488">
        <w:rPr>
          <w:u w:val="single"/>
          <w:lang w:val="ka-GE"/>
        </w:rPr>
        <w:t>დღიური ტესტირებების რაოდენობა</w:t>
      </w:r>
      <w:r w:rsidR="0035369D">
        <w:rPr>
          <w:lang w:val="ka-GE"/>
        </w:rPr>
        <w:t xml:space="preserve"> შეადგენს 2</w:t>
      </w:r>
      <w:r w:rsidR="00383016">
        <w:rPr>
          <w:lang w:val="ka-GE"/>
        </w:rPr>
        <w:t xml:space="preserve"> </w:t>
      </w:r>
      <w:r w:rsidR="0035369D">
        <w:rPr>
          <w:lang w:val="ka-GE"/>
        </w:rPr>
        <w:t xml:space="preserve">000 </w:t>
      </w:r>
      <w:r w:rsidR="0035369D">
        <w:t>PCR-</w:t>
      </w:r>
      <w:r w:rsidR="0035369D">
        <w:rPr>
          <w:lang w:val="ka-GE"/>
        </w:rPr>
        <w:t>ს.</w:t>
      </w:r>
    </w:p>
    <w:p w:rsidR="003E6EB4" w:rsidRDefault="0035369D" w:rsidP="0035369D">
      <w:pPr>
        <w:rPr>
          <w:lang w:val="ka-GE"/>
        </w:rPr>
      </w:pPr>
      <w:r>
        <w:rPr>
          <w:noProof/>
        </w:rPr>
        <w:drawing>
          <wp:inline distT="0" distB="0" distL="0" distR="0" wp14:anchorId="361B23FA" wp14:editId="4A3FFEBE">
            <wp:extent cx="5943600" cy="27743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69D" w:rsidRDefault="003E6EB4" w:rsidP="003E6EB4">
      <w:pPr>
        <w:rPr>
          <w:lang w:val="ka-GE"/>
        </w:rPr>
      </w:pPr>
      <w:r w:rsidRPr="003E6EB4">
        <w:rPr>
          <w:lang w:val="ka-GE"/>
        </w:rPr>
        <w:lastRenderedPageBreak/>
        <w:t>ამჟამინდელი არსებული სიტუაციის გაგრძელებით (</w:t>
      </w:r>
      <w:r w:rsidR="009F1E71">
        <w:rPr>
          <w:lang w:val="ka-GE"/>
        </w:rPr>
        <w:t xml:space="preserve">მოდელირება მოიცავს მხოლოდ პირველ </w:t>
      </w:r>
      <w:r w:rsidRPr="003E6EB4">
        <w:rPr>
          <w:lang w:val="ka-GE"/>
        </w:rPr>
        <w:t>სცენარ</w:t>
      </w:r>
      <w:r w:rsidR="009F1E71">
        <w:rPr>
          <w:lang w:val="ka-GE"/>
        </w:rPr>
        <w:t>ს</w:t>
      </w:r>
      <w:r w:rsidRPr="003E6EB4">
        <w:rPr>
          <w:lang w:val="ka-GE"/>
        </w:rPr>
        <w:t xml:space="preserve">), 1 ოქტომბრისთვის </w:t>
      </w:r>
      <w:r>
        <w:rPr>
          <w:lang w:val="ka-GE"/>
        </w:rPr>
        <w:t xml:space="preserve">ქვეყანაში არ არის მოსალოდნელი </w:t>
      </w:r>
      <w:r w:rsidRPr="00BB6488">
        <w:rPr>
          <w:u w:val="single"/>
          <w:lang w:val="ka-GE"/>
        </w:rPr>
        <w:t>ჰოსპიტალური საწოლების დეფიციტი</w:t>
      </w:r>
      <w:r>
        <w:rPr>
          <w:lang w:val="ka-GE"/>
        </w:rPr>
        <w:t>.</w:t>
      </w:r>
    </w:p>
    <w:p w:rsidR="00B04C03" w:rsidRDefault="003E6EB4" w:rsidP="003E6EB4">
      <w:pPr>
        <w:rPr>
          <w:lang w:val="ka-GE"/>
        </w:rPr>
      </w:pPr>
      <w:r>
        <w:rPr>
          <w:noProof/>
        </w:rPr>
        <w:drawing>
          <wp:inline distT="0" distB="0" distL="0" distR="0">
            <wp:extent cx="5943600" cy="23266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EB4" w:rsidRDefault="00B04C03" w:rsidP="00383016">
      <w:pPr>
        <w:rPr>
          <w:lang w:val="ka-GE"/>
        </w:rPr>
      </w:pPr>
      <w:r>
        <w:t>IHME</w:t>
      </w:r>
      <w:r>
        <w:rPr>
          <w:lang w:val="ka-GE"/>
        </w:rPr>
        <w:t>-ს პროე</w:t>
      </w:r>
      <w:r w:rsidR="005268F5">
        <w:rPr>
          <w:lang w:val="ka-GE"/>
        </w:rPr>
        <w:t>ქ</w:t>
      </w:r>
      <w:r>
        <w:rPr>
          <w:lang w:val="ka-GE"/>
        </w:rPr>
        <w:t>ტირებით, 1 ოქტ</w:t>
      </w:r>
      <w:r w:rsidR="008C765F">
        <w:rPr>
          <w:lang w:val="ka-GE"/>
        </w:rPr>
        <w:t>ომ</w:t>
      </w:r>
      <w:r>
        <w:rPr>
          <w:lang w:val="ka-GE"/>
        </w:rPr>
        <w:t xml:space="preserve">ბრამდე ქვეყანაში სამივე მოდელის პირობებში </w:t>
      </w:r>
      <w:r w:rsidR="005268F5">
        <w:rPr>
          <w:lang w:val="ka-GE"/>
        </w:rPr>
        <w:t xml:space="preserve">მაინც </w:t>
      </w:r>
      <w:r>
        <w:rPr>
          <w:lang w:val="ka-GE"/>
        </w:rPr>
        <w:t xml:space="preserve">განუხრელად მცირდება </w:t>
      </w:r>
      <w:r w:rsidRPr="00BB6488">
        <w:rPr>
          <w:u w:val="single"/>
          <w:lang w:val="ka-GE"/>
        </w:rPr>
        <w:t>სოციალური დისტანცირების აღსრულება</w:t>
      </w:r>
      <w:r>
        <w:rPr>
          <w:lang w:val="ka-GE"/>
        </w:rPr>
        <w:t xml:space="preserve"> და აღწევს -5% (ფაქტიურად იგივე ციფრია, რაც პანდემიის დაწყებამდე), მაშინ როცა ამ მანდანტის აღსრულება ყველაზე კარგად ხორციელდებოდა 18-23 აპრილის პერიოდში და დისტანცირების აღსრულება -74% იყო. </w:t>
      </w:r>
    </w:p>
    <w:p w:rsidR="008C765F" w:rsidRDefault="008C765F" w:rsidP="00B04C03">
      <w:pPr>
        <w:ind w:firstLine="720"/>
        <w:rPr>
          <w:lang w:val="ka-GE"/>
        </w:rPr>
      </w:pPr>
      <w:r>
        <w:rPr>
          <w:noProof/>
        </w:rPr>
        <w:drawing>
          <wp:inline distT="0" distB="0" distL="0" distR="0">
            <wp:extent cx="5638800" cy="258445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C03" w:rsidRDefault="00B04C03" w:rsidP="00383016">
      <w:pPr>
        <w:rPr>
          <w:lang w:val="ka-GE"/>
        </w:rPr>
      </w:pPr>
      <w:r>
        <w:t>IHME</w:t>
      </w:r>
      <w:r>
        <w:rPr>
          <w:lang w:val="ka-GE"/>
        </w:rPr>
        <w:t xml:space="preserve"> მოდელირება ასევე იძლევა საშუალებას, რომ შედარებული იყოს სხვა ქვეყნებთან. ამ შემთხვევაში მაგალითისთვის წარმოდგენილია </w:t>
      </w:r>
      <w:r w:rsidR="00383016">
        <w:rPr>
          <w:lang w:val="ka-GE"/>
        </w:rPr>
        <w:t>საქართველოს, სომხეთის და თურქეთის</w:t>
      </w:r>
      <w:r>
        <w:rPr>
          <w:lang w:val="ka-GE"/>
        </w:rPr>
        <w:t xml:space="preserve"> </w:t>
      </w:r>
      <w:r w:rsidR="008C765F">
        <w:rPr>
          <w:lang w:val="ka-GE"/>
        </w:rPr>
        <w:t xml:space="preserve">ტესტირების საჭიროება ყოველ 100 000 მოსახლეზე. </w:t>
      </w:r>
      <w:r w:rsidR="00383016">
        <w:rPr>
          <w:lang w:val="ka-GE"/>
        </w:rPr>
        <w:t xml:space="preserve">1 ოქტომბრისთვის </w:t>
      </w:r>
      <w:r w:rsidR="008C765F">
        <w:rPr>
          <w:lang w:val="ka-GE"/>
        </w:rPr>
        <w:t>საქართველოს მაჩვენებლია საშუალოდ 54.55 / 100 000, სომხეთის 107.59 / 100 000 და თურქეთის 125.7 / 100 000</w:t>
      </w:r>
    </w:p>
    <w:p w:rsidR="008C765F" w:rsidRDefault="008C765F" w:rsidP="00B04C03">
      <w:pPr>
        <w:ind w:firstLine="720"/>
        <w:rPr>
          <w:lang w:val="ka-GE"/>
        </w:rPr>
      </w:pPr>
      <w:r>
        <w:rPr>
          <w:noProof/>
        </w:rPr>
        <w:lastRenderedPageBreak/>
        <w:drawing>
          <wp:inline distT="0" distB="0" distL="0" distR="0">
            <wp:extent cx="5943600" cy="24409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C03" w:rsidRPr="00CB06B7" w:rsidRDefault="005268F5" w:rsidP="005268F5">
      <w:pPr>
        <w:rPr>
          <w:lang w:val="ka-GE"/>
        </w:rPr>
      </w:pPr>
      <w:r>
        <w:rPr>
          <w:lang w:val="ka-GE"/>
        </w:rPr>
        <w:t xml:space="preserve">როგორც ზევით აღინიშნა, </w:t>
      </w:r>
      <w:r>
        <w:t>IHME</w:t>
      </w:r>
      <w:r>
        <w:rPr>
          <w:lang w:val="ka-GE"/>
        </w:rPr>
        <w:t>-ს</w:t>
      </w:r>
      <w:r>
        <w:rPr>
          <w:lang w:val="ru-RU"/>
        </w:rPr>
        <w:t xml:space="preserve"> </w:t>
      </w:r>
      <w:r>
        <w:rPr>
          <w:lang w:val="ka-GE"/>
        </w:rPr>
        <w:t>მოდელირებები არის მოკლევადიანი, მაქსიმუმ 3 თვე. ამ ეტაპზე საქართველოსთვის სამივე სცენარის შედეგები ახლოს დგას ერთმანეთთნ, რაც გასული პერიოდის წარმატებულად განხორციელებული შეზღუდვის ღონისძებების და სწორი ტესტირების მოცვის შედეგია.</w:t>
      </w:r>
      <w:r w:rsidR="009F1E71">
        <w:rPr>
          <w:lang w:val="ka-GE"/>
        </w:rPr>
        <w:t xml:space="preserve"> მოდელირების განახლება გახორციელდება თვეში ორჯერ. შესაბამისად, ნსდს-თან</w:t>
      </w:r>
      <w:r>
        <w:rPr>
          <w:lang w:val="ka-GE"/>
        </w:rPr>
        <w:t xml:space="preserve"> </w:t>
      </w:r>
      <w:r w:rsidR="00CB06B7">
        <w:rPr>
          <w:lang w:val="ka-GE"/>
        </w:rPr>
        <w:t xml:space="preserve">არსებული თანამშრომლობის ფარგლებში, რუტინულად </w:t>
      </w:r>
      <w:r w:rsidR="00CB06B7">
        <w:t>IHME</w:t>
      </w:r>
      <w:r w:rsidR="00CB06B7">
        <w:rPr>
          <w:lang w:val="ka-GE"/>
        </w:rPr>
        <w:t xml:space="preserve">-ს </w:t>
      </w:r>
      <w:r w:rsidR="009F1E71">
        <w:rPr>
          <w:lang w:val="ka-GE"/>
        </w:rPr>
        <w:t xml:space="preserve">კვლავ კვირაში ერთხელ </w:t>
      </w:r>
      <w:r w:rsidR="00CB06B7">
        <w:rPr>
          <w:lang w:val="ka-GE"/>
        </w:rPr>
        <w:t xml:space="preserve">მიეწოდება ეპიდემიოლოგიური და ტესტირების </w:t>
      </w:r>
      <w:r w:rsidR="009F1E71">
        <w:rPr>
          <w:lang w:val="ka-GE"/>
        </w:rPr>
        <w:t>შესახებ სრული ინფორმაცია</w:t>
      </w:r>
      <w:r w:rsidR="00CB06B7">
        <w:rPr>
          <w:lang w:val="ka-GE"/>
        </w:rPr>
        <w:t xml:space="preserve">. ასევე, თუ ქვეყანაში შეიცვლება შემსუბუქების ან გამკაცრების პოლიტიკა, </w:t>
      </w:r>
      <w:r w:rsidR="00BB6488">
        <w:rPr>
          <w:lang w:val="ka-GE"/>
        </w:rPr>
        <w:t xml:space="preserve">ამ ტიპის ინფორმაციაც მიწოდებული იქნება, </w:t>
      </w:r>
      <w:r w:rsidR="00CB06B7">
        <w:rPr>
          <w:lang w:val="ka-GE"/>
        </w:rPr>
        <w:t>რაც ასახული იქნება შემდგომ მოდელირებებში</w:t>
      </w:r>
      <w:r w:rsidR="009F1E71">
        <w:rPr>
          <w:lang w:val="ka-GE"/>
        </w:rPr>
        <w:t xml:space="preserve"> და შესაძლოა გარკვეული პერიოდის შემდეგ წარმოდგენილ სცენარებში რადიკალური განსხვავება აღინიშნოს</w:t>
      </w:r>
      <w:r w:rsidR="00CB06B7">
        <w:rPr>
          <w:lang w:val="ka-GE"/>
        </w:rPr>
        <w:t>.</w:t>
      </w:r>
    </w:p>
    <w:sectPr w:rsidR="00B04C03" w:rsidRPr="00CB0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3AC" w:rsidRDefault="00CD73AC" w:rsidP="00CB06B7">
      <w:pPr>
        <w:spacing w:after="0" w:line="240" w:lineRule="auto"/>
      </w:pPr>
      <w:r>
        <w:separator/>
      </w:r>
    </w:p>
  </w:endnote>
  <w:endnote w:type="continuationSeparator" w:id="0">
    <w:p w:rsidR="00CD73AC" w:rsidRDefault="00CD73AC" w:rsidP="00CB0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3AC" w:rsidRDefault="00CD73AC" w:rsidP="00CB06B7">
      <w:pPr>
        <w:spacing w:after="0" w:line="240" w:lineRule="auto"/>
      </w:pPr>
      <w:r>
        <w:separator/>
      </w:r>
    </w:p>
  </w:footnote>
  <w:footnote w:type="continuationSeparator" w:id="0">
    <w:p w:rsidR="00CD73AC" w:rsidRDefault="00CD73AC" w:rsidP="00CB06B7">
      <w:pPr>
        <w:spacing w:after="0" w:line="240" w:lineRule="auto"/>
      </w:pPr>
      <w:r>
        <w:continuationSeparator/>
      </w:r>
    </w:p>
  </w:footnote>
  <w:footnote w:id="1">
    <w:p w:rsidR="00CB06B7" w:rsidRPr="00CB06B7" w:rsidRDefault="00CB06B7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ka-GE"/>
        </w:rPr>
        <w:t xml:space="preserve">ჯანმრთელობის გაზომვებისა და შეფასების ცენტრზე მეტი დეტალი შესაძლოა ინახოს </w:t>
      </w:r>
      <w:hyperlink r:id="rId1" w:history="1">
        <w:r w:rsidRPr="00CB06B7">
          <w:rPr>
            <w:rStyle w:val="Hyperlink"/>
            <w:lang w:val="ka-GE"/>
          </w:rPr>
          <w:t>აქ</w:t>
        </w:r>
      </w:hyperlink>
      <w:r>
        <w:rPr>
          <w:lang w:val="ka-GE"/>
        </w:rPr>
        <w:t xml:space="preserve"> </w:t>
      </w:r>
    </w:p>
  </w:footnote>
  <w:footnote w:id="2">
    <w:p w:rsidR="00CB06B7" w:rsidRPr="00CB06B7" w:rsidRDefault="00CB06B7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ka-GE"/>
        </w:rPr>
        <w:t xml:space="preserve">მოდელირების დაშვევების შესახებ დამატებითი ინფორმაცია შესაძლებელია ინახოს </w:t>
      </w:r>
      <w:hyperlink r:id="rId2" w:history="1">
        <w:r w:rsidRPr="00CB06B7">
          <w:rPr>
            <w:rStyle w:val="Hyperlink"/>
            <w:lang w:val="ka-GE"/>
          </w:rPr>
          <w:t>აქ</w:t>
        </w:r>
      </w:hyperlink>
    </w:p>
  </w:footnote>
  <w:footnote w:id="3">
    <w:p w:rsidR="00CB06B7" w:rsidRPr="00CB06B7" w:rsidRDefault="00CB06B7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rPr>
          <w:lang w:val="ka-GE"/>
        </w:rPr>
        <w:t xml:space="preserve"> მოდელირების ნახვა შესაძლებელია </w:t>
      </w:r>
      <w:hyperlink r:id="rId3" w:history="1">
        <w:r w:rsidRPr="00CB06B7">
          <w:rPr>
            <w:rStyle w:val="Hyperlink"/>
            <w:lang w:val="ka-GE"/>
          </w:rPr>
          <w:t>აქ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C76D9"/>
    <w:multiLevelType w:val="hybridMultilevel"/>
    <w:tmpl w:val="8D162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CD3C1C"/>
    <w:multiLevelType w:val="hybridMultilevel"/>
    <w:tmpl w:val="6C08E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CF"/>
    <w:rsid w:val="000A3C71"/>
    <w:rsid w:val="002001ED"/>
    <w:rsid w:val="0035369D"/>
    <w:rsid w:val="0036430F"/>
    <w:rsid w:val="00383016"/>
    <w:rsid w:val="003E6EB4"/>
    <w:rsid w:val="004C3B20"/>
    <w:rsid w:val="004F4D16"/>
    <w:rsid w:val="005268F5"/>
    <w:rsid w:val="00561A87"/>
    <w:rsid w:val="005D03F5"/>
    <w:rsid w:val="006C7E25"/>
    <w:rsid w:val="008479B6"/>
    <w:rsid w:val="008C765F"/>
    <w:rsid w:val="009F1E71"/>
    <w:rsid w:val="00A16691"/>
    <w:rsid w:val="00A74F5D"/>
    <w:rsid w:val="00B04C03"/>
    <w:rsid w:val="00B246D8"/>
    <w:rsid w:val="00BB6488"/>
    <w:rsid w:val="00CB06B7"/>
    <w:rsid w:val="00CD73AC"/>
    <w:rsid w:val="00CF7A14"/>
    <w:rsid w:val="00E87C67"/>
    <w:rsid w:val="00F43CFF"/>
    <w:rsid w:val="00F6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A912B-E2F1-4ECC-8F7D-89AB6A86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69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B06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06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06B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B06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06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ovid19.healthdata.org/georgia" TargetMode="External"/><Relationship Id="rId2" Type="http://schemas.openxmlformats.org/officeDocument/2006/relationships/hyperlink" Target="http://www.healthdata.org/covid/faqs" TargetMode="External"/><Relationship Id="rId1" Type="http://schemas.openxmlformats.org/officeDocument/2006/relationships/hyperlink" Target="http://www.healthdat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351FD-CD6B-4374-A1D0-8C450E5E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Skhvitaridze</dc:creator>
  <cp:keywords/>
  <dc:description/>
  <cp:lastModifiedBy>Amiran Gamkrelidze</cp:lastModifiedBy>
  <cp:revision>2</cp:revision>
  <dcterms:created xsi:type="dcterms:W3CDTF">2020-06-29T05:42:00Z</dcterms:created>
  <dcterms:modified xsi:type="dcterms:W3CDTF">2020-06-29T05:42:00Z</dcterms:modified>
</cp:coreProperties>
</file>