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04E36" w14:textId="688292E6" w:rsidR="009950B1" w:rsidRPr="00D01AB5" w:rsidRDefault="009950B1" w:rsidP="009950B1">
      <w:pPr>
        <w:tabs>
          <w:tab w:val="left" w:pos="2955"/>
        </w:tabs>
        <w:spacing w:line="276" w:lineRule="auto"/>
        <w:rPr>
          <w:rFonts w:cstheme="minorHAnsi"/>
        </w:rPr>
      </w:pPr>
    </w:p>
    <w:p w14:paraId="744A7A30" w14:textId="77777777" w:rsidR="00147917" w:rsidRPr="00147917" w:rsidRDefault="00147917" w:rsidP="009950B1">
      <w:pPr>
        <w:tabs>
          <w:tab w:val="left" w:pos="2955"/>
        </w:tabs>
        <w:spacing w:line="276" w:lineRule="auto"/>
        <w:rPr>
          <w:rFonts w:ascii="Sylfaen" w:hAnsi="Sylfaen" w:cs="ALK Tall Nusxuri"/>
          <w:sz w:val="6"/>
          <w:lang w:val="ka-GE"/>
        </w:rPr>
      </w:pPr>
    </w:p>
    <w:p w14:paraId="77A70DF9" w14:textId="3BDF1FEF" w:rsidR="002914C3" w:rsidRPr="00ED4038" w:rsidRDefault="00ED4038" w:rsidP="00ED4038">
      <w:pPr>
        <w:tabs>
          <w:tab w:val="left" w:pos="2955"/>
        </w:tabs>
        <w:spacing w:after="0" w:line="240" w:lineRule="auto"/>
        <w:jc w:val="center"/>
        <w:rPr>
          <w:rFonts w:ascii="Sylfaen" w:hAnsi="Sylfaen"/>
          <w:sz w:val="24"/>
          <w:lang w:val="ka-GE"/>
        </w:rPr>
      </w:pPr>
      <w:r w:rsidRPr="00ED4038">
        <w:rPr>
          <w:rFonts w:ascii="Sylfaen" w:hAnsi="Sylfaen"/>
          <w:sz w:val="24"/>
          <w:lang w:val="ka-GE"/>
        </w:rPr>
        <w:t>პაციენტზე ორიენტირებული და პირველად ჯანდაცვა</w:t>
      </w:r>
      <w:r w:rsidR="00D82146">
        <w:rPr>
          <w:rFonts w:ascii="Sylfaen" w:hAnsi="Sylfaen"/>
          <w:sz w:val="24"/>
          <w:lang w:val="ka-GE"/>
        </w:rPr>
        <w:t>ში</w:t>
      </w:r>
      <w:r w:rsidRPr="00ED4038">
        <w:rPr>
          <w:rFonts w:ascii="Sylfaen" w:hAnsi="Sylfaen"/>
          <w:sz w:val="24"/>
          <w:lang w:val="ka-GE"/>
        </w:rPr>
        <w:t xml:space="preserve"> ტუბერკულოზის მართვის ინტეგრირებული მოდელ</w:t>
      </w:r>
      <w:r w:rsidR="00147917">
        <w:rPr>
          <w:rFonts w:ascii="Sylfaen" w:hAnsi="Sylfaen"/>
          <w:sz w:val="24"/>
          <w:lang w:val="ka-GE"/>
        </w:rPr>
        <w:t>ი</w:t>
      </w:r>
      <w:r w:rsidRPr="00ED4038">
        <w:rPr>
          <w:rFonts w:ascii="Sylfaen" w:hAnsi="Sylfaen"/>
          <w:sz w:val="24"/>
          <w:lang w:val="ka-GE"/>
        </w:rPr>
        <w:t xml:space="preserve"> შედეგზე დაფუძნებული დაფინანსების სქემით</w:t>
      </w:r>
    </w:p>
    <w:p w14:paraId="104D0724" w14:textId="03E1CE66" w:rsidR="00ED4038" w:rsidRDefault="00ED4038" w:rsidP="00653D3E">
      <w:pPr>
        <w:tabs>
          <w:tab w:val="left" w:pos="2955"/>
        </w:tabs>
        <w:spacing w:before="0" w:beforeAutospacing="0"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(ძირითადი </w:t>
      </w:r>
      <w:r w:rsidR="00653D3E">
        <w:rPr>
          <w:rFonts w:ascii="Sylfaen" w:hAnsi="Sylfaen"/>
          <w:lang w:val="ka-GE"/>
        </w:rPr>
        <w:t>პრინციპები</w:t>
      </w:r>
      <w:r>
        <w:rPr>
          <w:rFonts w:ascii="Sylfaen" w:hAnsi="Sylfaen"/>
          <w:lang w:val="ka-GE"/>
        </w:rPr>
        <w:t>)</w:t>
      </w:r>
    </w:p>
    <w:p w14:paraId="0F5EBF31" w14:textId="77777777" w:rsidR="00ED4038" w:rsidRDefault="00ED4038" w:rsidP="00665B82">
      <w:pPr>
        <w:pStyle w:val="Default"/>
        <w:spacing w:line="276" w:lineRule="auto"/>
        <w:ind w:firstLine="450"/>
        <w:rPr>
          <w:rFonts w:ascii="Sylfaen" w:hAnsi="Sylfaen" w:cs="Helvetica"/>
          <w:sz w:val="22"/>
          <w:szCs w:val="22"/>
          <w:lang w:val="ka-GE"/>
        </w:rPr>
      </w:pPr>
    </w:p>
    <w:p w14:paraId="00418B7F" w14:textId="434DE07E" w:rsidR="002914C3" w:rsidRDefault="002914C3" w:rsidP="00CF66A0">
      <w:pPr>
        <w:pStyle w:val="Default"/>
        <w:spacing w:after="120" w:line="276" w:lineRule="auto"/>
        <w:rPr>
          <w:rFonts w:ascii="Sylfaen" w:hAnsi="Sylfaen"/>
          <w:sz w:val="22"/>
          <w:szCs w:val="23"/>
          <w:lang w:val="ka-GE"/>
        </w:rPr>
      </w:pPr>
      <w:r w:rsidRPr="00ED4038">
        <w:rPr>
          <w:rFonts w:ascii="Sylfaen" w:hAnsi="Sylfaen"/>
          <w:b/>
          <w:sz w:val="22"/>
          <w:szCs w:val="23"/>
          <w:lang w:val="ka-GE"/>
        </w:rPr>
        <w:t>ინტერვენცი</w:t>
      </w:r>
      <w:r w:rsidR="00ED4038">
        <w:rPr>
          <w:rFonts w:ascii="Sylfaen" w:hAnsi="Sylfaen"/>
          <w:b/>
          <w:sz w:val="22"/>
          <w:szCs w:val="23"/>
          <w:lang w:val="ka-GE"/>
        </w:rPr>
        <w:t>ის განმარტება:</w:t>
      </w:r>
      <w:r w:rsidRPr="00F113E6">
        <w:rPr>
          <w:rFonts w:ascii="Sylfaen" w:hAnsi="Sylfaen"/>
          <w:sz w:val="22"/>
          <w:szCs w:val="23"/>
          <w:lang w:val="ka-GE"/>
        </w:rPr>
        <w:t xml:space="preserve"> </w:t>
      </w:r>
      <w:r w:rsidRPr="008F0201">
        <w:rPr>
          <w:rFonts w:ascii="Sylfaen" w:hAnsi="Sylfaen"/>
          <w:sz w:val="22"/>
          <w:szCs w:val="23"/>
          <w:lang w:val="ka-GE"/>
        </w:rPr>
        <w:t>ღონისძიებების</w:t>
      </w:r>
      <w:r w:rsidRPr="00F113E6">
        <w:rPr>
          <w:rFonts w:ascii="Sylfaen" w:hAnsi="Sylfaen"/>
          <w:i/>
          <w:sz w:val="22"/>
          <w:szCs w:val="23"/>
          <w:lang w:val="ka-GE"/>
        </w:rPr>
        <w:t xml:space="preserve"> </w:t>
      </w:r>
      <w:r w:rsidRPr="00F113E6">
        <w:rPr>
          <w:rFonts w:ascii="Sylfaen" w:hAnsi="Sylfaen"/>
          <w:sz w:val="22"/>
          <w:szCs w:val="23"/>
          <w:lang w:val="ka-GE"/>
        </w:rPr>
        <w:t>პაკეტი, მათ შორის შედეგებზე დაფუძნებული დაფინანსების (RBF) სქემა</w:t>
      </w:r>
      <w:r w:rsidR="00ED4038">
        <w:rPr>
          <w:rFonts w:ascii="Sylfaen" w:hAnsi="Sylfaen"/>
          <w:sz w:val="22"/>
          <w:szCs w:val="23"/>
          <w:lang w:val="ka-GE"/>
        </w:rPr>
        <w:t xml:space="preserve"> (ანუ ბონუსები)</w:t>
      </w:r>
      <w:r>
        <w:rPr>
          <w:rFonts w:ascii="Sylfaen" w:hAnsi="Sylfaen"/>
          <w:sz w:val="22"/>
          <w:szCs w:val="23"/>
          <w:lang w:val="ka-GE"/>
        </w:rPr>
        <w:t xml:space="preserve"> პროვაიდერებში</w:t>
      </w:r>
      <w:r w:rsidRPr="00F113E6">
        <w:rPr>
          <w:rFonts w:ascii="Sylfaen" w:hAnsi="Sylfaen"/>
          <w:sz w:val="22"/>
          <w:szCs w:val="23"/>
          <w:lang w:val="ka-GE"/>
        </w:rPr>
        <w:t xml:space="preserve">, რომლის </w:t>
      </w:r>
      <w:r>
        <w:rPr>
          <w:rFonts w:ascii="Sylfaen" w:hAnsi="Sylfaen"/>
          <w:sz w:val="22"/>
          <w:szCs w:val="23"/>
          <w:lang w:val="ka-GE"/>
        </w:rPr>
        <w:t>მიზანია</w:t>
      </w:r>
      <w:r w:rsidRPr="00F113E6">
        <w:rPr>
          <w:rFonts w:ascii="Sylfaen" w:hAnsi="Sylfaen"/>
          <w:sz w:val="22"/>
          <w:szCs w:val="23"/>
          <w:lang w:val="ka-GE"/>
        </w:rPr>
        <w:t xml:space="preserve"> ტუბერკულოზით დაავადებულ პაციენტებში ტუბერკულოზის მკურნალობისადმი </w:t>
      </w:r>
      <w:r>
        <w:rPr>
          <w:rFonts w:ascii="Sylfaen" w:hAnsi="Sylfaen"/>
          <w:sz w:val="22"/>
          <w:szCs w:val="23"/>
          <w:lang w:val="ka-GE"/>
        </w:rPr>
        <w:t>დამყოლობის</w:t>
      </w:r>
      <w:r w:rsidRPr="00F113E6">
        <w:rPr>
          <w:rFonts w:ascii="Sylfaen" w:hAnsi="Sylfaen"/>
          <w:sz w:val="22"/>
          <w:szCs w:val="23"/>
          <w:lang w:val="ka-GE"/>
        </w:rPr>
        <w:t xml:space="preserve"> და მკურნალობის შედეგების გაუმჯობესება.  </w:t>
      </w:r>
    </w:p>
    <w:p w14:paraId="5E33C714" w14:textId="6EA3602E" w:rsidR="002914C3" w:rsidRPr="00F113E6" w:rsidRDefault="002914C3" w:rsidP="00CF66A0">
      <w:pPr>
        <w:pStyle w:val="Default"/>
        <w:spacing w:line="276" w:lineRule="auto"/>
        <w:rPr>
          <w:rFonts w:ascii="Sylfaen" w:hAnsi="Sylfaen"/>
          <w:sz w:val="22"/>
          <w:szCs w:val="23"/>
          <w:lang w:val="ka-GE"/>
        </w:rPr>
      </w:pPr>
      <w:r w:rsidRPr="00F113E6">
        <w:rPr>
          <w:rFonts w:ascii="Sylfaen" w:hAnsi="Sylfaen"/>
          <w:b/>
          <w:sz w:val="22"/>
          <w:szCs w:val="23"/>
          <w:lang w:val="ka-GE"/>
        </w:rPr>
        <w:t xml:space="preserve">მიზნობრივი </w:t>
      </w:r>
      <w:r>
        <w:rPr>
          <w:rFonts w:ascii="Sylfaen" w:hAnsi="Sylfaen"/>
          <w:b/>
          <w:sz w:val="22"/>
          <w:szCs w:val="23"/>
          <w:lang w:val="ka-GE"/>
        </w:rPr>
        <w:t>ჯგუფი</w:t>
      </w:r>
      <w:r w:rsidRPr="00F113E6">
        <w:rPr>
          <w:rFonts w:ascii="Sylfaen" w:hAnsi="Sylfaen"/>
          <w:b/>
          <w:sz w:val="22"/>
          <w:szCs w:val="23"/>
          <w:lang w:val="ka-GE"/>
        </w:rPr>
        <w:t>:</w:t>
      </w:r>
      <w:r w:rsidRPr="00F113E6">
        <w:rPr>
          <w:rFonts w:ascii="Sylfaen" w:hAnsi="Sylfaen"/>
          <w:sz w:val="22"/>
          <w:szCs w:val="23"/>
          <w:lang w:val="ka-GE"/>
        </w:rPr>
        <w:t xml:space="preserve"> </w:t>
      </w:r>
      <w:r w:rsidR="00ED4038">
        <w:rPr>
          <w:rFonts w:ascii="Sylfaen" w:hAnsi="Sylfaen"/>
          <w:sz w:val="22"/>
          <w:szCs w:val="23"/>
          <w:lang w:val="ka-GE"/>
        </w:rPr>
        <w:t>სენსიტიური</w:t>
      </w:r>
      <w:r w:rsidRPr="00F113E6">
        <w:rPr>
          <w:rFonts w:ascii="Sylfaen" w:hAnsi="Sylfaen"/>
          <w:sz w:val="22"/>
          <w:szCs w:val="23"/>
          <w:lang w:val="ka-GE"/>
        </w:rPr>
        <w:t xml:space="preserve">  (DS) და რეზისტენტული</w:t>
      </w:r>
      <w:r w:rsidR="00761D9E">
        <w:rPr>
          <w:rFonts w:ascii="Sylfaen" w:hAnsi="Sylfaen"/>
          <w:sz w:val="22"/>
          <w:szCs w:val="23"/>
          <w:lang w:val="ka-GE"/>
        </w:rPr>
        <w:t xml:space="preserve"> </w:t>
      </w:r>
      <w:r w:rsidR="00761D9E" w:rsidRPr="00F113E6">
        <w:rPr>
          <w:rFonts w:ascii="Sylfaen" w:hAnsi="Sylfaen"/>
          <w:sz w:val="22"/>
          <w:szCs w:val="23"/>
          <w:lang w:val="ka-GE"/>
        </w:rPr>
        <w:t xml:space="preserve">ტუბერკულოზის </w:t>
      </w:r>
      <w:r w:rsidRPr="00F113E6">
        <w:rPr>
          <w:rFonts w:ascii="Sylfaen" w:hAnsi="Sylfaen"/>
          <w:sz w:val="22"/>
          <w:szCs w:val="23"/>
          <w:lang w:val="ka-GE"/>
        </w:rPr>
        <w:t xml:space="preserve"> (DR) </w:t>
      </w:r>
      <w:r w:rsidR="007878E6">
        <w:rPr>
          <w:rFonts w:ascii="Sylfaen" w:hAnsi="Sylfaen"/>
          <w:sz w:val="22"/>
          <w:szCs w:val="23"/>
          <w:lang w:val="ka-GE"/>
        </w:rPr>
        <w:t xml:space="preserve">ფილტვის </w:t>
      </w:r>
      <w:r>
        <w:rPr>
          <w:rFonts w:ascii="Sylfaen" w:hAnsi="Sylfaen"/>
          <w:sz w:val="22"/>
          <w:szCs w:val="23"/>
          <w:lang w:val="ka-GE"/>
        </w:rPr>
        <w:t xml:space="preserve">ფორმით </w:t>
      </w:r>
      <w:r w:rsidRPr="00F113E6">
        <w:rPr>
          <w:rFonts w:ascii="Sylfaen" w:hAnsi="Sylfaen"/>
          <w:sz w:val="22"/>
          <w:szCs w:val="23"/>
          <w:lang w:val="ka-GE"/>
        </w:rPr>
        <w:t>დაავადებული პაციენტები</w:t>
      </w:r>
      <w:r w:rsidR="007878E6">
        <w:rPr>
          <w:rFonts w:ascii="Sylfaen" w:hAnsi="Sylfaen"/>
          <w:sz w:val="22"/>
          <w:szCs w:val="23"/>
          <w:lang w:val="ka-GE"/>
        </w:rPr>
        <w:t xml:space="preserve"> </w:t>
      </w:r>
      <w:r w:rsidR="007878E6" w:rsidRPr="00F113E6">
        <w:rPr>
          <w:rFonts w:ascii="Sylfaen" w:hAnsi="Sylfaen"/>
          <w:sz w:val="22"/>
          <w:szCs w:val="23"/>
          <w:lang w:val="ka-GE"/>
        </w:rPr>
        <w:t>მკურნალობის</w:t>
      </w:r>
      <w:r w:rsidR="007878E6">
        <w:rPr>
          <w:rFonts w:ascii="Sylfaen" w:hAnsi="Sylfaen"/>
          <w:sz w:val="22"/>
          <w:szCs w:val="23"/>
          <w:lang w:val="ka-GE"/>
        </w:rPr>
        <w:t xml:space="preserve"> </w:t>
      </w:r>
      <w:r w:rsidR="007878E6" w:rsidRPr="00F113E6">
        <w:rPr>
          <w:rFonts w:ascii="Sylfaen" w:hAnsi="Sylfaen"/>
          <w:sz w:val="22"/>
          <w:szCs w:val="23"/>
          <w:lang w:val="ka-GE"/>
        </w:rPr>
        <w:t>ამბულატორიულ</w:t>
      </w:r>
      <w:r w:rsidR="007878E6">
        <w:rPr>
          <w:rFonts w:ascii="Sylfaen" w:hAnsi="Sylfaen"/>
          <w:sz w:val="22"/>
          <w:szCs w:val="23"/>
          <w:lang w:val="ka-GE"/>
        </w:rPr>
        <w:t xml:space="preserve"> დონეზე</w:t>
      </w:r>
    </w:p>
    <w:p w14:paraId="3C84B939" w14:textId="77777777" w:rsidR="002914C3" w:rsidRPr="00F113E6" w:rsidRDefault="002914C3" w:rsidP="00CF66A0">
      <w:pPr>
        <w:pStyle w:val="Default"/>
        <w:tabs>
          <w:tab w:val="left" w:pos="4484"/>
          <w:tab w:val="left" w:pos="4996"/>
        </w:tabs>
        <w:spacing w:after="120" w:line="276" w:lineRule="auto"/>
        <w:rPr>
          <w:rFonts w:ascii="Sylfaen" w:hAnsi="Sylfaen"/>
          <w:sz w:val="22"/>
          <w:szCs w:val="23"/>
          <w:lang w:val="ka-GE"/>
        </w:rPr>
      </w:pPr>
      <w:r w:rsidRPr="00F113E6">
        <w:rPr>
          <w:rFonts w:ascii="Sylfaen" w:hAnsi="Sylfaen"/>
          <w:b/>
          <w:sz w:val="22"/>
          <w:szCs w:val="23"/>
          <w:lang w:val="ka-GE"/>
        </w:rPr>
        <w:t>ინტერვენციის</w:t>
      </w:r>
      <w:r>
        <w:rPr>
          <w:rFonts w:ascii="Sylfaen" w:hAnsi="Sylfaen"/>
          <w:b/>
          <w:sz w:val="22"/>
          <w:szCs w:val="23"/>
          <w:lang w:val="ka-GE"/>
        </w:rPr>
        <w:t xml:space="preserve"> ძირითადი</w:t>
      </w:r>
      <w:r w:rsidRPr="00F113E6">
        <w:rPr>
          <w:rFonts w:ascii="Sylfaen" w:hAnsi="Sylfaen"/>
          <w:b/>
          <w:sz w:val="22"/>
          <w:szCs w:val="23"/>
          <w:lang w:val="ka-GE"/>
        </w:rPr>
        <w:t xml:space="preserve"> შედეგები:</w:t>
      </w:r>
      <w:r w:rsidRPr="00F113E6">
        <w:rPr>
          <w:rFonts w:ascii="Sylfaen" w:hAnsi="Sylfaen"/>
          <w:b/>
          <w:sz w:val="22"/>
          <w:szCs w:val="23"/>
          <w:lang w:val="ka-GE"/>
        </w:rPr>
        <w:tab/>
      </w:r>
    </w:p>
    <w:p w14:paraId="7DBE768B" w14:textId="0ED6A225" w:rsidR="00D82146" w:rsidRDefault="00D82146" w:rsidP="00147917">
      <w:pPr>
        <w:pStyle w:val="Default"/>
        <w:numPr>
          <w:ilvl w:val="0"/>
          <w:numId w:val="11"/>
        </w:numPr>
        <w:spacing w:after="120"/>
        <w:rPr>
          <w:rFonts w:ascii="Sylfaen" w:hAnsi="Sylfaen"/>
          <w:sz w:val="22"/>
          <w:szCs w:val="23"/>
          <w:lang w:val="ka-GE"/>
        </w:rPr>
      </w:pPr>
      <w:r w:rsidRPr="00F113E6">
        <w:rPr>
          <w:rFonts w:ascii="Sylfaen" w:hAnsi="Sylfaen"/>
          <w:sz w:val="22"/>
          <w:szCs w:val="23"/>
          <w:lang w:val="ka-GE"/>
        </w:rPr>
        <w:t>ტუბერკულოზის მკურნალობაზე დამყოლობის გაუმჯობესებული მაჩვენებელი</w:t>
      </w:r>
    </w:p>
    <w:p w14:paraId="258C7861" w14:textId="303CF7FF" w:rsidR="002914C3" w:rsidRPr="00D01AB5" w:rsidRDefault="002914C3" w:rsidP="00D82146">
      <w:pPr>
        <w:pStyle w:val="Default"/>
        <w:numPr>
          <w:ilvl w:val="0"/>
          <w:numId w:val="11"/>
        </w:numPr>
        <w:spacing w:after="120"/>
        <w:rPr>
          <w:rFonts w:ascii="Sylfaen" w:hAnsi="Sylfaen"/>
          <w:sz w:val="22"/>
          <w:szCs w:val="23"/>
          <w:lang w:val="ka-GE"/>
        </w:rPr>
      </w:pPr>
      <w:r>
        <w:rPr>
          <w:rFonts w:ascii="Sylfaen" w:hAnsi="Sylfaen"/>
          <w:sz w:val="22"/>
          <w:szCs w:val="23"/>
          <w:lang w:val="ka-GE"/>
        </w:rPr>
        <w:t>წარმატებული</w:t>
      </w:r>
      <w:r w:rsidRPr="00F113E6">
        <w:rPr>
          <w:rFonts w:ascii="Sylfaen" w:hAnsi="Sylfaen"/>
          <w:sz w:val="22"/>
          <w:szCs w:val="23"/>
          <w:lang w:val="ka-GE"/>
        </w:rPr>
        <w:t xml:space="preserve"> მკურნალობის გაუმჯობესებული მაჩვენებელი </w:t>
      </w:r>
    </w:p>
    <w:p w14:paraId="56C2C9F5" w14:textId="32C582AB" w:rsidR="00653D3E" w:rsidRPr="00761D9E" w:rsidRDefault="00CF66A0" w:rsidP="00CF66A0">
      <w:pPr>
        <w:pStyle w:val="Default"/>
        <w:spacing w:line="276" w:lineRule="auto"/>
        <w:ind w:left="60"/>
        <w:rPr>
          <w:rFonts w:ascii="Sylfaen" w:hAnsi="Sylfaen"/>
          <w:sz w:val="22"/>
          <w:szCs w:val="23"/>
          <w:lang w:val="ka-GE"/>
        </w:rPr>
      </w:pPr>
      <w:r w:rsidRPr="00CF66A0">
        <w:rPr>
          <w:rFonts w:ascii="Sylfaen" w:hAnsi="Sylfaen"/>
          <w:b/>
          <w:sz w:val="22"/>
          <w:szCs w:val="23"/>
          <w:lang w:val="ka-GE"/>
        </w:rPr>
        <w:t>ბონუსი</w:t>
      </w:r>
      <w:r>
        <w:rPr>
          <w:rFonts w:ascii="Sylfaen" w:hAnsi="Sylfaen"/>
          <w:b/>
          <w:sz w:val="22"/>
          <w:szCs w:val="23"/>
          <w:lang w:val="ka-GE"/>
        </w:rPr>
        <w:t>ს გადახდის საფუძველი:</w:t>
      </w:r>
      <w:r>
        <w:rPr>
          <w:rFonts w:ascii="Sylfaen" w:hAnsi="Sylfaen"/>
          <w:sz w:val="22"/>
          <w:szCs w:val="23"/>
          <w:lang w:val="ka-GE"/>
        </w:rPr>
        <w:t xml:space="preserve"> </w:t>
      </w:r>
      <w:r w:rsidR="00653D3E">
        <w:rPr>
          <w:rFonts w:ascii="Sylfaen" w:hAnsi="Sylfaen"/>
          <w:sz w:val="22"/>
          <w:szCs w:val="23"/>
          <w:lang w:val="ka-GE"/>
        </w:rPr>
        <w:t>ბონუსის გადახდას ს</w:t>
      </w:r>
      <w:r>
        <w:rPr>
          <w:rFonts w:ascii="Sylfaen" w:hAnsi="Sylfaen"/>
          <w:sz w:val="22"/>
          <w:szCs w:val="23"/>
          <w:lang w:val="ka-GE"/>
        </w:rPr>
        <w:t>ა</w:t>
      </w:r>
      <w:r w:rsidR="00653D3E">
        <w:rPr>
          <w:rFonts w:ascii="Sylfaen" w:hAnsi="Sylfaen"/>
          <w:sz w:val="22"/>
          <w:szCs w:val="23"/>
          <w:lang w:val="ka-GE"/>
        </w:rPr>
        <w:t>ფუძვლად უდევს მკურნალობაზე დამყოლობის ინდიკატორი</w:t>
      </w:r>
      <w:r w:rsidR="00761D9E">
        <w:rPr>
          <w:rFonts w:ascii="Sylfaen" w:hAnsi="Sylfaen"/>
          <w:sz w:val="22"/>
          <w:szCs w:val="23"/>
          <w:lang w:val="ka-GE"/>
        </w:rPr>
        <w:t>ს შესრულება</w:t>
      </w:r>
      <w:r w:rsidR="00653D3E">
        <w:rPr>
          <w:rFonts w:ascii="Sylfaen" w:hAnsi="Sylfaen"/>
          <w:sz w:val="22"/>
          <w:szCs w:val="23"/>
          <w:lang w:val="ka-GE"/>
        </w:rPr>
        <w:t xml:space="preserve">, </w:t>
      </w:r>
      <w:r w:rsidR="00761D9E">
        <w:rPr>
          <w:rFonts w:ascii="Sylfaen" w:hAnsi="Sylfaen"/>
          <w:sz w:val="22"/>
          <w:szCs w:val="23"/>
          <w:lang w:val="ka-GE"/>
        </w:rPr>
        <w:t>რაც წარმოადგენს</w:t>
      </w:r>
      <w:r w:rsidR="00653D3E">
        <w:rPr>
          <w:rFonts w:ascii="Sylfaen" w:hAnsi="Sylfaen"/>
          <w:sz w:val="22"/>
          <w:szCs w:val="23"/>
          <w:lang w:val="ka-GE"/>
        </w:rPr>
        <w:t xml:space="preserve"> ფილტვის ტუბერკულოზის მქონე ამბულატორიული პაციენტების დღიური </w:t>
      </w:r>
      <w:r w:rsidR="00653D3E" w:rsidRPr="00E437FB">
        <w:rPr>
          <w:rFonts w:ascii="Sylfaen" w:hAnsi="Sylfaen"/>
          <w:sz w:val="22"/>
          <w:szCs w:val="23"/>
          <w:lang w:val="ka-GE"/>
        </w:rPr>
        <w:t>DOT-</w:t>
      </w:r>
      <w:r w:rsidR="00653D3E">
        <w:rPr>
          <w:rFonts w:ascii="Sylfaen" w:hAnsi="Sylfaen"/>
          <w:sz w:val="22"/>
          <w:szCs w:val="23"/>
          <w:lang w:val="ka-GE"/>
        </w:rPr>
        <w:t>ის შესრულებას. ინდიკატორის შესრულებაზე ანგარიშგება</w:t>
      </w:r>
      <w:r w:rsidR="00761D9E">
        <w:rPr>
          <w:rFonts w:ascii="Sylfaen" w:hAnsi="Sylfaen"/>
          <w:sz w:val="22"/>
          <w:szCs w:val="23"/>
          <w:lang w:val="ka-GE"/>
        </w:rPr>
        <w:t xml:space="preserve"> და გადახდა</w:t>
      </w:r>
      <w:r w:rsidR="00653D3E">
        <w:rPr>
          <w:rFonts w:ascii="Sylfaen" w:hAnsi="Sylfaen"/>
          <w:sz w:val="22"/>
          <w:szCs w:val="23"/>
          <w:lang w:val="ka-GE"/>
        </w:rPr>
        <w:t xml:space="preserve"> განხორციელდება კვარტალურად</w:t>
      </w:r>
      <w:r>
        <w:rPr>
          <w:rFonts w:ascii="Sylfaen" w:hAnsi="Sylfaen"/>
          <w:sz w:val="22"/>
          <w:szCs w:val="23"/>
          <w:lang w:val="ka-GE"/>
        </w:rPr>
        <w:t xml:space="preserve">. </w:t>
      </w:r>
      <w:r w:rsidR="00761D9E">
        <w:rPr>
          <w:rFonts w:ascii="Sylfaen" w:hAnsi="Sylfaen"/>
          <w:sz w:val="22"/>
          <w:szCs w:val="23"/>
          <w:lang w:val="ka-GE"/>
        </w:rPr>
        <w:t>გადახდისთვის შესაძლოა გამოყენებულ იყოს პაციენტების ინსენტივების გაცემისთვის</w:t>
      </w:r>
      <w:r w:rsidR="00D82146">
        <w:rPr>
          <w:rFonts w:ascii="Sylfaen" w:hAnsi="Sylfaen"/>
          <w:sz w:val="22"/>
          <w:szCs w:val="23"/>
          <w:lang w:val="ka-GE"/>
        </w:rPr>
        <w:t xml:space="preserve"> </w:t>
      </w:r>
      <w:r w:rsidR="00761D9E">
        <w:rPr>
          <w:rFonts w:ascii="Sylfaen" w:hAnsi="Sylfaen"/>
          <w:sz w:val="22"/>
          <w:szCs w:val="23"/>
        </w:rPr>
        <w:t>DOT</w:t>
      </w:r>
      <w:r w:rsidR="00761D9E">
        <w:rPr>
          <w:rFonts w:ascii="Sylfaen" w:hAnsi="Sylfaen"/>
          <w:sz w:val="22"/>
          <w:szCs w:val="23"/>
          <w:lang w:val="ka-GE"/>
        </w:rPr>
        <w:t>-ის შესრულებაზე ანგარიშგება დაავადებათა კონტროლის ცენტრისთვის, რომელსაც დაემატება ფორმულა ბონუსის ა</w:t>
      </w:r>
      <w:r w:rsidR="00D82146">
        <w:rPr>
          <w:rFonts w:ascii="Sylfaen" w:hAnsi="Sylfaen"/>
          <w:sz w:val="22"/>
          <w:szCs w:val="23"/>
          <w:lang w:val="ka-GE"/>
        </w:rPr>
        <w:t>ვ</w:t>
      </w:r>
      <w:r w:rsidR="00761D9E">
        <w:rPr>
          <w:rFonts w:ascii="Sylfaen" w:hAnsi="Sylfaen"/>
          <w:sz w:val="22"/>
          <w:szCs w:val="23"/>
          <w:lang w:val="ka-GE"/>
        </w:rPr>
        <w:t xml:space="preserve">ტომატური გამოთვლისთვის. ამასთან ერთად </w:t>
      </w:r>
      <w:r w:rsidR="00D82146">
        <w:rPr>
          <w:rFonts w:ascii="Sylfaen" w:hAnsi="Sylfaen"/>
          <w:sz w:val="22"/>
          <w:szCs w:val="23"/>
          <w:lang w:val="ka-GE"/>
        </w:rPr>
        <w:t xml:space="preserve">შესაძლოა გამოყენებული იყოს </w:t>
      </w:r>
      <w:r w:rsidR="00761D9E">
        <w:rPr>
          <w:rFonts w:ascii="Sylfaen" w:hAnsi="Sylfaen"/>
          <w:sz w:val="22"/>
          <w:szCs w:val="23"/>
          <w:lang w:val="ka-GE"/>
        </w:rPr>
        <w:t xml:space="preserve">პროექტის ფარგლებში უკვე შემუშავებულია ექსელის ფორმა, </w:t>
      </w:r>
      <w:r w:rsidR="00D82146">
        <w:rPr>
          <w:rFonts w:ascii="Sylfaen" w:hAnsi="Sylfaen"/>
          <w:sz w:val="22"/>
          <w:szCs w:val="23"/>
          <w:lang w:val="ka-GE"/>
        </w:rPr>
        <w:t>რომელშიც ფორმულა</w:t>
      </w:r>
      <w:r w:rsidR="00761D9E">
        <w:rPr>
          <w:rFonts w:ascii="Sylfaen" w:hAnsi="Sylfaen"/>
          <w:sz w:val="22"/>
          <w:szCs w:val="23"/>
          <w:lang w:val="ka-GE"/>
        </w:rPr>
        <w:t xml:space="preserve"> ავტომატურად ითვლის ბონუსის მოცულობას შესრულებული სამუშაოს საფუძველზე.</w:t>
      </w:r>
    </w:p>
    <w:p w14:paraId="74259C75" w14:textId="4C6B1AD1" w:rsidR="00E31AF2" w:rsidRPr="008E5D02" w:rsidRDefault="00147917" w:rsidP="00147917">
      <w:pPr>
        <w:pStyle w:val="Default"/>
        <w:spacing w:line="276" w:lineRule="auto"/>
        <w:rPr>
          <w:rFonts w:ascii="Sylfaen" w:hAnsi="Sylfaen"/>
          <w:sz w:val="22"/>
          <w:szCs w:val="23"/>
          <w:lang w:val="ka-GE"/>
        </w:rPr>
      </w:pPr>
      <w:bookmarkStart w:id="0" w:name="_GoBack"/>
      <w:bookmarkEnd w:id="0"/>
      <w:r w:rsidRPr="00147917">
        <w:rPr>
          <w:rFonts w:ascii="Sylfaen" w:hAnsi="Sylfaen"/>
          <w:b/>
          <w:sz w:val="22"/>
          <w:szCs w:val="23"/>
          <w:lang w:val="ka-GE"/>
        </w:rPr>
        <w:t>ბონუსის მოცულობა და ტარიფები</w:t>
      </w:r>
      <w:r>
        <w:rPr>
          <w:rFonts w:ascii="Sylfaen" w:hAnsi="Sylfaen"/>
          <w:b/>
          <w:sz w:val="22"/>
          <w:szCs w:val="23"/>
          <w:lang w:val="ka-GE"/>
        </w:rPr>
        <w:t xml:space="preserve"> </w:t>
      </w:r>
    </w:p>
    <w:p w14:paraId="61F01F0D" w14:textId="53E054FB" w:rsidR="00E31AF2" w:rsidRPr="00613A5F" w:rsidRDefault="00E31AF2" w:rsidP="00E31AF2">
      <w:pPr>
        <w:pStyle w:val="Caption"/>
        <w:spacing w:line="276" w:lineRule="auto"/>
      </w:pPr>
      <w:r w:rsidRPr="00665B82">
        <w:t>ცხრილი</w:t>
      </w:r>
      <w:r w:rsidRPr="006220D9">
        <w:t xml:space="preserve"> </w:t>
      </w:r>
      <w:r w:rsidRPr="006220D9">
        <w:fldChar w:fldCharType="begin"/>
      </w:r>
      <w:r w:rsidRPr="00147917">
        <w:instrText xml:space="preserve"> SEQ ცხრილი \* ARABIC </w:instrText>
      </w:r>
      <w:r w:rsidRPr="006220D9">
        <w:fldChar w:fldCharType="separate"/>
      </w:r>
      <w:r w:rsidR="00147917">
        <w:rPr>
          <w:noProof/>
        </w:rPr>
        <w:t>1</w:t>
      </w:r>
      <w:r w:rsidRPr="006220D9">
        <w:fldChar w:fldCharType="end"/>
      </w:r>
      <w:r w:rsidRPr="006220D9">
        <w:t xml:space="preserve">. </w:t>
      </w:r>
      <w:r w:rsidRPr="00613A5F">
        <w:t>შედეგებზე დაფუძნებული ბონუსის მოცულობა</w:t>
      </w:r>
      <w:r>
        <w:t>, სტრუქტურა</w:t>
      </w:r>
      <w:r w:rsidRPr="00613A5F">
        <w:t xml:space="preserve"> და ტარიფები </w:t>
      </w:r>
    </w:p>
    <w:tbl>
      <w:tblPr>
        <w:tblStyle w:val="LightShading-Accent1"/>
        <w:tblW w:w="10375" w:type="dxa"/>
        <w:tblInd w:w="-169" w:type="dxa"/>
        <w:tblLayout w:type="fixed"/>
        <w:tblLook w:val="05A0" w:firstRow="1" w:lastRow="0" w:firstColumn="1" w:lastColumn="1" w:noHBand="0" w:noVBand="1"/>
      </w:tblPr>
      <w:tblGrid>
        <w:gridCol w:w="1445"/>
        <w:gridCol w:w="851"/>
        <w:gridCol w:w="992"/>
        <w:gridCol w:w="1417"/>
        <w:gridCol w:w="993"/>
        <w:gridCol w:w="1134"/>
        <w:gridCol w:w="850"/>
        <w:gridCol w:w="1701"/>
        <w:gridCol w:w="992"/>
      </w:tblGrid>
      <w:tr w:rsidR="00E31AF2" w:rsidRPr="00F113E6" w14:paraId="70EAC553" w14:textId="77777777" w:rsidTr="00147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5" w:type="dxa"/>
            <w:gridSpan w:val="9"/>
            <w:tcBorders>
              <w:bottom w:val="nil"/>
            </w:tcBorders>
          </w:tcPr>
          <w:p w14:paraId="53E41AF3" w14:textId="77777777" w:rsidR="00E31AF2" w:rsidRPr="00F113E6" w:rsidRDefault="00E31AF2" w:rsidP="00BA7BFB">
            <w:pPr>
              <w:spacing w:line="276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  <w:t>ბონუსის მოცულობა 1 პაციენტზე  თვეში (ლარი, დარიცხული)</w:t>
            </w:r>
          </w:p>
        </w:tc>
      </w:tr>
      <w:tr w:rsidR="00147917" w:rsidRPr="00D9421F" w14:paraId="06508472" w14:textId="77777777" w:rsidTr="0014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tcBorders>
              <w:bottom w:val="nil"/>
            </w:tcBorders>
          </w:tcPr>
          <w:p w14:paraId="79A0F450" w14:textId="77777777" w:rsidR="00E31AF2" w:rsidRPr="00D9421F" w:rsidRDefault="00E31AF2" w:rsidP="00147917">
            <w:pPr>
              <w:spacing w:line="240" w:lineRule="auto"/>
              <w:ind w:left="-43" w:right="-67"/>
              <w:rPr>
                <w:rFonts w:ascii="Sylfaen" w:eastAsia="Times New Roman" w:hAnsi="Sylfaen" w:cs="Times New Roman"/>
                <w:b w:val="0"/>
                <w:color w:val="000000"/>
                <w:sz w:val="20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b w:val="0"/>
                <w:color w:val="000000"/>
                <w:sz w:val="18"/>
                <w:lang w:val="ka-GE"/>
              </w:rPr>
              <w:t>დაწესებულების ტიპი</w:t>
            </w:r>
          </w:p>
        </w:tc>
        <w:tc>
          <w:tcPr>
            <w:tcW w:w="851" w:type="dxa"/>
            <w:tcBorders>
              <w:bottom w:val="nil"/>
            </w:tcBorders>
            <w:noWrap/>
          </w:tcPr>
          <w:p w14:paraId="094AB34C" w14:textId="030D96AC" w:rsidR="00E31AF2" w:rsidRPr="00147917" w:rsidRDefault="00E31AF2" w:rsidP="00147917">
            <w:pPr>
              <w:spacing w:line="240" w:lineRule="auto"/>
              <w:ind w:lef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  <w:t>პაციენტი</w:t>
            </w:r>
          </w:p>
        </w:tc>
        <w:tc>
          <w:tcPr>
            <w:tcW w:w="992" w:type="dxa"/>
            <w:tcBorders>
              <w:bottom w:val="nil"/>
            </w:tcBorders>
          </w:tcPr>
          <w:p w14:paraId="11CD20DC" w14:textId="77777777" w:rsidR="00E31AF2" w:rsidRPr="00D9421F" w:rsidRDefault="00E31AF2" w:rsidP="00147917">
            <w:pPr>
              <w:spacing w:line="240" w:lineRule="auto"/>
              <w:ind w:left="-104" w:right="-1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  <w:t xml:space="preserve">ბონუსის მოცულობა </w:t>
            </w:r>
          </w:p>
        </w:tc>
        <w:tc>
          <w:tcPr>
            <w:tcW w:w="1417" w:type="dxa"/>
            <w:tcBorders>
              <w:bottom w:val="nil"/>
            </w:tcBorders>
            <w:noWrap/>
            <w:hideMark/>
          </w:tcPr>
          <w:p w14:paraId="05725EE2" w14:textId="77777777" w:rsidR="00E31AF2" w:rsidRPr="00D9421F" w:rsidRDefault="00E31AF2" w:rsidP="00147917">
            <w:pPr>
              <w:spacing w:line="240" w:lineRule="auto"/>
              <w:ind w:left="-90" w:right="-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  <w:t>დაწესებულება</w:t>
            </w:r>
          </w:p>
        </w:tc>
        <w:tc>
          <w:tcPr>
            <w:tcW w:w="993" w:type="dxa"/>
            <w:tcBorders>
              <w:bottom w:val="nil"/>
            </w:tcBorders>
            <w:noWrap/>
            <w:hideMark/>
          </w:tcPr>
          <w:p w14:paraId="0FAEB81B" w14:textId="77777777" w:rsidR="00E31AF2" w:rsidRPr="00D9421F" w:rsidRDefault="00E31AF2" w:rsidP="00147917">
            <w:pPr>
              <w:spacing w:line="240" w:lineRule="auto"/>
              <w:ind w:left="-74" w:right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  <w:t>მენეჯერი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14:paraId="3CD99988" w14:textId="77777777" w:rsidR="00E31AF2" w:rsidRPr="00D9421F" w:rsidRDefault="00E31AF2" w:rsidP="00147917">
            <w:pPr>
              <w:spacing w:line="240" w:lineRule="auto"/>
              <w:ind w:left="-74"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  <w:t>ფთიზიატრი</w:t>
            </w:r>
          </w:p>
        </w:tc>
        <w:tc>
          <w:tcPr>
            <w:tcW w:w="850" w:type="dxa"/>
            <w:tcBorders>
              <w:bottom w:val="nil"/>
            </w:tcBorders>
            <w:noWrap/>
            <w:hideMark/>
          </w:tcPr>
          <w:p w14:paraId="02E3D951" w14:textId="77777777" w:rsidR="00E31AF2" w:rsidRPr="00D9421F" w:rsidRDefault="00E31AF2" w:rsidP="001479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  <w:t>ოჯახის ექიმი</w:t>
            </w:r>
          </w:p>
        </w:tc>
        <w:tc>
          <w:tcPr>
            <w:tcW w:w="1701" w:type="dxa"/>
            <w:tcBorders>
              <w:bottom w:val="nil"/>
            </w:tcBorders>
          </w:tcPr>
          <w:p w14:paraId="7A14A2E8" w14:textId="77777777" w:rsidR="00E31AF2" w:rsidRPr="00D9421F" w:rsidRDefault="00E31AF2" w:rsidP="00147917">
            <w:pPr>
              <w:spacing w:line="240" w:lineRule="auto"/>
              <w:ind w:left="-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  <w:t>DOT ექთანი/ სოფლის ექთანი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Borders>
              <w:bottom w:val="nil"/>
            </w:tcBorders>
            <w:noWrap/>
            <w:hideMark/>
          </w:tcPr>
          <w:p w14:paraId="04BA9E1D" w14:textId="77777777" w:rsidR="00E31AF2" w:rsidRPr="00D9421F" w:rsidRDefault="00E31AF2" w:rsidP="00147917">
            <w:pPr>
              <w:spacing w:line="240" w:lineRule="auto"/>
              <w:ind w:left="-47" w:right="-107"/>
              <w:rPr>
                <w:rFonts w:ascii="Sylfaen" w:eastAsia="Times New Roman" w:hAnsi="Sylfaen" w:cs="Times New Roman"/>
                <w:b w:val="0"/>
                <w:color w:val="000000"/>
                <w:sz w:val="18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b w:val="0"/>
                <w:color w:val="000000"/>
                <w:sz w:val="18"/>
                <w:lang w:val="ka-GE"/>
              </w:rPr>
              <w:t>სოფლის ექიმი</w:t>
            </w:r>
          </w:p>
        </w:tc>
      </w:tr>
      <w:tr w:rsidR="00147917" w:rsidRPr="00D9421F" w14:paraId="51FA6E94" w14:textId="77777777" w:rsidTr="0014791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vMerge w:val="restart"/>
            <w:tcBorders>
              <w:top w:val="nil"/>
            </w:tcBorders>
            <w:shd w:val="clear" w:color="auto" w:fill="auto"/>
          </w:tcPr>
          <w:p w14:paraId="59F5CEF2" w14:textId="19CE17BA" w:rsidR="00E31AF2" w:rsidRPr="00D9421F" w:rsidRDefault="00E31AF2" w:rsidP="00BA7BFB">
            <w:pPr>
              <w:spacing w:line="276" w:lineRule="auto"/>
              <w:ind w:left="-43" w:right="-104"/>
              <w:rPr>
                <w:rFonts w:ascii="Sylfaen" w:eastAsia="Times New Roman" w:hAnsi="Sylfaen" w:cs="Times New Roman"/>
                <w:b w:val="0"/>
                <w:color w:val="000000"/>
                <w:sz w:val="18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b w:val="0"/>
                <w:color w:val="000000"/>
                <w:sz w:val="18"/>
                <w:lang w:val="ka-GE"/>
              </w:rPr>
              <w:t>ინტეგრირებული</w:t>
            </w:r>
            <w:r w:rsidR="00147917">
              <w:rPr>
                <w:rStyle w:val="FootnoteReference"/>
                <w:rFonts w:ascii="Sylfaen" w:hAnsi="Sylfaen"/>
                <w:sz w:val="22"/>
                <w:szCs w:val="23"/>
                <w:lang w:val="ka-GE"/>
              </w:rPr>
              <w:footnoteReference w:id="1"/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noWrap/>
          </w:tcPr>
          <w:p w14:paraId="46110955" w14:textId="77777777" w:rsidR="00E31AF2" w:rsidRPr="00D9421F" w:rsidRDefault="00E31AF2" w:rsidP="00BA7BFB">
            <w:pPr>
              <w:spacing w:line="276" w:lineRule="auto"/>
              <w:ind w:left="-110"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  <w:t>ქალაქი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69FDF8B" w14:textId="77777777" w:rsidR="00E31AF2" w:rsidRPr="008848D8" w:rsidRDefault="00E31AF2" w:rsidP="00BA7BF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5709AD">
              <w:rPr>
                <w:rFonts w:ascii="Sylfaen" w:eastAsia="Times New Roman" w:hAnsi="Sylfaen" w:cs="Times New Roman"/>
                <w:bCs/>
                <w:color w:val="000000"/>
                <w:sz w:val="20"/>
                <w:lang w:val="ka-GE"/>
              </w:rPr>
              <w:t>58.50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E4F8CEC" w14:textId="77777777" w:rsidR="00E31AF2" w:rsidRPr="008848D8" w:rsidRDefault="00E31AF2" w:rsidP="00BA7BF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7.29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CDE00C5" w14:textId="77777777" w:rsidR="00E31AF2" w:rsidRPr="008848D8" w:rsidRDefault="00E31AF2" w:rsidP="00BA7BFB">
            <w:pPr>
              <w:spacing w:line="276" w:lineRule="auto"/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6.48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BD0408A" w14:textId="77777777" w:rsidR="00E31AF2" w:rsidRPr="008848D8" w:rsidRDefault="00E31AF2" w:rsidP="00BA7BFB">
            <w:pPr>
              <w:spacing w:line="276" w:lineRule="auto"/>
              <w:ind w:left="-74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16.70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F489FBC" w14:textId="77777777" w:rsidR="00E31AF2" w:rsidRPr="008848D8" w:rsidRDefault="00E31AF2" w:rsidP="00BA7BF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13.86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024D294" w14:textId="77777777" w:rsidR="00E31AF2" w:rsidRPr="008848D8" w:rsidRDefault="00E31AF2" w:rsidP="00BA7BF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14.18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FAF4518" w14:textId="77777777" w:rsidR="00E31AF2" w:rsidRPr="00D9421F" w:rsidRDefault="00E31AF2" w:rsidP="00BA7BFB">
            <w:pPr>
              <w:spacing w:line="276" w:lineRule="auto"/>
              <w:jc w:val="center"/>
              <w:rPr>
                <w:rFonts w:ascii="Sylfaen" w:eastAsia="Times New Roman" w:hAnsi="Sylfaen" w:cs="Times New Roman"/>
                <w:b w:val="0"/>
                <w:color w:val="000000"/>
                <w:sz w:val="20"/>
                <w:lang w:val="ka-GE"/>
              </w:rPr>
            </w:pPr>
          </w:p>
        </w:tc>
      </w:tr>
      <w:tr w:rsidR="00147917" w:rsidRPr="00D9421F" w14:paraId="3D0583A4" w14:textId="77777777" w:rsidTr="0014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vMerge/>
            <w:tcBorders>
              <w:bottom w:val="nil"/>
            </w:tcBorders>
            <w:shd w:val="clear" w:color="auto" w:fill="auto"/>
          </w:tcPr>
          <w:p w14:paraId="0F70FAD6" w14:textId="77777777" w:rsidR="00E31AF2" w:rsidRPr="00D9421F" w:rsidRDefault="00E31AF2" w:rsidP="00BA7BFB">
            <w:pPr>
              <w:spacing w:line="276" w:lineRule="auto"/>
              <w:rPr>
                <w:rFonts w:ascii="Sylfaen" w:eastAsia="Times New Roman" w:hAnsi="Sylfaen" w:cs="Times New Roman"/>
                <w:b w:val="0"/>
                <w:color w:val="000000"/>
                <w:sz w:val="18"/>
                <w:lang w:val="ka-GE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noWrap/>
          </w:tcPr>
          <w:p w14:paraId="7C5399C3" w14:textId="77777777" w:rsidR="00E31AF2" w:rsidRPr="00D9421F" w:rsidRDefault="00E31AF2" w:rsidP="00BA7BFB">
            <w:pPr>
              <w:spacing w:line="276" w:lineRule="auto"/>
              <w:ind w:left="-110"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  <w:t>სოფელი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E3ECC9F" w14:textId="77777777" w:rsidR="00E31AF2" w:rsidRPr="008848D8" w:rsidRDefault="00E31AF2" w:rsidP="00BA7BF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</w:rPr>
            </w:pPr>
            <w:r w:rsidRPr="005709AD">
              <w:rPr>
                <w:rFonts w:ascii="Sylfaen" w:eastAsia="Times New Roman" w:hAnsi="Sylfaen" w:cs="Times New Roman"/>
                <w:bCs/>
                <w:color w:val="000000"/>
                <w:sz w:val="20"/>
                <w:lang w:val="ka-GE"/>
              </w:rPr>
              <w:t>65.64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3A3CB020" w14:textId="77777777" w:rsidR="00E31AF2" w:rsidRPr="008848D8" w:rsidRDefault="00E31AF2" w:rsidP="00BA7BF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“—“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</w:tcPr>
          <w:p w14:paraId="453D9697" w14:textId="77777777" w:rsidR="00E31AF2" w:rsidRPr="008848D8" w:rsidRDefault="00E31AF2" w:rsidP="00BA7BFB">
            <w:pPr>
              <w:spacing w:line="276" w:lineRule="auto"/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“—“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6C6E5F6" w14:textId="77777777" w:rsidR="00E31AF2" w:rsidRPr="008848D8" w:rsidRDefault="00E31AF2" w:rsidP="00BA7BFB">
            <w:pPr>
              <w:spacing w:line="276" w:lineRule="auto"/>
              <w:ind w:left="-74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“—“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</w:tcPr>
          <w:p w14:paraId="7770F6AA" w14:textId="77777777" w:rsidR="00E31AF2" w:rsidRPr="008848D8" w:rsidRDefault="00E31AF2" w:rsidP="00BA7BF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3B3D1F7" w14:textId="77777777" w:rsidR="00E31AF2" w:rsidRPr="008848D8" w:rsidRDefault="00E31AF2" w:rsidP="00BA7BF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“—“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Borders>
              <w:top w:val="nil"/>
              <w:bottom w:val="nil"/>
            </w:tcBorders>
            <w:shd w:val="clear" w:color="auto" w:fill="auto"/>
            <w:noWrap/>
          </w:tcPr>
          <w:p w14:paraId="648AD475" w14:textId="77777777" w:rsidR="00E31AF2" w:rsidRPr="00D9421F" w:rsidRDefault="00E31AF2" w:rsidP="00BA7BFB">
            <w:pPr>
              <w:spacing w:line="276" w:lineRule="auto"/>
              <w:jc w:val="center"/>
              <w:rPr>
                <w:rFonts w:ascii="Sylfaen" w:eastAsia="Times New Roman" w:hAnsi="Sylfaen" w:cs="Times New Roman"/>
                <w:b w:val="0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Times New Roman"/>
                <w:b w:val="0"/>
                <w:color w:val="000000"/>
                <w:sz w:val="20"/>
                <w:lang w:val="ka-GE"/>
              </w:rPr>
              <w:t>21</w:t>
            </w:r>
            <w:r w:rsidRPr="00D9421F">
              <w:rPr>
                <w:rFonts w:ascii="Sylfaen" w:eastAsia="Times New Roman" w:hAnsi="Sylfaen" w:cs="Times New Roman"/>
                <w:b w:val="0"/>
                <w:color w:val="000000"/>
                <w:sz w:val="20"/>
                <w:lang w:val="ka-GE"/>
              </w:rPr>
              <w:t>.00</w:t>
            </w:r>
          </w:p>
        </w:tc>
      </w:tr>
      <w:tr w:rsidR="00147917" w:rsidRPr="00D9421F" w14:paraId="27BB45EC" w14:textId="77777777" w:rsidTr="0014791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tcBorders>
              <w:top w:val="nil"/>
            </w:tcBorders>
            <w:shd w:val="clear" w:color="auto" w:fill="auto"/>
          </w:tcPr>
          <w:p w14:paraId="3CD49B38" w14:textId="3B59F689" w:rsidR="00E31AF2" w:rsidRPr="00D9421F" w:rsidRDefault="00E31AF2" w:rsidP="00147917">
            <w:pPr>
              <w:spacing w:line="276" w:lineRule="auto"/>
              <w:ind w:left="-43" w:right="-194"/>
              <w:rPr>
                <w:rFonts w:ascii="Sylfaen" w:eastAsia="Times New Roman" w:hAnsi="Sylfaen" w:cs="Times New Roman"/>
                <w:b w:val="0"/>
                <w:color w:val="000000"/>
                <w:sz w:val="18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b w:val="0"/>
                <w:color w:val="000000"/>
                <w:sz w:val="18"/>
                <w:lang w:val="ka-GE"/>
              </w:rPr>
              <w:lastRenderedPageBreak/>
              <w:t>სპეციალიზებული</w:t>
            </w:r>
            <w:r w:rsidR="00147917">
              <w:rPr>
                <w:rStyle w:val="FootnoteReference"/>
                <w:rFonts w:ascii="Sylfaen" w:hAnsi="Sylfaen"/>
                <w:sz w:val="22"/>
                <w:szCs w:val="23"/>
                <w:lang w:val="ka-GE"/>
              </w:rPr>
              <w:footnoteReference w:id="2"/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noWrap/>
          </w:tcPr>
          <w:p w14:paraId="43537A9A" w14:textId="77777777" w:rsidR="00E31AF2" w:rsidRPr="00D9421F" w:rsidRDefault="00E31AF2" w:rsidP="00BA7BFB">
            <w:pPr>
              <w:spacing w:line="276" w:lineRule="auto"/>
              <w:ind w:left="-110"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</w:pPr>
            <w:r w:rsidRPr="00D9421F">
              <w:rPr>
                <w:rFonts w:ascii="Sylfaen" w:eastAsia="Times New Roman" w:hAnsi="Sylfaen" w:cs="Times New Roman"/>
                <w:color w:val="000000"/>
                <w:sz w:val="18"/>
                <w:lang w:val="ka-GE"/>
              </w:rPr>
              <w:t>ქალაქი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49335D1" w14:textId="77777777" w:rsidR="00E31AF2" w:rsidRPr="008848D8" w:rsidRDefault="00E31AF2" w:rsidP="00BA7BF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5709AD">
              <w:rPr>
                <w:rFonts w:ascii="Sylfaen" w:eastAsia="Times New Roman" w:hAnsi="Sylfaen" w:cs="Times New Roman"/>
                <w:bCs/>
                <w:color w:val="000000"/>
                <w:sz w:val="20"/>
                <w:lang w:val="ka-GE"/>
              </w:rPr>
              <w:t>35.87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4E8484E4" w14:textId="77777777" w:rsidR="00E31AF2" w:rsidRPr="008848D8" w:rsidRDefault="00E31AF2" w:rsidP="00BA7BF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3.00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</w:tcPr>
          <w:p w14:paraId="4CEB034E" w14:textId="77777777" w:rsidR="00E31AF2" w:rsidRPr="008848D8" w:rsidRDefault="00E31AF2" w:rsidP="00BA7BFB">
            <w:pPr>
              <w:spacing w:line="276" w:lineRule="auto"/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2.00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EEAB76D" w14:textId="77777777" w:rsidR="00E31AF2" w:rsidRPr="008848D8" w:rsidRDefault="00E31AF2" w:rsidP="00BA7BFB">
            <w:pPr>
              <w:spacing w:line="276" w:lineRule="auto"/>
              <w:ind w:left="-74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16.70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</w:tcPr>
          <w:p w14:paraId="3D8BC69C" w14:textId="77777777" w:rsidR="00E31AF2" w:rsidRPr="008848D8" w:rsidRDefault="00E31AF2" w:rsidP="00BA7BF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64F2BCF" w14:textId="77777777" w:rsidR="00E31AF2" w:rsidRPr="008848D8" w:rsidRDefault="00E31AF2" w:rsidP="00BA7BF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8848D8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14.18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Borders>
              <w:top w:val="nil"/>
              <w:bottom w:val="nil"/>
            </w:tcBorders>
            <w:shd w:val="clear" w:color="auto" w:fill="auto"/>
            <w:noWrap/>
          </w:tcPr>
          <w:p w14:paraId="16507593" w14:textId="77777777" w:rsidR="00E31AF2" w:rsidRPr="00D9421F" w:rsidRDefault="00E31AF2" w:rsidP="00BA7BFB">
            <w:pPr>
              <w:spacing w:line="276" w:lineRule="auto"/>
              <w:jc w:val="center"/>
              <w:rPr>
                <w:rFonts w:ascii="Sylfaen" w:eastAsia="Times New Roman" w:hAnsi="Sylfaen" w:cs="Times New Roman"/>
                <w:b w:val="0"/>
                <w:color w:val="000000"/>
                <w:sz w:val="20"/>
                <w:lang w:val="ka-GE"/>
              </w:rPr>
            </w:pPr>
          </w:p>
        </w:tc>
      </w:tr>
    </w:tbl>
    <w:p w14:paraId="3A6D6E34" w14:textId="77777777" w:rsidR="00D01AB5" w:rsidRDefault="00D01AB5" w:rsidP="002A0D9D">
      <w:pPr>
        <w:pStyle w:val="Default"/>
        <w:spacing w:line="276" w:lineRule="auto"/>
        <w:ind w:left="60"/>
        <w:rPr>
          <w:rFonts w:ascii="Sylfaen" w:hAnsi="Sylfaen"/>
          <w:sz w:val="22"/>
          <w:szCs w:val="23"/>
          <w:lang w:val="ka-GE"/>
        </w:rPr>
      </w:pPr>
    </w:p>
    <w:p w14:paraId="0A1DED6C" w14:textId="2E02BF30" w:rsidR="00B474C5" w:rsidRPr="002A0D9D" w:rsidRDefault="002A0D9D" w:rsidP="002A0D9D">
      <w:pPr>
        <w:pStyle w:val="Default"/>
        <w:spacing w:line="276" w:lineRule="auto"/>
        <w:ind w:left="60"/>
        <w:rPr>
          <w:rFonts w:ascii="Sylfaen" w:hAnsi="Sylfaen"/>
          <w:sz w:val="22"/>
          <w:szCs w:val="23"/>
          <w:lang w:val="ka-GE"/>
        </w:rPr>
      </w:pPr>
      <w:r w:rsidRPr="002A0D9D">
        <w:rPr>
          <w:rFonts w:ascii="Sylfaen" w:hAnsi="Sylfaen"/>
          <w:sz w:val="22"/>
          <w:szCs w:val="23"/>
          <w:lang w:val="ka-GE"/>
        </w:rPr>
        <w:t>ბონუსის ტარიფის გათვლა ეფუძნება სენსიტიური და რეზისტენტული პაციენტის ამბულატორიული მკურნალობის თვის გასაშუალებული ვაუჩერის 30%-დან 45%-მდე ნამატს</w:t>
      </w:r>
      <w:r>
        <w:rPr>
          <w:rFonts w:ascii="Sylfaen" w:hAnsi="Sylfaen"/>
          <w:sz w:val="22"/>
          <w:szCs w:val="23"/>
          <w:lang w:val="ka-GE"/>
        </w:rPr>
        <w:t xml:space="preserve"> </w:t>
      </w:r>
      <w:r w:rsidRPr="002A0D9D">
        <w:rPr>
          <w:rFonts w:ascii="Sylfaen" w:hAnsi="Sylfaen"/>
          <w:sz w:val="22"/>
          <w:szCs w:val="23"/>
          <w:lang w:val="ka-GE"/>
        </w:rPr>
        <w:t>სპეციალიზებული და ინტეგრირებული დაწესებულებებისთვის შესაბამისად.</w:t>
      </w:r>
      <w:r w:rsidR="00F44EF8">
        <w:rPr>
          <w:rFonts w:ascii="Sylfaen" w:hAnsi="Sylfaen"/>
          <w:sz w:val="22"/>
          <w:szCs w:val="23"/>
          <w:lang w:val="ka-GE"/>
        </w:rPr>
        <w:t xml:space="preserve"> ბონუსის ტარიფი პერსონალისთვის </w:t>
      </w:r>
      <w:r w:rsidR="00901AC2">
        <w:rPr>
          <w:rFonts w:ascii="Sylfaen" w:hAnsi="Sylfaen"/>
          <w:sz w:val="22"/>
          <w:szCs w:val="23"/>
          <w:lang w:val="ka-GE"/>
        </w:rPr>
        <w:t xml:space="preserve">(მაგ. ექიმი ფთიზიატრისთვის) </w:t>
      </w:r>
      <w:r w:rsidR="00F44EF8">
        <w:rPr>
          <w:rFonts w:ascii="Sylfaen" w:hAnsi="Sylfaen"/>
          <w:sz w:val="22"/>
          <w:szCs w:val="23"/>
          <w:lang w:val="ka-GE"/>
        </w:rPr>
        <w:t xml:space="preserve">ყოველთიური ანაზღაურების </w:t>
      </w:r>
      <w:r w:rsidR="00901AC2">
        <w:rPr>
          <w:rFonts w:ascii="Sylfaen" w:hAnsi="Sylfaen"/>
          <w:sz w:val="22"/>
          <w:szCs w:val="23"/>
          <w:lang w:val="ka-GE"/>
        </w:rPr>
        <w:t>დაახლოებით 1</w:t>
      </w:r>
      <w:r w:rsidR="00901AC2">
        <w:rPr>
          <w:rFonts w:ascii="Sylfaen" w:hAnsi="Sylfaen"/>
          <w:sz w:val="22"/>
          <w:szCs w:val="23"/>
        </w:rPr>
        <w:t>6</w:t>
      </w:r>
      <w:r w:rsidR="00901AC2">
        <w:rPr>
          <w:rFonts w:ascii="Sylfaen" w:hAnsi="Sylfaen"/>
          <w:sz w:val="22"/>
          <w:szCs w:val="23"/>
          <w:lang w:val="ka-GE"/>
        </w:rPr>
        <w:t>-20% შეადგენს</w:t>
      </w:r>
      <w:r w:rsidR="00901AC2">
        <w:rPr>
          <w:rFonts w:ascii="Sylfaen" w:hAnsi="Sylfaen"/>
          <w:sz w:val="22"/>
          <w:szCs w:val="23"/>
        </w:rPr>
        <w:t>.</w:t>
      </w:r>
      <w:r w:rsidR="00F44EF8" w:rsidRPr="00901AC2">
        <w:rPr>
          <w:rStyle w:val="FootnoteReference"/>
        </w:rPr>
        <w:footnoteReference w:id="3"/>
      </w:r>
      <w:r w:rsidR="00F44EF8" w:rsidRPr="00901AC2">
        <w:rPr>
          <w:rStyle w:val="FootnoteReference"/>
        </w:rPr>
        <w:t>,</w:t>
      </w:r>
      <w:r w:rsidR="00F44EF8" w:rsidRPr="002A0D9D">
        <w:rPr>
          <w:rStyle w:val="FootnoteReference"/>
        </w:rPr>
        <w:t xml:space="preserve"> </w:t>
      </w:r>
      <w:r w:rsidR="00F44EF8" w:rsidRPr="00901AC2">
        <w:rPr>
          <w:rStyle w:val="FootnoteReference"/>
        </w:rPr>
        <w:footnoteReference w:id="4"/>
      </w:r>
      <w:r w:rsidR="00901AC2" w:rsidRPr="00901AC2">
        <w:rPr>
          <w:rStyle w:val="FootnoteReference"/>
        </w:rPr>
        <w:t xml:space="preserve">, </w:t>
      </w:r>
      <w:r w:rsidR="00901AC2">
        <w:rPr>
          <w:rStyle w:val="FootnoteReference"/>
        </w:rPr>
        <w:footnoteReference w:id="5"/>
      </w:r>
    </w:p>
    <w:p w14:paraId="0A5BE586" w14:textId="5DE3724B" w:rsidR="00147917" w:rsidRPr="00613A5F" w:rsidRDefault="00147917" w:rsidP="00147917">
      <w:pPr>
        <w:pStyle w:val="Caption"/>
      </w:pPr>
      <w:bookmarkStart w:id="1" w:name="_Ref504475309"/>
      <w:r>
        <w:t xml:space="preserve">ცხრილი </w:t>
      </w:r>
      <w:r>
        <w:fldChar w:fldCharType="begin"/>
      </w:r>
      <w:r w:rsidRPr="00147917">
        <w:instrText xml:space="preserve"> SEQ ცხრილი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1"/>
      <w:r>
        <w:t xml:space="preserve">. </w:t>
      </w:r>
      <w:r w:rsidRPr="00613A5F">
        <w:t xml:space="preserve">ბონუსის გადახდის </w:t>
      </w:r>
      <w:r>
        <w:t>მოცულობა</w:t>
      </w:r>
      <w:r w:rsidRPr="00613A5F">
        <w:t xml:space="preserve"> </w:t>
      </w:r>
    </w:p>
    <w:tbl>
      <w:tblPr>
        <w:tblStyle w:val="LightShading-Accent1"/>
        <w:tblW w:w="5598" w:type="dxa"/>
        <w:tblLayout w:type="fixed"/>
        <w:tblLook w:val="04A0" w:firstRow="1" w:lastRow="0" w:firstColumn="1" w:lastColumn="0" w:noHBand="0" w:noVBand="1"/>
      </w:tblPr>
      <w:tblGrid>
        <w:gridCol w:w="3168"/>
        <w:gridCol w:w="2430"/>
      </w:tblGrid>
      <w:tr w:rsidR="00147917" w:rsidRPr="007B10CA" w14:paraId="41964A39" w14:textId="77777777" w:rsidTr="00BA7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noWrap/>
          </w:tcPr>
          <w:p w14:paraId="0280FB42" w14:textId="77777777" w:rsidR="00147917" w:rsidRPr="007B10CA" w:rsidRDefault="00147917" w:rsidP="00BA7BFB">
            <w:pPr>
              <w:jc w:val="right"/>
              <w:rPr>
                <w:rFonts w:ascii="Sylfaen" w:eastAsia="Times New Roman" w:hAnsi="Sylfaen" w:cs="ALK Tall Nusxuri"/>
                <w:color w:val="000000"/>
                <w:sz w:val="20"/>
                <w:lang w:val="ka-GE"/>
              </w:rPr>
            </w:pPr>
            <w:r w:rsidRPr="007B10CA">
              <w:rPr>
                <w:rFonts w:ascii="Sylfaen" w:eastAsia="Times New Roman" w:hAnsi="Sylfaen" w:cs="ALK Tall Nusxuri"/>
                <w:color w:val="000000"/>
                <w:sz w:val="20"/>
                <w:lang w:val="ka-GE"/>
              </w:rPr>
              <w:t>ინდიკატორის შესრულება</w:t>
            </w:r>
          </w:p>
        </w:tc>
        <w:tc>
          <w:tcPr>
            <w:tcW w:w="2430" w:type="dxa"/>
            <w:noWrap/>
          </w:tcPr>
          <w:p w14:paraId="2933C195" w14:textId="77777777" w:rsidR="00147917" w:rsidRPr="007B10CA" w:rsidRDefault="00147917" w:rsidP="00BA7B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LK Tall Nusxuri"/>
                <w:color w:val="000000"/>
                <w:sz w:val="20"/>
              </w:rPr>
            </w:pPr>
            <w:proofErr w:type="spellStart"/>
            <w:r w:rsidRPr="007B10CA">
              <w:rPr>
                <w:rFonts w:ascii="Sylfaen" w:eastAsia="Times New Roman" w:hAnsi="Sylfaen" w:cs="ALK Tall Nusxuri"/>
                <w:color w:val="000000"/>
                <w:sz w:val="20"/>
              </w:rPr>
              <w:t>ბონუსის</w:t>
            </w:r>
            <w:proofErr w:type="spellEnd"/>
            <w:r w:rsidRPr="007B10CA">
              <w:rPr>
                <w:rFonts w:ascii="Sylfaen" w:eastAsia="Times New Roman" w:hAnsi="Sylfaen" w:cs="ALK Tall Nusxuri"/>
                <w:color w:val="000000"/>
                <w:sz w:val="20"/>
              </w:rPr>
              <w:t xml:space="preserve"> </w:t>
            </w:r>
            <w:proofErr w:type="spellStart"/>
            <w:r w:rsidRPr="007B10CA">
              <w:rPr>
                <w:rFonts w:ascii="Sylfaen" w:eastAsia="Times New Roman" w:hAnsi="Sylfaen" w:cs="ALK Tall Nusxuri"/>
                <w:color w:val="000000"/>
                <w:sz w:val="20"/>
              </w:rPr>
              <w:t>მოცულობა</w:t>
            </w:r>
            <w:proofErr w:type="spellEnd"/>
          </w:p>
        </w:tc>
      </w:tr>
      <w:tr w:rsidR="00147917" w:rsidRPr="007B10CA" w14:paraId="108C4CDA" w14:textId="77777777" w:rsidTr="00BA7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noWrap/>
            <w:hideMark/>
          </w:tcPr>
          <w:p w14:paraId="3DAA3610" w14:textId="77777777" w:rsidR="00147917" w:rsidRPr="007B10CA" w:rsidRDefault="00147917" w:rsidP="00BA7BFB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</w:pPr>
            <w:r w:rsidRPr="002521CC">
              <w:rPr>
                <w:rFonts w:ascii="Calibri" w:eastAsia="Times New Roman" w:hAnsi="Calibri" w:cs="Times New Roman"/>
                <w:b w:val="0"/>
                <w:color w:val="000000"/>
                <w:sz w:val="22"/>
                <w:u w:val="single"/>
              </w:rPr>
              <w:t>&gt;</w:t>
            </w:r>
            <w:r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 xml:space="preserve"> 85</w:t>
            </w:r>
            <w:r w:rsidRPr="007B1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%</w:t>
            </w:r>
          </w:p>
        </w:tc>
        <w:tc>
          <w:tcPr>
            <w:tcW w:w="2430" w:type="dxa"/>
            <w:noWrap/>
            <w:hideMark/>
          </w:tcPr>
          <w:p w14:paraId="45E8D6FC" w14:textId="77777777" w:rsidR="00147917" w:rsidRPr="007B10CA" w:rsidRDefault="00147917" w:rsidP="00BA7B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 </w:t>
            </w:r>
            <w:r w:rsidRPr="007B10CA">
              <w:rPr>
                <w:rFonts w:ascii="Calibri" w:eastAsia="Times New Roman" w:hAnsi="Calibri" w:cs="Times New Roman"/>
                <w:color w:val="000000"/>
                <w:sz w:val="22"/>
              </w:rPr>
              <w:t>100%</w:t>
            </w:r>
          </w:p>
        </w:tc>
      </w:tr>
      <w:tr w:rsidR="00147917" w:rsidRPr="007B10CA" w14:paraId="47149546" w14:textId="77777777" w:rsidTr="00BA7BFB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noWrap/>
          </w:tcPr>
          <w:p w14:paraId="716D0FB9" w14:textId="77777777" w:rsidR="00147917" w:rsidRPr="00864D2A" w:rsidRDefault="00147917" w:rsidP="00BA7BFB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</w:pPr>
            <w:r w:rsidRPr="00864D2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71-84</w:t>
            </w:r>
            <w:r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 xml:space="preserve"> %</w:t>
            </w:r>
          </w:p>
        </w:tc>
        <w:tc>
          <w:tcPr>
            <w:tcW w:w="2430" w:type="dxa"/>
            <w:noWrap/>
          </w:tcPr>
          <w:p w14:paraId="000125D2" w14:textId="77777777" w:rsidR="00147917" w:rsidRDefault="00147917" w:rsidP="00BA7B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50%</w:t>
            </w:r>
          </w:p>
        </w:tc>
      </w:tr>
      <w:tr w:rsidR="00147917" w:rsidRPr="007B10CA" w14:paraId="71DDDF60" w14:textId="77777777" w:rsidTr="00BA7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noWrap/>
            <w:hideMark/>
          </w:tcPr>
          <w:p w14:paraId="7BAF69CE" w14:textId="77777777" w:rsidR="00147917" w:rsidRPr="007B10CA" w:rsidRDefault="00147917" w:rsidP="00BA7BFB">
            <w:pPr>
              <w:jc w:val="right"/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</w:pPr>
            <w:r w:rsidRPr="009D7913">
              <w:rPr>
                <w:rFonts w:ascii="Calibri" w:eastAsia="Times New Roman" w:hAnsi="Calibri" w:cs="Times New Roman"/>
                <w:b w:val="0"/>
                <w:color w:val="000000"/>
                <w:sz w:val="22"/>
                <w:u w:val="single"/>
              </w:rPr>
              <w:t>&lt;</w:t>
            </w:r>
            <w:r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 xml:space="preserve"> 70</w:t>
            </w:r>
            <w:r w:rsidRPr="007B1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%</w:t>
            </w:r>
          </w:p>
        </w:tc>
        <w:tc>
          <w:tcPr>
            <w:tcW w:w="2430" w:type="dxa"/>
            <w:noWrap/>
            <w:hideMark/>
          </w:tcPr>
          <w:p w14:paraId="137B0790" w14:textId="77777777" w:rsidR="00147917" w:rsidRPr="007B10CA" w:rsidRDefault="00147917" w:rsidP="00BA7B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B10CA">
              <w:rPr>
                <w:rFonts w:ascii="Calibri" w:eastAsia="Times New Roman" w:hAnsi="Calibri" w:cs="Times New Roman"/>
                <w:color w:val="000000"/>
                <w:sz w:val="22"/>
              </w:rPr>
              <w:t>0%</w:t>
            </w:r>
          </w:p>
        </w:tc>
      </w:tr>
    </w:tbl>
    <w:p w14:paraId="4F8937F0" w14:textId="77777777" w:rsidR="002914C3" w:rsidRPr="00F113E6" w:rsidRDefault="002914C3" w:rsidP="002914C3">
      <w:pPr>
        <w:pStyle w:val="Default"/>
        <w:spacing w:after="120"/>
        <w:rPr>
          <w:rFonts w:ascii="Sylfaen" w:hAnsi="Sylfaen"/>
          <w:sz w:val="22"/>
          <w:szCs w:val="23"/>
          <w:lang w:val="ka-GE"/>
        </w:rPr>
      </w:pPr>
    </w:p>
    <w:p w14:paraId="09B1D730" w14:textId="78F8FF79" w:rsidR="00761D9E" w:rsidRDefault="00147917" w:rsidP="00D82146">
      <w:pPr>
        <w:pStyle w:val="Default"/>
        <w:spacing w:line="276" w:lineRule="auto"/>
        <w:ind w:left="60"/>
        <w:rPr>
          <w:rFonts w:ascii="Sylfaen" w:hAnsi="Sylfaen"/>
          <w:b/>
          <w:sz w:val="22"/>
          <w:szCs w:val="23"/>
          <w:lang w:val="ka-GE"/>
        </w:rPr>
      </w:pPr>
      <w:r w:rsidRPr="00CF66A0">
        <w:rPr>
          <w:rFonts w:ascii="Sylfaen" w:hAnsi="Sylfaen"/>
          <w:b/>
          <w:sz w:val="22"/>
          <w:szCs w:val="23"/>
          <w:lang w:val="ka-GE"/>
        </w:rPr>
        <w:t>ვერიფიკაცია.</w:t>
      </w:r>
      <w:r w:rsidR="00761D9E">
        <w:rPr>
          <w:rFonts w:ascii="Sylfaen" w:hAnsi="Sylfaen"/>
          <w:b/>
          <w:sz w:val="22"/>
          <w:szCs w:val="23"/>
          <w:lang w:val="ka-GE"/>
        </w:rPr>
        <w:t xml:space="preserve"> </w:t>
      </w:r>
      <w:r w:rsidR="00761D9E" w:rsidRPr="00761D9E">
        <w:rPr>
          <w:rFonts w:ascii="Sylfaen" w:hAnsi="Sylfaen"/>
          <w:sz w:val="22"/>
          <w:szCs w:val="23"/>
          <w:lang w:val="ka-GE"/>
        </w:rPr>
        <w:t>ამბულატორიულ</w:t>
      </w:r>
      <w:r w:rsidRPr="00761D9E">
        <w:rPr>
          <w:rFonts w:ascii="Sylfaen" w:hAnsi="Sylfaen"/>
          <w:sz w:val="22"/>
          <w:szCs w:val="23"/>
          <w:lang w:val="ka-GE"/>
        </w:rPr>
        <w:t xml:space="preserve"> </w:t>
      </w:r>
      <w:r w:rsidR="00761D9E" w:rsidRPr="00761D9E">
        <w:rPr>
          <w:rFonts w:ascii="Sylfaen" w:hAnsi="Sylfaen"/>
          <w:sz w:val="22"/>
          <w:szCs w:val="23"/>
          <w:lang w:val="ka-GE"/>
        </w:rPr>
        <w:t>მკურნალობაზე</w:t>
      </w:r>
      <w:r w:rsidR="00761D9E">
        <w:rPr>
          <w:rFonts w:ascii="Sylfaen" w:hAnsi="Sylfaen"/>
          <w:sz w:val="22"/>
          <w:szCs w:val="23"/>
          <w:lang w:val="ka-GE"/>
        </w:rPr>
        <w:t xml:space="preserve"> </w:t>
      </w:r>
      <w:r>
        <w:rPr>
          <w:rFonts w:ascii="Sylfaen" w:hAnsi="Sylfaen"/>
          <w:sz w:val="22"/>
          <w:szCs w:val="23"/>
          <w:lang w:val="ka-GE"/>
        </w:rPr>
        <w:t>დამყოლობის შესრულების გადამოწმება (ვერიფიკაცია) განხორციელდება რუტინული მონიტორინგის ფარგლებში</w:t>
      </w:r>
      <w:r w:rsidR="00D01AB5">
        <w:rPr>
          <w:rFonts w:ascii="Sylfaen" w:hAnsi="Sylfaen"/>
          <w:sz w:val="22"/>
          <w:szCs w:val="23"/>
        </w:rPr>
        <w:t xml:space="preserve"> </w:t>
      </w:r>
      <w:r w:rsidR="00D01AB5">
        <w:rPr>
          <w:rFonts w:ascii="Sylfaen" w:hAnsi="Sylfaen"/>
          <w:sz w:val="22"/>
          <w:szCs w:val="23"/>
          <w:lang w:val="ka-GE"/>
        </w:rPr>
        <w:t>პროექტის მხარდაჭერით</w:t>
      </w:r>
      <w:r>
        <w:rPr>
          <w:rFonts w:ascii="Sylfaen" w:hAnsi="Sylfaen"/>
          <w:sz w:val="22"/>
          <w:szCs w:val="23"/>
          <w:lang w:val="ka-GE"/>
        </w:rPr>
        <w:t xml:space="preserve"> </w:t>
      </w:r>
    </w:p>
    <w:p w14:paraId="263FBB7D" w14:textId="77777777" w:rsidR="00D01AB5" w:rsidRDefault="00D01AB5" w:rsidP="00147917">
      <w:pPr>
        <w:pStyle w:val="Default"/>
        <w:spacing w:line="276" w:lineRule="auto"/>
        <w:ind w:left="60"/>
        <w:rPr>
          <w:rFonts w:ascii="Sylfaen" w:hAnsi="Sylfaen"/>
          <w:b/>
          <w:sz w:val="22"/>
          <w:szCs w:val="23"/>
          <w:lang w:val="ka-GE"/>
        </w:rPr>
      </w:pPr>
    </w:p>
    <w:p w14:paraId="76ABDD64" w14:textId="036DCC35" w:rsidR="00147917" w:rsidRPr="00147917" w:rsidRDefault="00147917" w:rsidP="00147917">
      <w:pPr>
        <w:pStyle w:val="Default"/>
        <w:spacing w:line="276" w:lineRule="auto"/>
        <w:ind w:left="60"/>
        <w:rPr>
          <w:rFonts w:ascii="Sylfaen" w:hAnsi="Sylfaen"/>
          <w:sz w:val="22"/>
          <w:szCs w:val="23"/>
          <w:lang w:val="ka-GE"/>
        </w:rPr>
      </w:pPr>
      <w:r w:rsidRPr="00147917">
        <w:rPr>
          <w:rFonts w:ascii="Sylfaen" w:hAnsi="Sylfaen"/>
          <w:b/>
          <w:sz w:val="22"/>
          <w:szCs w:val="23"/>
          <w:lang w:val="ka-GE"/>
        </w:rPr>
        <w:t xml:space="preserve">განმახორციელებელი - </w:t>
      </w:r>
      <w:r w:rsidRPr="00147917">
        <w:rPr>
          <w:rFonts w:ascii="Sylfaen" w:hAnsi="Sylfaen"/>
          <w:sz w:val="22"/>
          <w:szCs w:val="23"/>
          <w:lang w:val="ka-GE"/>
        </w:rPr>
        <w:t>სოციალური მომსახურების სააგენტო (სააგენტო)</w:t>
      </w:r>
    </w:p>
    <w:p w14:paraId="3A593D97" w14:textId="77777777" w:rsidR="00147917" w:rsidRPr="00147917" w:rsidRDefault="00147917" w:rsidP="00147917">
      <w:pPr>
        <w:pStyle w:val="Default"/>
        <w:spacing w:line="276" w:lineRule="auto"/>
        <w:ind w:left="60"/>
        <w:rPr>
          <w:rFonts w:ascii="Sylfaen" w:hAnsi="Sylfaen"/>
          <w:b/>
          <w:sz w:val="22"/>
          <w:szCs w:val="23"/>
          <w:lang w:val="ka-GE"/>
        </w:rPr>
      </w:pPr>
      <w:r w:rsidRPr="00147917">
        <w:rPr>
          <w:rFonts w:ascii="Sylfaen" w:hAnsi="Sylfaen"/>
          <w:b/>
          <w:sz w:val="22"/>
          <w:szCs w:val="23"/>
          <w:lang w:val="ka-GE"/>
        </w:rPr>
        <w:t xml:space="preserve">მექანიზმი - </w:t>
      </w:r>
      <w:r w:rsidRPr="00147917">
        <w:rPr>
          <w:rFonts w:ascii="Sylfaen" w:hAnsi="Sylfaen"/>
          <w:sz w:val="22"/>
          <w:szCs w:val="23"/>
          <w:lang w:val="ka-GE"/>
        </w:rPr>
        <w:t>არამატერიალიზებული ვაუჩერი</w:t>
      </w:r>
      <w:r w:rsidRPr="00147917">
        <w:rPr>
          <w:rFonts w:ascii="Sylfaen" w:hAnsi="Sylfaen"/>
          <w:b/>
          <w:sz w:val="22"/>
          <w:szCs w:val="23"/>
          <w:lang w:val="ka-GE"/>
        </w:rPr>
        <w:t xml:space="preserve"> </w:t>
      </w:r>
    </w:p>
    <w:p w14:paraId="26375DC4" w14:textId="2B265F43" w:rsidR="00147917" w:rsidRDefault="00147917" w:rsidP="00147917">
      <w:pPr>
        <w:pStyle w:val="Default"/>
        <w:spacing w:line="276" w:lineRule="auto"/>
        <w:ind w:left="60"/>
        <w:rPr>
          <w:rFonts w:ascii="Sylfaen" w:hAnsi="Sylfaen"/>
          <w:sz w:val="22"/>
          <w:szCs w:val="23"/>
          <w:lang w:val="ka-GE"/>
        </w:rPr>
      </w:pPr>
      <w:r>
        <w:rPr>
          <w:rFonts w:ascii="Sylfaen" w:hAnsi="Sylfaen"/>
          <w:b/>
          <w:sz w:val="22"/>
          <w:szCs w:val="23"/>
          <w:lang w:val="ka-GE"/>
        </w:rPr>
        <w:t xml:space="preserve">საფუძველი - </w:t>
      </w:r>
      <w:r w:rsidR="00761D9E" w:rsidRPr="00D01AB5">
        <w:rPr>
          <w:rFonts w:ascii="Sylfaen" w:hAnsi="Sylfaen"/>
          <w:sz w:val="22"/>
          <w:szCs w:val="23"/>
          <w:lang w:val="ka-GE"/>
        </w:rPr>
        <w:t>ტუბერკულოზის მართვის სახელმ</w:t>
      </w:r>
      <w:r w:rsidR="00D01AB5">
        <w:rPr>
          <w:rFonts w:ascii="Sylfaen" w:hAnsi="Sylfaen"/>
          <w:sz w:val="22"/>
          <w:szCs w:val="23"/>
          <w:lang w:val="ka-GE"/>
        </w:rPr>
        <w:t>წ</w:t>
      </w:r>
      <w:r w:rsidR="00761D9E" w:rsidRPr="00D01AB5">
        <w:rPr>
          <w:rFonts w:ascii="Sylfaen" w:hAnsi="Sylfaen"/>
          <w:sz w:val="22"/>
          <w:szCs w:val="23"/>
          <w:lang w:val="ka-GE"/>
        </w:rPr>
        <w:t xml:space="preserve">იფო </w:t>
      </w:r>
      <w:r w:rsidRPr="00D01AB5">
        <w:rPr>
          <w:rFonts w:ascii="Sylfaen" w:hAnsi="Sylfaen"/>
          <w:sz w:val="22"/>
          <w:szCs w:val="23"/>
          <w:lang w:val="ka-GE"/>
        </w:rPr>
        <w:t>პროგრამ</w:t>
      </w:r>
      <w:r w:rsidR="00761D9E" w:rsidRPr="00D01AB5">
        <w:rPr>
          <w:rFonts w:ascii="Sylfaen" w:hAnsi="Sylfaen"/>
          <w:sz w:val="22"/>
          <w:szCs w:val="23"/>
          <w:lang w:val="ka-GE"/>
        </w:rPr>
        <w:t>ის</w:t>
      </w:r>
      <w:r w:rsidR="00761D9E">
        <w:rPr>
          <w:rFonts w:ascii="Sylfaen" w:hAnsi="Sylfaen"/>
          <w:sz w:val="22"/>
          <w:szCs w:val="23"/>
          <w:lang w:val="ka-GE"/>
        </w:rPr>
        <w:t xml:space="preserve"> ამბულატორიულ კომპონენტში შესაბამისი</w:t>
      </w:r>
      <w:r w:rsidRPr="00147917">
        <w:rPr>
          <w:rFonts w:ascii="Sylfaen" w:hAnsi="Sylfaen"/>
          <w:sz w:val="22"/>
          <w:szCs w:val="23"/>
          <w:lang w:val="ka-GE"/>
        </w:rPr>
        <w:t xml:space="preserve"> ჩანაწერი პილოტური პროექტის შესახებ კონკრეტულ გეოგრაფიულ არეა</w:t>
      </w:r>
      <w:r w:rsidR="00761D9E">
        <w:rPr>
          <w:rFonts w:ascii="Sylfaen" w:hAnsi="Sylfaen"/>
          <w:sz w:val="22"/>
          <w:szCs w:val="23"/>
          <w:lang w:val="ka-GE"/>
        </w:rPr>
        <w:t xml:space="preserve">ლებში. </w:t>
      </w:r>
    </w:p>
    <w:p w14:paraId="52FB17BC" w14:textId="33E51698" w:rsidR="00D01AB5" w:rsidRDefault="00D01AB5" w:rsidP="00D01AB5">
      <w:pPr>
        <w:pStyle w:val="Default"/>
        <w:spacing w:line="276" w:lineRule="auto"/>
        <w:rPr>
          <w:rFonts w:ascii="Sylfaen" w:hAnsi="Sylfaen"/>
          <w:sz w:val="22"/>
          <w:szCs w:val="23"/>
          <w:lang w:val="ka-GE"/>
        </w:rPr>
      </w:pPr>
      <w:r>
        <w:rPr>
          <w:rFonts w:ascii="Sylfaen" w:hAnsi="Sylfaen"/>
          <w:b/>
          <w:sz w:val="22"/>
          <w:szCs w:val="23"/>
          <w:lang w:val="ka-GE"/>
        </w:rPr>
        <w:t>დაფინანსების წყარო -</w:t>
      </w:r>
      <w:r>
        <w:rPr>
          <w:rFonts w:ascii="Sylfaen" w:hAnsi="Sylfaen"/>
          <w:sz w:val="22"/>
          <w:szCs w:val="23"/>
          <w:lang w:val="ka-GE"/>
        </w:rPr>
        <w:t xml:space="preserve"> </w:t>
      </w:r>
      <w:r>
        <w:rPr>
          <w:rFonts w:ascii="Sylfaen" w:hAnsi="Sylfaen"/>
          <w:sz w:val="22"/>
          <w:szCs w:val="23"/>
          <w:lang w:val="ka-GE"/>
        </w:rPr>
        <w:t xml:space="preserve">საქართველოსთვის გლობალური ფონდის ტუბერკულოზის გრანტი. </w:t>
      </w:r>
    </w:p>
    <w:p w14:paraId="7A214FF3" w14:textId="316035C2" w:rsidR="00D01AB5" w:rsidRPr="00D01AB5" w:rsidRDefault="00D01AB5" w:rsidP="00147917">
      <w:pPr>
        <w:pStyle w:val="Default"/>
        <w:spacing w:line="276" w:lineRule="auto"/>
        <w:ind w:left="60"/>
        <w:rPr>
          <w:rFonts w:ascii="Sylfaen" w:hAnsi="Sylfaen"/>
          <w:sz w:val="22"/>
          <w:szCs w:val="23"/>
          <w:lang w:val="ka-GE"/>
        </w:rPr>
      </w:pPr>
    </w:p>
    <w:p w14:paraId="761DCB92" w14:textId="77777777" w:rsidR="00147917" w:rsidRPr="00147917" w:rsidRDefault="00147917" w:rsidP="00147917">
      <w:pPr>
        <w:pStyle w:val="Default"/>
        <w:spacing w:line="276" w:lineRule="auto"/>
        <w:ind w:left="60"/>
        <w:rPr>
          <w:rFonts w:ascii="Sylfaen" w:hAnsi="Sylfaen"/>
          <w:b/>
          <w:sz w:val="22"/>
          <w:szCs w:val="23"/>
          <w:lang w:val="ka-GE"/>
        </w:rPr>
      </w:pPr>
    </w:p>
    <w:p w14:paraId="741DD376" w14:textId="1F2877D9" w:rsidR="002450E1" w:rsidRDefault="00761D9E" w:rsidP="00761D9E">
      <w:pPr>
        <w:pStyle w:val="Default"/>
        <w:spacing w:line="276" w:lineRule="auto"/>
        <w:ind w:firstLine="450"/>
        <w:rPr>
          <w:rFonts w:ascii="Sylfaen" w:hAnsi="Sylfaen"/>
          <w:sz w:val="22"/>
          <w:szCs w:val="23"/>
          <w:lang w:val="ka-GE"/>
        </w:rPr>
      </w:pPr>
      <w:r>
        <w:rPr>
          <w:rFonts w:ascii="Sylfaen" w:hAnsi="Sylfaen"/>
          <w:sz w:val="22"/>
          <w:szCs w:val="23"/>
          <w:lang w:val="ka-GE"/>
        </w:rPr>
        <w:t>პილოტშ</w:t>
      </w:r>
      <w:r w:rsidR="00AE1956">
        <w:rPr>
          <w:rFonts w:ascii="Sylfaen" w:hAnsi="Sylfaen"/>
          <w:sz w:val="22"/>
          <w:szCs w:val="23"/>
          <w:lang w:val="ka-GE"/>
        </w:rPr>
        <w:t>ი</w:t>
      </w:r>
      <w:r>
        <w:rPr>
          <w:rFonts w:ascii="Sylfaen" w:hAnsi="Sylfaen"/>
          <w:sz w:val="22"/>
          <w:szCs w:val="23"/>
          <w:lang w:val="ka-GE"/>
        </w:rPr>
        <w:t xml:space="preserve"> მონაწილე დაწესებულებების </w:t>
      </w:r>
      <w:r w:rsidR="002450E1">
        <w:rPr>
          <w:rFonts w:ascii="Sylfaen" w:hAnsi="Sylfaen"/>
          <w:sz w:val="22"/>
          <w:szCs w:val="23"/>
          <w:lang w:val="ka-GE"/>
        </w:rPr>
        <w:t xml:space="preserve">შერჩევისას გათვალისწინებულ იქნა რამდენიმე კრიტერიუმი, როგორიცაა ამბულატორიულ მკურნალობაზე მყოფი </w:t>
      </w:r>
      <w:r w:rsidR="00E31AF2">
        <w:rPr>
          <w:rFonts w:ascii="Sylfaen" w:hAnsi="Sylfaen"/>
          <w:sz w:val="22"/>
          <w:szCs w:val="23"/>
          <w:lang w:val="ka-GE"/>
        </w:rPr>
        <w:t xml:space="preserve">ფილტვის ტუბერკულოზის მქონე </w:t>
      </w:r>
      <w:r w:rsidR="002450E1">
        <w:rPr>
          <w:rFonts w:ascii="Sylfaen" w:hAnsi="Sylfaen"/>
          <w:sz w:val="22"/>
          <w:szCs w:val="23"/>
          <w:lang w:val="ka-GE"/>
        </w:rPr>
        <w:t>პაციენტების რა-ბა</w:t>
      </w:r>
      <w:r w:rsidR="00E31AF2">
        <w:rPr>
          <w:rFonts w:ascii="Sylfaen" w:hAnsi="Sylfaen"/>
          <w:sz w:val="22"/>
          <w:szCs w:val="23"/>
          <w:lang w:val="ka-GE"/>
        </w:rPr>
        <w:t xml:space="preserve"> (20 და მეტი)</w:t>
      </w:r>
      <w:r w:rsidR="002450E1">
        <w:rPr>
          <w:rFonts w:ascii="Sylfaen" w:hAnsi="Sylfaen"/>
          <w:sz w:val="22"/>
          <w:szCs w:val="23"/>
          <w:lang w:val="ka-GE"/>
        </w:rPr>
        <w:t>, წარმატებული მკურნალობის მაჩვენებელი</w:t>
      </w:r>
      <w:r w:rsidR="00E31AF2">
        <w:rPr>
          <w:rFonts w:ascii="Sylfaen" w:hAnsi="Sylfaen"/>
          <w:sz w:val="22"/>
          <w:szCs w:val="23"/>
          <w:lang w:val="ka-GE"/>
        </w:rPr>
        <w:t xml:space="preserve"> (</w:t>
      </w:r>
      <w:r w:rsidR="00E31AF2" w:rsidRPr="00E31AF2">
        <w:rPr>
          <w:rFonts w:ascii="Sylfaen" w:hAnsi="Sylfaen"/>
          <w:sz w:val="22"/>
          <w:szCs w:val="23"/>
          <w:u w:val="single"/>
          <w:lang w:val="ka-GE"/>
        </w:rPr>
        <w:t xml:space="preserve">&lt; </w:t>
      </w:r>
      <w:r w:rsidR="00E31AF2">
        <w:rPr>
          <w:rFonts w:ascii="Sylfaen" w:hAnsi="Sylfaen"/>
          <w:sz w:val="22"/>
          <w:szCs w:val="23"/>
          <w:lang w:val="ka-GE"/>
        </w:rPr>
        <w:t>83%)</w:t>
      </w:r>
      <w:r w:rsidR="002450E1">
        <w:rPr>
          <w:rFonts w:ascii="Sylfaen" w:hAnsi="Sylfaen"/>
          <w:sz w:val="22"/>
          <w:szCs w:val="23"/>
          <w:lang w:val="ka-GE"/>
        </w:rPr>
        <w:t xml:space="preserve">. </w:t>
      </w:r>
    </w:p>
    <w:p w14:paraId="2EEA5A0D" w14:textId="669BA60B" w:rsidR="0044212A" w:rsidRDefault="0044212A" w:rsidP="0019239A">
      <w:pPr>
        <w:pStyle w:val="Default"/>
        <w:spacing w:line="276" w:lineRule="auto"/>
        <w:ind w:firstLine="450"/>
        <w:rPr>
          <w:rFonts w:ascii="Sylfaen" w:hAnsi="Sylfaen"/>
          <w:sz w:val="22"/>
          <w:szCs w:val="23"/>
          <w:lang w:val="ka-GE"/>
        </w:rPr>
      </w:pPr>
      <w:r>
        <w:rPr>
          <w:rFonts w:ascii="Sylfaen" w:hAnsi="Sylfaen"/>
          <w:sz w:val="22"/>
          <w:szCs w:val="23"/>
          <w:lang w:val="ka-GE"/>
        </w:rPr>
        <w:t>შერჩევა განხორციელდა რანდომიზაციის (შემთხვევითი შერჩევის</w:t>
      </w:r>
      <w:r w:rsidR="008B5172">
        <w:rPr>
          <w:rFonts w:ascii="Sylfaen" w:hAnsi="Sylfaen"/>
          <w:sz w:val="22"/>
          <w:szCs w:val="23"/>
          <w:lang w:val="ka-GE"/>
        </w:rPr>
        <w:t>)</w:t>
      </w:r>
      <w:r>
        <w:rPr>
          <w:rFonts w:ascii="Sylfaen" w:hAnsi="Sylfaen"/>
          <w:sz w:val="22"/>
          <w:szCs w:val="23"/>
          <w:lang w:val="ka-GE"/>
        </w:rPr>
        <w:t xml:space="preserve"> გზით და განისაზღვრა ინტერვენციის და კონტროლის ჯგუფები. ინტერვე</w:t>
      </w:r>
      <w:r w:rsidR="008B5172">
        <w:rPr>
          <w:rFonts w:ascii="Sylfaen" w:hAnsi="Sylfaen"/>
          <w:sz w:val="22"/>
          <w:szCs w:val="23"/>
          <w:lang w:val="ka-GE"/>
        </w:rPr>
        <w:t>ნ</w:t>
      </w:r>
      <w:r>
        <w:rPr>
          <w:rFonts w:ascii="Sylfaen" w:hAnsi="Sylfaen"/>
          <w:sz w:val="22"/>
          <w:szCs w:val="23"/>
          <w:lang w:val="ka-GE"/>
        </w:rPr>
        <w:t xml:space="preserve">ციის ჯგუფში მოხდება მოდელის პილოტირება, </w:t>
      </w:r>
      <w:r>
        <w:rPr>
          <w:rFonts w:ascii="Sylfaen" w:hAnsi="Sylfaen"/>
          <w:sz w:val="22"/>
          <w:szCs w:val="23"/>
          <w:lang w:val="ka-GE"/>
        </w:rPr>
        <w:lastRenderedPageBreak/>
        <w:t>ხოლო კონტროლის ჯგუფში</w:t>
      </w:r>
      <w:r w:rsidR="001F16D5">
        <w:rPr>
          <w:rFonts w:ascii="Sylfaen" w:hAnsi="Sylfaen"/>
          <w:sz w:val="22"/>
          <w:szCs w:val="23"/>
          <w:lang w:val="ka-GE"/>
        </w:rPr>
        <w:t xml:space="preserve"> პრაქტიკა არ შეიცვლება, </w:t>
      </w:r>
      <w:r>
        <w:rPr>
          <w:rFonts w:ascii="Sylfaen" w:hAnsi="Sylfaen"/>
          <w:sz w:val="22"/>
          <w:szCs w:val="23"/>
          <w:lang w:val="ka-GE"/>
        </w:rPr>
        <w:t xml:space="preserve"> </w:t>
      </w:r>
      <w:r w:rsidR="001F16D5">
        <w:rPr>
          <w:rFonts w:ascii="Sylfaen" w:hAnsi="Sylfaen"/>
          <w:sz w:val="22"/>
          <w:szCs w:val="23"/>
          <w:lang w:val="ka-GE"/>
        </w:rPr>
        <w:t>განხორციელდება მხოლოდ მონაცემების შეგროვება ინტერვენციის ჯგუფთან შედარების მიზნით.</w:t>
      </w:r>
    </w:p>
    <w:p w14:paraId="5A7220A6" w14:textId="48C7CA61" w:rsidR="00761D9E" w:rsidRDefault="001F16D5" w:rsidP="00761D9E">
      <w:pPr>
        <w:pStyle w:val="Default"/>
        <w:spacing w:line="276" w:lineRule="auto"/>
        <w:ind w:firstLine="450"/>
        <w:rPr>
          <w:rFonts w:ascii="Sylfaen" w:hAnsi="Sylfaen"/>
          <w:sz w:val="22"/>
          <w:szCs w:val="23"/>
          <w:lang w:val="ka-GE"/>
        </w:rPr>
      </w:pPr>
      <w:r>
        <w:rPr>
          <w:rFonts w:ascii="Sylfaen" w:hAnsi="Sylfaen"/>
          <w:sz w:val="22"/>
          <w:szCs w:val="23"/>
          <w:lang w:val="ka-GE"/>
        </w:rPr>
        <w:t xml:space="preserve">მოდელის </w:t>
      </w:r>
      <w:r w:rsidRPr="00665B82">
        <w:rPr>
          <w:rFonts w:ascii="Sylfaen" w:hAnsi="Sylfaen"/>
          <w:sz w:val="22"/>
          <w:szCs w:val="23"/>
          <w:lang w:val="ka-GE"/>
        </w:rPr>
        <w:t xml:space="preserve">გამართვის მიზნით </w:t>
      </w:r>
      <w:r>
        <w:rPr>
          <w:rFonts w:ascii="Sylfaen" w:hAnsi="Sylfaen"/>
          <w:sz w:val="22"/>
          <w:szCs w:val="23"/>
          <w:lang w:val="ka-GE"/>
        </w:rPr>
        <w:t xml:space="preserve"> </w:t>
      </w:r>
      <w:r w:rsidR="00E31AF2">
        <w:rPr>
          <w:rFonts w:ascii="Sylfaen" w:hAnsi="Sylfaen"/>
          <w:sz w:val="22"/>
          <w:szCs w:val="23"/>
          <w:lang w:val="ka-GE"/>
        </w:rPr>
        <w:t xml:space="preserve">ჩატარდა </w:t>
      </w:r>
      <w:r>
        <w:rPr>
          <w:rFonts w:ascii="Sylfaen" w:hAnsi="Sylfaen"/>
          <w:sz w:val="22"/>
          <w:szCs w:val="23"/>
          <w:lang w:val="ka-GE"/>
        </w:rPr>
        <w:t xml:space="preserve">მისი პრეტესტირება კასპის და ლანჩხუთის </w:t>
      </w:r>
      <w:r w:rsidR="00D82146">
        <w:rPr>
          <w:rFonts w:ascii="Sylfaen" w:hAnsi="Sylfaen"/>
          <w:sz w:val="22"/>
          <w:szCs w:val="23"/>
          <w:lang w:val="ka-GE"/>
        </w:rPr>
        <w:t xml:space="preserve">სამედიცინო მომსახურების მიმწოდებელ დაწესებულებებში </w:t>
      </w:r>
      <w:r>
        <w:rPr>
          <w:rFonts w:ascii="Sylfaen" w:hAnsi="Sylfaen"/>
          <w:sz w:val="22"/>
          <w:szCs w:val="23"/>
          <w:lang w:val="ka-GE"/>
        </w:rPr>
        <w:t>2018 წლის ოქტომბრიდან</w:t>
      </w:r>
      <w:r w:rsidR="00761D9E">
        <w:rPr>
          <w:rFonts w:ascii="Sylfaen" w:hAnsi="Sylfaen"/>
          <w:sz w:val="22"/>
          <w:szCs w:val="23"/>
          <w:lang w:val="ka-GE"/>
        </w:rPr>
        <w:t xml:space="preserve"> 2019 თებერვლის ჩათვლით, რის საფუძველზე მოხდა მოდელის სქემის მცირედი მოდიფიკაცია. </w:t>
      </w:r>
    </w:p>
    <w:p w14:paraId="358C720E" w14:textId="0314DFB5" w:rsidR="001F16D5" w:rsidRDefault="001F16D5" w:rsidP="00653D3E">
      <w:pPr>
        <w:pStyle w:val="Default"/>
        <w:spacing w:line="276" w:lineRule="auto"/>
        <w:ind w:firstLine="450"/>
        <w:rPr>
          <w:rFonts w:ascii="Sylfaen" w:hAnsi="Sylfaen"/>
          <w:sz w:val="22"/>
          <w:szCs w:val="23"/>
          <w:lang w:val="ka-GE"/>
        </w:rPr>
      </w:pPr>
      <w:r>
        <w:rPr>
          <w:rFonts w:ascii="Sylfaen" w:hAnsi="Sylfaen"/>
          <w:sz w:val="22"/>
          <w:szCs w:val="23"/>
          <w:lang w:val="ka-GE"/>
        </w:rPr>
        <w:t xml:space="preserve">პილოტი გაგრძელდება ამ ორ და დანარჩენ რვა </w:t>
      </w:r>
      <w:r w:rsidR="00761D9E">
        <w:rPr>
          <w:rFonts w:ascii="Sylfaen" w:hAnsi="Sylfaen"/>
          <w:sz w:val="22"/>
          <w:szCs w:val="23"/>
          <w:lang w:val="ka-GE"/>
        </w:rPr>
        <w:t xml:space="preserve">(სულ 10 </w:t>
      </w:r>
      <w:r>
        <w:rPr>
          <w:rFonts w:ascii="Sylfaen" w:hAnsi="Sylfaen"/>
          <w:sz w:val="22"/>
          <w:szCs w:val="23"/>
          <w:lang w:val="ka-GE"/>
        </w:rPr>
        <w:t>დაწესებულებაში</w:t>
      </w:r>
      <w:r w:rsidR="00761D9E">
        <w:rPr>
          <w:rFonts w:ascii="Sylfaen" w:hAnsi="Sylfaen"/>
          <w:sz w:val="22"/>
          <w:szCs w:val="23"/>
          <w:lang w:val="ka-GE"/>
        </w:rPr>
        <w:t>)</w:t>
      </w:r>
      <w:r>
        <w:rPr>
          <w:rFonts w:ascii="Sylfaen" w:hAnsi="Sylfaen"/>
          <w:sz w:val="22"/>
          <w:szCs w:val="23"/>
          <w:lang w:val="ka-GE"/>
        </w:rPr>
        <w:t xml:space="preserve"> 2019 </w:t>
      </w:r>
      <w:r w:rsidRPr="00761D9E">
        <w:rPr>
          <w:rFonts w:ascii="Sylfaen" w:hAnsi="Sylfaen"/>
          <w:sz w:val="22"/>
          <w:szCs w:val="23"/>
          <w:lang w:val="ka-GE"/>
        </w:rPr>
        <w:t xml:space="preserve">წლის </w:t>
      </w:r>
      <w:r w:rsidR="00610694" w:rsidRPr="00761D9E">
        <w:rPr>
          <w:rFonts w:ascii="Sylfaen" w:hAnsi="Sylfaen"/>
          <w:sz w:val="22"/>
          <w:szCs w:val="23"/>
          <w:lang w:val="ka-GE"/>
        </w:rPr>
        <w:t>მარტი</w:t>
      </w:r>
      <w:r w:rsidR="00E31AF2" w:rsidRPr="00761D9E">
        <w:rPr>
          <w:rFonts w:ascii="Sylfaen" w:hAnsi="Sylfaen"/>
          <w:sz w:val="22"/>
          <w:szCs w:val="23"/>
          <w:lang w:val="ka-GE"/>
        </w:rPr>
        <w:t>-აპრილიდან</w:t>
      </w:r>
      <w:r w:rsidRPr="00761D9E">
        <w:rPr>
          <w:rFonts w:ascii="Sylfaen" w:hAnsi="Sylfaen"/>
          <w:sz w:val="22"/>
          <w:szCs w:val="23"/>
          <w:lang w:val="ka-GE"/>
        </w:rPr>
        <w:t>.</w:t>
      </w:r>
      <w:r>
        <w:rPr>
          <w:rFonts w:ascii="Sylfaen" w:hAnsi="Sylfaen"/>
          <w:sz w:val="22"/>
          <w:szCs w:val="23"/>
          <w:lang w:val="ka-GE"/>
        </w:rPr>
        <w:t xml:space="preserve"> </w:t>
      </w:r>
    </w:p>
    <w:p w14:paraId="31B30B68" w14:textId="77777777" w:rsidR="00386A87" w:rsidRPr="00665B82" w:rsidRDefault="00386A87" w:rsidP="001F16D5">
      <w:pPr>
        <w:pStyle w:val="Default"/>
        <w:spacing w:line="276" w:lineRule="auto"/>
        <w:ind w:firstLine="450"/>
        <w:rPr>
          <w:rFonts w:ascii="Sylfaen" w:hAnsi="Sylfaen"/>
          <w:sz w:val="22"/>
          <w:szCs w:val="23"/>
          <w:lang w:val="ka-GE"/>
        </w:rPr>
      </w:pPr>
    </w:p>
    <w:p w14:paraId="4A206EC0" w14:textId="32F248AE" w:rsidR="0019239A" w:rsidRPr="00665B82" w:rsidRDefault="0019239A" w:rsidP="0019239A">
      <w:pPr>
        <w:pStyle w:val="Caption"/>
      </w:pPr>
      <w:r w:rsidRPr="00665B82">
        <w:t>ცხრილი</w:t>
      </w:r>
      <w:r w:rsidRPr="006220D9">
        <w:t xml:space="preserve"> </w:t>
      </w:r>
      <w:r w:rsidRPr="006220D9">
        <w:fldChar w:fldCharType="begin"/>
      </w:r>
      <w:r w:rsidRPr="00AE1956">
        <w:instrText xml:space="preserve"> SEQ ცხრილი \* ARABIC </w:instrText>
      </w:r>
      <w:r w:rsidRPr="006220D9">
        <w:fldChar w:fldCharType="separate"/>
      </w:r>
      <w:r w:rsidR="00AE1956">
        <w:rPr>
          <w:noProof/>
        </w:rPr>
        <w:t>3</w:t>
      </w:r>
      <w:r w:rsidRPr="006220D9">
        <w:fldChar w:fldCharType="end"/>
      </w:r>
      <w:r w:rsidRPr="006220D9">
        <w:t xml:space="preserve">. </w:t>
      </w:r>
      <w:r>
        <w:t xml:space="preserve"> </w:t>
      </w:r>
      <w:r w:rsidR="00CC676F">
        <w:t>შერჩეული დაწესებულებები (ინტერვენციის და კონტროლის ჯგუფი)</w:t>
      </w:r>
    </w:p>
    <w:tbl>
      <w:tblPr>
        <w:tblStyle w:val="ListTable1Light-Accent11"/>
        <w:tblW w:w="9356" w:type="dxa"/>
        <w:tblLook w:val="04A0" w:firstRow="1" w:lastRow="0" w:firstColumn="1" w:lastColumn="0" w:noHBand="0" w:noVBand="1"/>
      </w:tblPr>
      <w:tblGrid>
        <w:gridCol w:w="520"/>
        <w:gridCol w:w="1323"/>
        <w:gridCol w:w="1942"/>
        <w:gridCol w:w="3019"/>
        <w:gridCol w:w="2552"/>
      </w:tblGrid>
      <w:tr w:rsidR="0019239A" w:rsidRPr="006C7D61" w14:paraId="710D3C6F" w14:textId="5EE91650" w:rsidTr="001F1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59459AC2" w14:textId="77777777" w:rsidR="0019239A" w:rsidRPr="006C7D61" w:rsidRDefault="0019239A" w:rsidP="00BF09C9">
            <w:pPr>
              <w:spacing w:line="240" w:lineRule="auto"/>
              <w:rPr>
                <w:rFonts w:ascii="Sylfaen" w:eastAsia="Times New Roman" w:hAnsi="Sylfaen" w:cs="Sylfae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hideMark/>
          </w:tcPr>
          <w:p w14:paraId="5E4EEA9A" w14:textId="77777777" w:rsidR="0019239A" w:rsidRPr="00665B82" w:rsidRDefault="0019239A" w:rsidP="00BF09C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რაიონი</w:t>
            </w:r>
          </w:p>
        </w:tc>
        <w:tc>
          <w:tcPr>
            <w:tcW w:w="1942" w:type="dxa"/>
            <w:hideMark/>
          </w:tcPr>
          <w:p w14:paraId="148B05E4" w14:textId="77777777" w:rsidR="0019239A" w:rsidRPr="006C7D61" w:rsidRDefault="0019239A" w:rsidP="00BF09C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ტიპი</w:t>
            </w:r>
            <w:proofErr w:type="spellEnd"/>
          </w:p>
        </w:tc>
        <w:tc>
          <w:tcPr>
            <w:tcW w:w="3019" w:type="dxa"/>
            <w:hideMark/>
          </w:tcPr>
          <w:p w14:paraId="346DBD8B" w14:textId="77777777" w:rsidR="0019239A" w:rsidRPr="006C7D61" w:rsidRDefault="0019239A" w:rsidP="00BF09C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მიმწოდებლის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2552" w:type="dxa"/>
          </w:tcPr>
          <w:p w14:paraId="289823D0" w14:textId="77777777" w:rsidR="0019239A" w:rsidRPr="006C7D61" w:rsidRDefault="0019239A" w:rsidP="00BF09C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</w:p>
        </w:tc>
      </w:tr>
      <w:tr w:rsidR="0019239A" w:rsidRPr="006C7D61" w14:paraId="7E46C0DD" w14:textId="6FA2B7E7" w:rsidTr="001F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71287672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323" w:type="dxa"/>
            <w:noWrap/>
          </w:tcPr>
          <w:p w14:paraId="3854EB3A" w14:textId="6B17BE97" w:rsidR="0019239A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კასპი </w:t>
            </w:r>
          </w:p>
        </w:tc>
        <w:tc>
          <w:tcPr>
            <w:tcW w:w="1942" w:type="dxa"/>
            <w:noWrap/>
          </w:tcPr>
          <w:p w14:paraId="2CD0D4A2" w14:textId="311529AF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ინტეგრირებული</w:t>
            </w:r>
            <w:proofErr w:type="spellEnd"/>
          </w:p>
        </w:tc>
        <w:tc>
          <w:tcPr>
            <w:tcW w:w="3019" w:type="dxa"/>
            <w:noWrap/>
          </w:tcPr>
          <w:p w14:paraId="627A060B" w14:textId="602A545F" w:rsidR="0019239A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მედალფა</w:t>
            </w:r>
          </w:p>
        </w:tc>
        <w:tc>
          <w:tcPr>
            <w:tcW w:w="2552" w:type="dxa"/>
          </w:tcPr>
          <w:p w14:paraId="5D0AB374" w14:textId="2E6F4976" w:rsidR="0019239A" w:rsidRDefault="00BF09C9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ინტერვენცია (პრეტესტი)</w:t>
            </w:r>
          </w:p>
        </w:tc>
      </w:tr>
      <w:tr w:rsidR="0019239A" w:rsidRPr="006C7D61" w14:paraId="41116D1D" w14:textId="7E93552F" w:rsidTr="001F16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5D22BB9E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323" w:type="dxa"/>
            <w:noWrap/>
          </w:tcPr>
          <w:p w14:paraId="18847424" w14:textId="08F7A4AA" w:rsidR="0019239A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ლანჩხუთი</w:t>
            </w:r>
          </w:p>
        </w:tc>
        <w:tc>
          <w:tcPr>
            <w:tcW w:w="1942" w:type="dxa"/>
            <w:noWrap/>
          </w:tcPr>
          <w:p w14:paraId="2C685774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019" w:type="dxa"/>
            <w:noWrap/>
          </w:tcPr>
          <w:p w14:paraId="39EFD6D5" w14:textId="52F3A537" w:rsidR="0019239A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მედალფა</w:t>
            </w:r>
          </w:p>
        </w:tc>
        <w:tc>
          <w:tcPr>
            <w:tcW w:w="2552" w:type="dxa"/>
          </w:tcPr>
          <w:p w14:paraId="7D02F673" w14:textId="20EA0602" w:rsidR="0019239A" w:rsidRDefault="00BF09C9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ინტერვენცია (პრეტესტი)</w:t>
            </w:r>
          </w:p>
        </w:tc>
      </w:tr>
      <w:tr w:rsidR="0019239A" w:rsidRPr="006C7D61" w14:paraId="2639212A" w14:textId="77777777" w:rsidTr="001F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1BBCFF03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3C8FCA04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სამტრედია</w:t>
            </w:r>
            <w:proofErr w:type="spellEnd"/>
          </w:p>
        </w:tc>
        <w:tc>
          <w:tcPr>
            <w:tcW w:w="1942" w:type="dxa"/>
            <w:noWrap/>
            <w:hideMark/>
          </w:tcPr>
          <w:p w14:paraId="7345D092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ინტეგრირებული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585F5810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ჯეო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ჰოსპიტალსი</w:t>
            </w:r>
            <w:proofErr w:type="spellEnd"/>
          </w:p>
        </w:tc>
        <w:tc>
          <w:tcPr>
            <w:tcW w:w="2552" w:type="dxa"/>
          </w:tcPr>
          <w:p w14:paraId="5CC254B9" w14:textId="4CF54AE6" w:rsidR="0019239A" w:rsidRPr="00BF09C9" w:rsidRDefault="00BF09C9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ინტერვენცია</w:t>
            </w:r>
          </w:p>
        </w:tc>
      </w:tr>
      <w:tr w:rsidR="001F16D5" w:rsidRPr="006C7D61" w14:paraId="662CDD63" w14:textId="77777777" w:rsidTr="001F16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7E8CC9C9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7A263215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გარდაბანი</w:t>
            </w:r>
            <w:proofErr w:type="spellEnd"/>
          </w:p>
        </w:tc>
        <w:tc>
          <w:tcPr>
            <w:tcW w:w="1942" w:type="dxa"/>
            <w:noWrap/>
            <w:hideMark/>
          </w:tcPr>
          <w:p w14:paraId="265C3875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ინტეგრირებული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3AEE987A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ჯეო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ჰოსპიტალსი</w:t>
            </w:r>
            <w:proofErr w:type="spellEnd"/>
          </w:p>
        </w:tc>
        <w:tc>
          <w:tcPr>
            <w:tcW w:w="2552" w:type="dxa"/>
          </w:tcPr>
          <w:p w14:paraId="6E5C4E18" w14:textId="5717C046" w:rsidR="0019239A" w:rsidRPr="006C7D61" w:rsidRDefault="00BF09C9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ინტერვენცია</w:t>
            </w:r>
          </w:p>
        </w:tc>
      </w:tr>
      <w:tr w:rsidR="0019239A" w:rsidRPr="006C7D61" w14:paraId="5CCB1372" w14:textId="77777777" w:rsidTr="001F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3A1B4AEA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415C714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რუსთავი</w:t>
            </w:r>
            <w:proofErr w:type="spellEnd"/>
          </w:p>
        </w:tc>
        <w:tc>
          <w:tcPr>
            <w:tcW w:w="1942" w:type="dxa"/>
            <w:noWrap/>
            <w:hideMark/>
          </w:tcPr>
          <w:p w14:paraId="12831C77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სპეციალიზებული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4AE7BEAC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რუსთავის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ცენტრალური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საავადმყოფო</w:t>
            </w:r>
            <w:proofErr w:type="spellEnd"/>
          </w:p>
        </w:tc>
        <w:tc>
          <w:tcPr>
            <w:tcW w:w="2552" w:type="dxa"/>
          </w:tcPr>
          <w:p w14:paraId="378AA43A" w14:textId="4538297A" w:rsidR="0019239A" w:rsidRPr="006C7D61" w:rsidRDefault="00BF09C9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ინტერვენცია</w:t>
            </w:r>
          </w:p>
        </w:tc>
      </w:tr>
      <w:tr w:rsidR="0019239A" w:rsidRPr="006C7D61" w14:paraId="7A7281E1" w14:textId="77777777" w:rsidTr="001F16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24CC3AA8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49F30DEE" w14:textId="37992843" w:rsidR="0019239A" w:rsidRPr="0019239A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ხობი</w:t>
            </w:r>
          </w:p>
        </w:tc>
        <w:tc>
          <w:tcPr>
            <w:tcW w:w="1942" w:type="dxa"/>
            <w:noWrap/>
            <w:hideMark/>
          </w:tcPr>
          <w:p w14:paraId="0C6A4792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ინტეგრირებული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644852ED" w14:textId="20F7C71D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ხობის</w:t>
            </w:r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ამბულატორიულ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პოლიკლინიკური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გაერთიანება</w:t>
            </w:r>
            <w:proofErr w:type="spellEnd"/>
          </w:p>
        </w:tc>
        <w:tc>
          <w:tcPr>
            <w:tcW w:w="2552" w:type="dxa"/>
          </w:tcPr>
          <w:p w14:paraId="45A2325A" w14:textId="169C0451" w:rsidR="0019239A" w:rsidRPr="006C7D61" w:rsidRDefault="00BF09C9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ინტერვენცია</w:t>
            </w:r>
          </w:p>
        </w:tc>
      </w:tr>
      <w:tr w:rsidR="0019239A" w:rsidRPr="006C7D61" w14:paraId="505D427B" w14:textId="77777777" w:rsidTr="001F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0E45444A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125975F8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სენაკი</w:t>
            </w:r>
            <w:proofErr w:type="spellEnd"/>
          </w:p>
        </w:tc>
        <w:tc>
          <w:tcPr>
            <w:tcW w:w="1942" w:type="dxa"/>
            <w:noWrap/>
            <w:hideMark/>
          </w:tcPr>
          <w:p w14:paraId="0D0F6F95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ინტეგრირებული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24385B5B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სენაკის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ამბულატორიულ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პოლიკლინიკური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გაერთიანება</w:t>
            </w:r>
            <w:proofErr w:type="spellEnd"/>
          </w:p>
        </w:tc>
        <w:tc>
          <w:tcPr>
            <w:tcW w:w="2552" w:type="dxa"/>
          </w:tcPr>
          <w:p w14:paraId="21157CB0" w14:textId="7A5E467A" w:rsidR="0019239A" w:rsidRPr="006C7D61" w:rsidRDefault="00BF09C9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ინტერვენცია</w:t>
            </w:r>
          </w:p>
        </w:tc>
      </w:tr>
      <w:tr w:rsidR="0019239A" w:rsidRPr="006C7D61" w14:paraId="476D54F3" w14:textId="77777777" w:rsidTr="001F16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6C98F3FB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42D4C73D" w14:textId="77777777" w:rsidR="0019239A" w:rsidRPr="005B5EF2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ზუგდიდი</w:t>
            </w:r>
          </w:p>
        </w:tc>
        <w:tc>
          <w:tcPr>
            <w:tcW w:w="1942" w:type="dxa"/>
            <w:noWrap/>
            <w:hideMark/>
          </w:tcPr>
          <w:p w14:paraId="77EC597B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სპეციალიზებული</w:t>
            </w:r>
            <w:proofErr w:type="spellEnd"/>
          </w:p>
        </w:tc>
        <w:tc>
          <w:tcPr>
            <w:tcW w:w="3019" w:type="dxa"/>
          </w:tcPr>
          <w:p w14:paraId="4131BA38" w14:textId="5A7FF3ED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ზუგდიდის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რეგიონული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ტუბ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ცენტრი</w:t>
            </w:r>
          </w:p>
        </w:tc>
        <w:tc>
          <w:tcPr>
            <w:tcW w:w="2552" w:type="dxa"/>
            <w:noWrap/>
            <w:hideMark/>
          </w:tcPr>
          <w:p w14:paraId="2BC1DDF9" w14:textId="0DC2B939" w:rsidR="0019239A" w:rsidRPr="00780597" w:rsidRDefault="00BF09C9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ინტერვენცია</w:t>
            </w:r>
          </w:p>
        </w:tc>
      </w:tr>
      <w:tr w:rsidR="001F16D5" w:rsidRPr="006C7D61" w14:paraId="0A4D2470" w14:textId="77777777" w:rsidTr="001F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4EFCE00A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562BBA12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გორი</w:t>
            </w:r>
            <w:proofErr w:type="spellEnd"/>
          </w:p>
        </w:tc>
        <w:tc>
          <w:tcPr>
            <w:tcW w:w="1942" w:type="dxa"/>
            <w:noWrap/>
            <w:hideMark/>
          </w:tcPr>
          <w:p w14:paraId="668E2798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ინტეგრირებული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7691D100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გორმედი</w:t>
            </w:r>
            <w:proofErr w:type="spellEnd"/>
          </w:p>
        </w:tc>
        <w:tc>
          <w:tcPr>
            <w:tcW w:w="2552" w:type="dxa"/>
          </w:tcPr>
          <w:p w14:paraId="530BE496" w14:textId="02487FC6" w:rsidR="0019239A" w:rsidRPr="006C7D61" w:rsidRDefault="00BF09C9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ინტერვენცია</w:t>
            </w:r>
          </w:p>
        </w:tc>
      </w:tr>
      <w:tr w:rsidR="001F16D5" w:rsidRPr="006C7D61" w14:paraId="74AF1B91" w14:textId="77777777" w:rsidTr="001F16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66D24A5D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2C7BD2AA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942" w:type="dxa"/>
            <w:noWrap/>
            <w:hideMark/>
          </w:tcPr>
          <w:p w14:paraId="254D876C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სპეციალიზებული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2A50EE89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ტუბერკულოზის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ფილტვის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დაავადებათა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2552" w:type="dxa"/>
          </w:tcPr>
          <w:p w14:paraId="7DDBCF5D" w14:textId="325A8E05" w:rsidR="0019239A" w:rsidRPr="006C7D61" w:rsidRDefault="00BF09C9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ინტერვენცია</w:t>
            </w:r>
          </w:p>
        </w:tc>
      </w:tr>
      <w:tr w:rsidR="00BF09C9" w:rsidRPr="006C7D61" w14:paraId="34CFBAD4" w14:textId="77777777" w:rsidTr="001F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214DA1BC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3A4264CA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ოზურგეთი</w:t>
            </w:r>
            <w:proofErr w:type="spellEnd"/>
          </w:p>
        </w:tc>
        <w:tc>
          <w:tcPr>
            <w:tcW w:w="1942" w:type="dxa"/>
            <w:noWrap/>
            <w:hideMark/>
          </w:tcPr>
          <w:p w14:paraId="20217BC4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ინტეგრირებული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3F95D4A3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მედალფა</w:t>
            </w:r>
            <w:proofErr w:type="spellEnd"/>
          </w:p>
        </w:tc>
        <w:tc>
          <w:tcPr>
            <w:tcW w:w="2552" w:type="dxa"/>
          </w:tcPr>
          <w:p w14:paraId="720B4129" w14:textId="3F4819EA" w:rsidR="0019239A" w:rsidRPr="00BF09C9" w:rsidRDefault="00BF09C9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კონტროლი</w:t>
            </w:r>
          </w:p>
        </w:tc>
      </w:tr>
      <w:tr w:rsidR="0019239A" w:rsidRPr="006C7D61" w14:paraId="595195F5" w14:textId="77777777" w:rsidTr="001F16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5E99D99C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4F3E1CC6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ქუთაისი</w:t>
            </w:r>
            <w:proofErr w:type="spellEnd"/>
          </w:p>
        </w:tc>
        <w:tc>
          <w:tcPr>
            <w:tcW w:w="1942" w:type="dxa"/>
            <w:noWrap/>
            <w:hideMark/>
          </w:tcPr>
          <w:p w14:paraId="1CE2AF60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სპეციალიზებული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3F6EA861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ტუბერკულოზის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ინფექციურ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ებათ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ა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2552" w:type="dxa"/>
          </w:tcPr>
          <w:p w14:paraId="133E550D" w14:textId="2D241683" w:rsidR="0019239A" w:rsidRPr="006C7D61" w:rsidRDefault="00BF09C9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კონტროლი</w:t>
            </w:r>
          </w:p>
        </w:tc>
      </w:tr>
      <w:tr w:rsidR="0019239A" w:rsidRPr="006C7D61" w14:paraId="0CE9227B" w14:textId="77777777" w:rsidTr="001F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2DA30A29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62C98289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თელავი</w:t>
            </w:r>
            <w:proofErr w:type="spellEnd"/>
          </w:p>
        </w:tc>
        <w:tc>
          <w:tcPr>
            <w:tcW w:w="1942" w:type="dxa"/>
            <w:noWrap/>
            <w:hideMark/>
          </w:tcPr>
          <w:p w14:paraId="67A1B216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ინტეგრირებული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4139DA8C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ევექსი</w:t>
            </w:r>
            <w:proofErr w:type="spellEnd"/>
          </w:p>
        </w:tc>
        <w:tc>
          <w:tcPr>
            <w:tcW w:w="2552" w:type="dxa"/>
          </w:tcPr>
          <w:p w14:paraId="6381FD8E" w14:textId="5C8063FF" w:rsidR="0019239A" w:rsidRPr="006C7D61" w:rsidRDefault="00BF09C9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კონტროლი</w:t>
            </w:r>
          </w:p>
        </w:tc>
      </w:tr>
      <w:tr w:rsidR="0019239A" w:rsidRPr="006C7D61" w14:paraId="71321388" w14:textId="77777777" w:rsidTr="001F16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08A2146E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4CF67E13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დუშეთი</w:t>
            </w:r>
            <w:proofErr w:type="spellEnd"/>
          </w:p>
        </w:tc>
        <w:tc>
          <w:tcPr>
            <w:tcW w:w="1942" w:type="dxa"/>
            <w:noWrap/>
            <w:hideMark/>
          </w:tcPr>
          <w:p w14:paraId="274F8EFF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ინტეგრირებული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322D9C49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ჯეო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ჰოსპიტალსი</w:t>
            </w:r>
            <w:proofErr w:type="spellEnd"/>
          </w:p>
        </w:tc>
        <w:tc>
          <w:tcPr>
            <w:tcW w:w="2552" w:type="dxa"/>
          </w:tcPr>
          <w:p w14:paraId="1AD17995" w14:textId="5CC1CD83" w:rsidR="0019239A" w:rsidRPr="006C7D61" w:rsidRDefault="00BF09C9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კონტროლი</w:t>
            </w:r>
          </w:p>
        </w:tc>
      </w:tr>
      <w:tr w:rsidR="0019239A" w:rsidRPr="006C7D61" w14:paraId="16B5D6AA" w14:textId="77777777" w:rsidTr="001F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51B63E17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5778D065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</w:t>
            </w:r>
            <w:proofErr w:type="spellEnd"/>
          </w:p>
        </w:tc>
        <w:tc>
          <w:tcPr>
            <w:tcW w:w="1942" w:type="dxa"/>
            <w:noWrap/>
            <w:hideMark/>
          </w:tcPr>
          <w:p w14:paraId="50DF9CF0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ინტეგრირებული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2D9492C2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ევექსი</w:t>
            </w:r>
            <w:proofErr w:type="spellEnd"/>
          </w:p>
        </w:tc>
        <w:tc>
          <w:tcPr>
            <w:tcW w:w="2552" w:type="dxa"/>
          </w:tcPr>
          <w:p w14:paraId="37CEE1B6" w14:textId="11F5F0C3" w:rsidR="0019239A" w:rsidRPr="006C7D61" w:rsidRDefault="00BF09C9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კონტროლი</w:t>
            </w:r>
          </w:p>
        </w:tc>
      </w:tr>
      <w:tr w:rsidR="0019239A" w:rsidRPr="006C7D61" w14:paraId="0FC7AC35" w14:textId="77777777" w:rsidTr="001F16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6C662AF6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323" w:type="dxa"/>
            <w:noWrap/>
          </w:tcPr>
          <w:p w14:paraId="268B0B7E" w14:textId="5A3AE02D" w:rsidR="0019239A" w:rsidRPr="005B5EF2" w:rsidRDefault="000D7BFC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მარნეული</w:t>
            </w:r>
          </w:p>
        </w:tc>
        <w:tc>
          <w:tcPr>
            <w:tcW w:w="1942" w:type="dxa"/>
            <w:noWrap/>
            <w:hideMark/>
          </w:tcPr>
          <w:p w14:paraId="3F449872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ინტეგრირებული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459925AE" w14:textId="29AE950C" w:rsidR="0019239A" w:rsidRPr="005B5EF2" w:rsidRDefault="000D7BFC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მედექსი</w:t>
            </w:r>
          </w:p>
        </w:tc>
        <w:tc>
          <w:tcPr>
            <w:tcW w:w="2552" w:type="dxa"/>
          </w:tcPr>
          <w:p w14:paraId="1F475D01" w14:textId="232217F9" w:rsidR="0019239A" w:rsidRDefault="00BF09C9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კონტროლი</w:t>
            </w:r>
          </w:p>
        </w:tc>
      </w:tr>
      <w:tr w:rsidR="0019239A" w:rsidRPr="006C7D61" w14:paraId="07992830" w14:textId="1B70A1CB" w:rsidTr="001F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31EF7810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4ADDC54B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თბილისი </w:t>
            </w:r>
          </w:p>
        </w:tc>
        <w:tc>
          <w:tcPr>
            <w:tcW w:w="1942" w:type="dxa"/>
            <w:noWrap/>
            <w:hideMark/>
          </w:tcPr>
          <w:p w14:paraId="38E6B307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სპეციალიზებული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056ED2C9" w14:textId="77777777" w:rsidR="0019239A" w:rsidRPr="006C7D61" w:rsidRDefault="0019239A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ტუბერკულოზის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ფილტვის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დაავადებათა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-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ტუბ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კაბინეტი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(II)</w:t>
            </w:r>
          </w:p>
        </w:tc>
        <w:tc>
          <w:tcPr>
            <w:tcW w:w="2552" w:type="dxa"/>
          </w:tcPr>
          <w:p w14:paraId="352B9FC6" w14:textId="6DFE6899" w:rsidR="0019239A" w:rsidRPr="006C7D61" w:rsidRDefault="00BF09C9" w:rsidP="00BF09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კონტროლი</w:t>
            </w:r>
          </w:p>
        </w:tc>
      </w:tr>
      <w:tr w:rsidR="0019239A" w:rsidRPr="006C7D61" w14:paraId="4EA08598" w14:textId="77777777" w:rsidTr="001F16D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14:paraId="4BA59F36" w14:textId="77777777" w:rsidR="0019239A" w:rsidRPr="006C7D61" w:rsidRDefault="0019239A" w:rsidP="00BF09C9">
            <w:pPr>
              <w:pStyle w:val="ListParagraph"/>
              <w:numPr>
                <w:ilvl w:val="0"/>
                <w:numId w:val="10"/>
              </w:numPr>
              <w:spacing w:before="0" w:beforeAutospacing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noWrap/>
          </w:tcPr>
          <w:p w14:paraId="2BD9CA43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942" w:type="dxa"/>
            <w:noWrap/>
            <w:hideMark/>
          </w:tcPr>
          <w:p w14:paraId="5D31388A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სპეციალიზებული</w:t>
            </w:r>
            <w:proofErr w:type="spellEnd"/>
          </w:p>
        </w:tc>
        <w:tc>
          <w:tcPr>
            <w:tcW w:w="3019" w:type="dxa"/>
            <w:noWrap/>
            <w:hideMark/>
          </w:tcPr>
          <w:p w14:paraId="4452FBEC" w14:textId="77777777" w:rsidR="0019239A" w:rsidRPr="006C7D61" w:rsidRDefault="0019239A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ტუბერკულოზის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ფილტვის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დაავადებათა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ტუბ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D6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კაბინეტი</w:t>
            </w:r>
            <w:proofErr w:type="spellEnd"/>
            <w:r w:rsidRPr="006C7D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(III &amp; V)</w:t>
            </w:r>
          </w:p>
        </w:tc>
        <w:tc>
          <w:tcPr>
            <w:tcW w:w="2552" w:type="dxa"/>
          </w:tcPr>
          <w:p w14:paraId="3E9754E4" w14:textId="53FF97D0" w:rsidR="0019239A" w:rsidRPr="006C7D61" w:rsidRDefault="00BF09C9" w:rsidP="00BF09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კონტროლი</w:t>
            </w:r>
          </w:p>
        </w:tc>
      </w:tr>
    </w:tbl>
    <w:p w14:paraId="1DFF25AE" w14:textId="1556F5F7" w:rsidR="0019239A" w:rsidRDefault="0019239A" w:rsidP="0019239A">
      <w:pPr>
        <w:pStyle w:val="Default"/>
        <w:spacing w:line="276" w:lineRule="auto"/>
        <w:ind w:firstLine="450"/>
        <w:rPr>
          <w:rFonts w:ascii="Sylfaen" w:hAnsi="Sylfaen"/>
          <w:sz w:val="22"/>
          <w:szCs w:val="23"/>
          <w:lang w:val="ka-GE"/>
        </w:rPr>
      </w:pPr>
    </w:p>
    <w:sectPr w:rsidR="0019239A" w:rsidSect="0014791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70" w:right="851" w:bottom="1418" w:left="1418" w:header="720" w:footer="2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7074B" w14:textId="77777777" w:rsidR="00822DEA" w:rsidRDefault="00822DEA" w:rsidP="006C5916">
      <w:pPr>
        <w:spacing w:after="0"/>
      </w:pPr>
      <w:r>
        <w:separator/>
      </w:r>
    </w:p>
  </w:endnote>
  <w:endnote w:type="continuationSeparator" w:id="0">
    <w:p w14:paraId="48A77311" w14:textId="77777777" w:rsidR="00822DEA" w:rsidRDefault="00822DEA" w:rsidP="006C59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PG Sans Caps">
    <w:altName w:val="Sylfaen"/>
    <w:panose1 w:val="020B0604020202020204"/>
    <w:charset w:val="00"/>
    <w:family w:val="auto"/>
    <w:pitch w:val="variable"/>
    <w:sig w:usb0="84000223" w:usb1="0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PG Nino Mtavruli">
    <w:altName w:val="Franklin Gothic Medium Cond"/>
    <w:panose1 w:val="020B0604020202020204"/>
    <w:charset w:val="00"/>
    <w:family w:val="auto"/>
    <w:pitch w:val="variable"/>
    <w:sig w:usb0="84000027" w:usb1="1000004A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PG Arial">
    <w:altName w:val="Arial"/>
    <w:panose1 w:val="020B0604020202020204"/>
    <w:charset w:val="00"/>
    <w:family w:val="auto"/>
    <w:pitch w:val="variable"/>
    <w:sig w:usb0="A4002AFF" w:usb1="D00078FB" w:usb2="00000008" w:usb3="00000000" w:csb0="000001FF" w:csb1="00000000"/>
  </w:font>
  <w:font w:name="ALK Tall Nusxuri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7578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228FB" w14:textId="77777777" w:rsidR="00FD305B" w:rsidRDefault="00FD305B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7216" behindDoc="1" locked="0" layoutInCell="0" allowOverlap="1" wp14:anchorId="2B0CCB2A" wp14:editId="24DAC8FA">
              <wp:simplePos x="0" y="0"/>
              <wp:positionH relativeFrom="margin">
                <wp:posOffset>918210</wp:posOffset>
              </wp:positionH>
              <wp:positionV relativeFrom="margin">
                <wp:posOffset>6920865</wp:posOffset>
              </wp:positionV>
              <wp:extent cx="5937885" cy="6470650"/>
              <wp:effectExtent l="0" t="0" r="5715" b="6350"/>
              <wp:wrapNone/>
              <wp:docPr id="15" name="Picture 15" descr="1 (3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1 (3)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7885" cy="6470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3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4AD37E" w14:textId="77777777" w:rsidR="00FD305B" w:rsidRDefault="00FD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0262210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17E12336" w14:textId="77777777" w:rsidR="00FD305B" w:rsidRPr="00812B33" w:rsidRDefault="00FD305B" w:rsidP="00812B33">
        <w:pPr>
          <w:pStyle w:val="Footer"/>
          <w:rPr>
            <w:sz w:val="16"/>
          </w:rPr>
        </w:pPr>
      </w:p>
      <w:p w14:paraId="33109CEB" w14:textId="77777777" w:rsidR="00FD305B" w:rsidRPr="00D25F4C" w:rsidRDefault="00FD305B" w:rsidP="00812B33">
        <w:pPr>
          <w:pStyle w:val="Footer"/>
          <w:rPr>
            <w:rFonts w:cstheme="minorHAnsi"/>
            <w:color w:val="262626" w:themeColor="text1" w:themeTint="D9"/>
            <w:sz w:val="17"/>
            <w:szCs w:val="17"/>
          </w:rPr>
        </w:pPr>
        <w:r>
          <w:rPr>
            <w:rFonts w:cstheme="minorHAnsi"/>
            <w:color w:val="262626" w:themeColor="text1" w:themeTint="D9"/>
            <w:sz w:val="17"/>
            <w:szCs w:val="17"/>
          </w:rPr>
          <w:t xml:space="preserve">3 </w:t>
        </w:r>
        <w:r>
          <w:rPr>
            <w:rFonts w:ascii="Helvetica" w:hAnsi="Helvetica" w:cs="Helvetica"/>
            <w:color w:val="262626" w:themeColor="text1" w:themeTint="D9"/>
            <w:sz w:val="17"/>
            <w:szCs w:val="17"/>
          </w:rPr>
          <w:t>Kavsadze str.</w:t>
        </w:r>
        <w:proofErr w:type="gramStart"/>
        <w:r w:rsidRPr="00D25F4C">
          <w:rPr>
            <w:rFonts w:cstheme="minorHAnsi"/>
            <w:color w:val="262626" w:themeColor="text1" w:themeTint="D9"/>
            <w:sz w:val="17"/>
            <w:szCs w:val="17"/>
          </w:rPr>
          <w:t>.,</w:t>
        </w:r>
        <w:r>
          <w:rPr>
            <w:rFonts w:cstheme="minorHAnsi"/>
            <w:color w:val="262626" w:themeColor="text1" w:themeTint="D9"/>
            <w:sz w:val="17"/>
            <w:szCs w:val="17"/>
          </w:rPr>
          <w:t xml:space="preserve">   </w:t>
        </w:r>
        <w:proofErr w:type="gramEnd"/>
        <w:r>
          <w:rPr>
            <w:rFonts w:cstheme="minorHAnsi"/>
            <w:color w:val="262626" w:themeColor="text1" w:themeTint="D9"/>
            <w:sz w:val="17"/>
            <w:szCs w:val="17"/>
          </w:rPr>
          <w:t xml:space="preserve">      </w:t>
        </w:r>
        <w:r w:rsidRPr="00D25F4C">
          <w:rPr>
            <w:rFonts w:cstheme="minorHAnsi"/>
            <w:color w:val="262626" w:themeColor="text1" w:themeTint="D9"/>
            <w:sz w:val="17"/>
            <w:szCs w:val="17"/>
          </w:rPr>
          <w:t xml:space="preserve"> Tbilisi 0162, Georgia              </w:t>
        </w:r>
        <w:hyperlink r:id="rId1" w:history="1">
          <w:r w:rsidRPr="00D25F4C">
            <w:rPr>
              <w:rStyle w:val="Hyperlink"/>
              <w:rFonts w:cstheme="minorHAnsi"/>
              <w:color w:val="262626" w:themeColor="text1" w:themeTint="D9"/>
              <w:sz w:val="17"/>
              <w:szCs w:val="17"/>
              <w:u w:val="none"/>
              <w:shd w:val="clear" w:color="auto" w:fill="FFFFFF"/>
            </w:rPr>
            <w:t>cif@curatio.com</w:t>
          </w:r>
        </w:hyperlink>
        <w:r w:rsidRPr="00D25F4C">
          <w:rPr>
            <w:rFonts w:cstheme="minorHAnsi"/>
            <w:color w:val="262626" w:themeColor="text1" w:themeTint="D9"/>
            <w:sz w:val="17"/>
            <w:szCs w:val="17"/>
            <w:lang w:val="ka-GE"/>
          </w:rPr>
          <w:t xml:space="preserve">  </w:t>
        </w:r>
        <w:r w:rsidRPr="00D25F4C">
          <w:rPr>
            <w:rFonts w:cstheme="minorHAnsi"/>
            <w:color w:val="262626" w:themeColor="text1" w:themeTint="D9"/>
            <w:sz w:val="17"/>
            <w:szCs w:val="17"/>
          </w:rPr>
          <w:t xml:space="preserve">          </w:t>
        </w:r>
        <w:r w:rsidRPr="00D25F4C">
          <w:rPr>
            <w:rFonts w:cstheme="minorHAnsi"/>
            <w:color w:val="262626" w:themeColor="text1" w:themeTint="D9"/>
            <w:sz w:val="17"/>
            <w:szCs w:val="17"/>
            <w:lang w:val="ka-GE"/>
          </w:rPr>
          <w:t xml:space="preserve">(+995 32) 2 25 31 04 </w:t>
        </w:r>
        <w:r w:rsidRPr="00D25F4C">
          <w:rPr>
            <w:rFonts w:cstheme="minorHAnsi"/>
            <w:color w:val="262626" w:themeColor="text1" w:themeTint="D9"/>
            <w:sz w:val="17"/>
            <w:szCs w:val="17"/>
          </w:rPr>
          <w:t xml:space="preserve">               www.curatiofoundation.org </w:t>
        </w:r>
      </w:p>
      <w:p w14:paraId="1F60B618" w14:textId="77777777" w:rsidR="00FD305B" w:rsidRPr="00E83FE5" w:rsidRDefault="00FD305B" w:rsidP="00E83FE5">
        <w:pPr>
          <w:pStyle w:val="Footer"/>
          <w:spacing w:before="0" w:beforeAutospacing="0"/>
          <w:jc w:val="right"/>
          <w:rPr>
            <w:sz w:val="8"/>
          </w:rPr>
        </w:pPr>
      </w:p>
      <w:p w14:paraId="5C367E93" w14:textId="77777777" w:rsidR="00FD305B" w:rsidRPr="00812B33" w:rsidRDefault="00FD305B" w:rsidP="00812B33">
        <w:pPr>
          <w:pStyle w:val="Footer"/>
          <w:jc w:val="center"/>
          <w:rPr>
            <w:sz w:val="18"/>
          </w:rPr>
        </w:pPr>
        <w:r w:rsidRPr="00E83FE5">
          <w:rPr>
            <w:sz w:val="18"/>
          </w:rPr>
          <w:fldChar w:fldCharType="begin"/>
        </w:r>
        <w:r w:rsidRPr="00E83FE5">
          <w:rPr>
            <w:sz w:val="18"/>
          </w:rPr>
          <w:instrText xml:space="preserve"> PAGE   \* MERGEFORMAT </w:instrText>
        </w:r>
        <w:r w:rsidRPr="00E83FE5">
          <w:rPr>
            <w:sz w:val="18"/>
          </w:rPr>
          <w:fldChar w:fldCharType="separate"/>
        </w:r>
        <w:r w:rsidR="002063A9">
          <w:rPr>
            <w:noProof/>
            <w:sz w:val="18"/>
          </w:rPr>
          <w:t>1</w:t>
        </w:r>
        <w:r w:rsidRPr="00E83FE5">
          <w:rPr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2754F" w14:textId="77777777" w:rsidR="00822DEA" w:rsidRDefault="00822DEA" w:rsidP="006C5916">
      <w:pPr>
        <w:spacing w:after="0"/>
      </w:pPr>
      <w:r>
        <w:separator/>
      </w:r>
    </w:p>
  </w:footnote>
  <w:footnote w:type="continuationSeparator" w:id="0">
    <w:p w14:paraId="4C7888DE" w14:textId="77777777" w:rsidR="00822DEA" w:rsidRDefault="00822DEA" w:rsidP="006C5916">
      <w:pPr>
        <w:spacing w:after="0"/>
      </w:pPr>
      <w:r>
        <w:continuationSeparator/>
      </w:r>
    </w:p>
  </w:footnote>
  <w:footnote w:id="1">
    <w:p w14:paraId="1270F7CA" w14:textId="77777777" w:rsidR="00147917" w:rsidRPr="00653D3E" w:rsidRDefault="00147917" w:rsidP="00147917">
      <w:pPr>
        <w:pStyle w:val="FootnoteText"/>
        <w:spacing w:beforeAutospacing="0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ტუბერკულოზის და პირველადი ჯანდაცვის სერვისი მიეწოდება ერთი ადმინისტრაციული ქუდის ქვეშ</w:t>
      </w:r>
    </w:p>
  </w:footnote>
  <w:footnote w:id="2">
    <w:p w14:paraId="7DD8FE70" w14:textId="77777777" w:rsidR="00147917" w:rsidRPr="00653D3E" w:rsidRDefault="00147917" w:rsidP="00147917">
      <w:pPr>
        <w:pStyle w:val="FootnoteText"/>
        <w:spacing w:beforeAutospacing="0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სპეციალიზებული დაწესებულება რომელსაც არა აქვს პირველადი ჯანდაცვის სერვისი</w:t>
      </w:r>
    </w:p>
  </w:footnote>
  <w:footnote w:id="3">
    <w:p w14:paraId="7F9D7E11" w14:textId="77777777" w:rsidR="00F44EF8" w:rsidRPr="00901AC2" w:rsidRDefault="00F44EF8" w:rsidP="00F44EF8">
      <w:pPr>
        <w:spacing w:before="0" w:beforeAutospacing="0" w:after="0" w:line="240" w:lineRule="auto"/>
        <w:rPr>
          <w:rFonts w:ascii="Times New Roman" w:eastAsia="Times New Roman" w:hAnsi="Times New Roman" w:cs="Times New Roman"/>
          <w:szCs w:val="24"/>
        </w:rPr>
      </w:pPr>
      <w:r w:rsidRPr="00901AC2">
        <w:rPr>
          <w:rStyle w:val="FootnoteReference"/>
          <w:sz w:val="21"/>
        </w:rPr>
        <w:footnoteRef/>
      </w:r>
      <w:r w:rsidRPr="00901AC2">
        <w:rPr>
          <w:sz w:val="21"/>
        </w:rPr>
        <w:t xml:space="preserve"> </w:t>
      </w:r>
      <w:r w:rsidRPr="00901AC2">
        <w:rPr>
          <w:rFonts w:ascii="Times New Roman" w:eastAsia="Times New Roman" w:hAnsi="Times New Roman" w:cs="Times New Roman"/>
          <w:color w:val="000000"/>
          <w:sz w:val="21"/>
          <w:szCs w:val="24"/>
          <w:shd w:val="clear" w:color="auto" w:fill="FFFFFF"/>
        </w:rPr>
        <w:t xml:space="preserve">Witter S, </w:t>
      </w:r>
      <w:proofErr w:type="spellStart"/>
      <w:r w:rsidRPr="00901AC2">
        <w:rPr>
          <w:rFonts w:ascii="Times New Roman" w:eastAsia="Times New Roman" w:hAnsi="Times New Roman" w:cs="Times New Roman"/>
          <w:color w:val="000000"/>
          <w:sz w:val="21"/>
          <w:szCs w:val="24"/>
          <w:shd w:val="clear" w:color="auto" w:fill="FFFFFF"/>
        </w:rPr>
        <w:t>Fretheim</w:t>
      </w:r>
      <w:proofErr w:type="spellEnd"/>
      <w:r w:rsidRPr="00901AC2">
        <w:rPr>
          <w:rFonts w:ascii="Times New Roman" w:eastAsia="Times New Roman" w:hAnsi="Times New Roman" w:cs="Times New Roman"/>
          <w:color w:val="000000"/>
          <w:sz w:val="21"/>
          <w:szCs w:val="24"/>
          <w:shd w:val="clear" w:color="auto" w:fill="FFFFFF"/>
        </w:rPr>
        <w:t xml:space="preserve"> A, </w:t>
      </w:r>
      <w:proofErr w:type="spellStart"/>
      <w:r w:rsidRPr="00901AC2">
        <w:rPr>
          <w:rFonts w:ascii="Times New Roman" w:eastAsia="Times New Roman" w:hAnsi="Times New Roman" w:cs="Times New Roman"/>
          <w:color w:val="000000"/>
          <w:sz w:val="21"/>
          <w:szCs w:val="24"/>
          <w:shd w:val="clear" w:color="auto" w:fill="FFFFFF"/>
        </w:rPr>
        <w:t>Kessy</w:t>
      </w:r>
      <w:proofErr w:type="spellEnd"/>
      <w:r w:rsidRPr="00901AC2">
        <w:rPr>
          <w:rFonts w:ascii="Times New Roman" w:eastAsia="Times New Roman" w:hAnsi="Times New Roman" w:cs="Times New Roman"/>
          <w:color w:val="000000"/>
          <w:sz w:val="21"/>
          <w:szCs w:val="24"/>
          <w:shd w:val="clear" w:color="auto" w:fill="FFFFFF"/>
        </w:rPr>
        <w:t xml:space="preserve"> FL, Lindahl AK. Paying for performance to improve the delivery of health interventions in low- and middle-income countries. </w:t>
      </w:r>
      <w:r w:rsidRPr="00901AC2">
        <w:rPr>
          <w:rFonts w:ascii="Times New Roman" w:eastAsia="Times New Roman" w:hAnsi="Times New Roman" w:cs="Times New Roman"/>
          <w:color w:val="000000"/>
          <w:sz w:val="21"/>
          <w:szCs w:val="24"/>
        </w:rPr>
        <w:t xml:space="preserve">Cochrane Database </w:t>
      </w:r>
      <w:proofErr w:type="spellStart"/>
      <w:r w:rsidRPr="00901AC2">
        <w:rPr>
          <w:rFonts w:ascii="Times New Roman" w:eastAsia="Times New Roman" w:hAnsi="Times New Roman" w:cs="Times New Roman"/>
          <w:color w:val="000000"/>
          <w:sz w:val="21"/>
          <w:szCs w:val="24"/>
        </w:rPr>
        <w:t>Syst</w:t>
      </w:r>
      <w:proofErr w:type="spellEnd"/>
      <w:r w:rsidRPr="00901AC2">
        <w:rPr>
          <w:rFonts w:ascii="Times New Roman" w:eastAsia="Times New Roman" w:hAnsi="Times New Roman" w:cs="Times New Roman"/>
          <w:color w:val="000000"/>
          <w:sz w:val="21"/>
          <w:szCs w:val="24"/>
        </w:rPr>
        <w:t xml:space="preserve"> Rev. 2012;15:CD007899</w:t>
      </w:r>
    </w:p>
  </w:footnote>
  <w:footnote w:id="4">
    <w:p w14:paraId="3B00307F" w14:textId="582C6266" w:rsidR="00F44EF8" w:rsidRPr="00901AC2" w:rsidRDefault="00F44EF8" w:rsidP="00901AC2">
      <w:pPr>
        <w:pStyle w:val="NormalWeb"/>
        <w:spacing w:before="0" w:beforeAutospacing="0" w:after="0" w:afterAutospacing="0" w:line="240" w:lineRule="auto"/>
        <w:rPr>
          <w:color w:val="000000"/>
          <w:sz w:val="21"/>
          <w:shd w:val="clear" w:color="auto" w:fill="FFFFFF"/>
        </w:rPr>
      </w:pPr>
      <w:r w:rsidRPr="00901AC2">
        <w:rPr>
          <w:rStyle w:val="FootnoteReference"/>
          <w:sz w:val="22"/>
        </w:rPr>
        <w:footnoteRef/>
      </w:r>
      <w:r w:rsidRPr="00901AC2">
        <w:rPr>
          <w:sz w:val="22"/>
        </w:rPr>
        <w:t xml:space="preserve"> </w:t>
      </w:r>
      <w:proofErr w:type="spellStart"/>
      <w:r w:rsidRPr="00901AC2">
        <w:rPr>
          <w:color w:val="000000"/>
          <w:sz w:val="21"/>
          <w:shd w:val="clear" w:color="auto" w:fill="FFFFFF"/>
        </w:rPr>
        <w:t>Fritsche</w:t>
      </w:r>
      <w:proofErr w:type="spellEnd"/>
      <w:r w:rsidRPr="00901AC2">
        <w:rPr>
          <w:color w:val="000000"/>
          <w:sz w:val="21"/>
          <w:shd w:val="clear" w:color="auto" w:fill="FFFFFF"/>
        </w:rPr>
        <w:t xml:space="preserve">, </w:t>
      </w:r>
      <w:proofErr w:type="spellStart"/>
      <w:r w:rsidRPr="00901AC2">
        <w:rPr>
          <w:color w:val="000000"/>
          <w:sz w:val="21"/>
          <w:shd w:val="clear" w:color="auto" w:fill="FFFFFF"/>
        </w:rPr>
        <w:t>György</w:t>
      </w:r>
      <w:proofErr w:type="spellEnd"/>
      <w:r w:rsidRPr="00901AC2">
        <w:rPr>
          <w:color w:val="000000"/>
          <w:sz w:val="21"/>
          <w:shd w:val="clear" w:color="auto" w:fill="FFFFFF"/>
        </w:rPr>
        <w:t xml:space="preserve"> </w:t>
      </w:r>
      <w:proofErr w:type="spellStart"/>
      <w:r w:rsidRPr="00901AC2">
        <w:rPr>
          <w:color w:val="000000"/>
          <w:sz w:val="21"/>
          <w:shd w:val="clear" w:color="auto" w:fill="FFFFFF"/>
        </w:rPr>
        <w:t>Bèla</w:t>
      </w:r>
      <w:proofErr w:type="spellEnd"/>
      <w:r w:rsidRPr="00901AC2">
        <w:rPr>
          <w:color w:val="000000"/>
          <w:sz w:val="21"/>
          <w:shd w:val="clear" w:color="auto" w:fill="FFFFFF"/>
        </w:rPr>
        <w:t xml:space="preserve">, Robert </w:t>
      </w:r>
      <w:proofErr w:type="spellStart"/>
      <w:r w:rsidRPr="00901AC2">
        <w:rPr>
          <w:color w:val="000000"/>
          <w:sz w:val="21"/>
          <w:shd w:val="clear" w:color="auto" w:fill="FFFFFF"/>
        </w:rPr>
        <w:t>Soeters</w:t>
      </w:r>
      <w:proofErr w:type="spellEnd"/>
      <w:r w:rsidRPr="00901AC2">
        <w:rPr>
          <w:color w:val="000000"/>
          <w:sz w:val="21"/>
          <w:shd w:val="clear" w:color="auto" w:fill="FFFFFF"/>
        </w:rPr>
        <w:t xml:space="preserve">, and Bruno </w:t>
      </w:r>
      <w:proofErr w:type="spellStart"/>
      <w:r w:rsidRPr="00901AC2">
        <w:rPr>
          <w:color w:val="000000"/>
          <w:sz w:val="21"/>
          <w:shd w:val="clear" w:color="auto" w:fill="FFFFFF"/>
        </w:rPr>
        <w:t>Meessen</w:t>
      </w:r>
      <w:proofErr w:type="spellEnd"/>
      <w:r w:rsidRPr="00901AC2">
        <w:rPr>
          <w:color w:val="000000"/>
          <w:sz w:val="21"/>
          <w:shd w:val="clear" w:color="auto" w:fill="FFFFFF"/>
        </w:rPr>
        <w:t xml:space="preserve">. 2014. Performance-Based Financing Toolkit. Washington, DC: World Bank. License: Creative Commons Attribution CC BY 3.0 </w:t>
      </w:r>
    </w:p>
  </w:footnote>
  <w:footnote w:id="5">
    <w:p w14:paraId="1E6EB445" w14:textId="77777777" w:rsidR="00901AC2" w:rsidRPr="00901AC2" w:rsidRDefault="00901AC2" w:rsidP="00901AC2">
      <w:pPr>
        <w:pStyle w:val="NormalWeb"/>
        <w:spacing w:before="0" w:beforeAutospacing="0" w:after="0" w:afterAutospacing="0" w:line="240" w:lineRule="auto"/>
        <w:rPr>
          <w:color w:val="000000"/>
          <w:sz w:val="21"/>
          <w:shd w:val="clear" w:color="auto" w:fill="FFFFFF"/>
        </w:rPr>
      </w:pPr>
      <w:r w:rsidRPr="00901AC2">
        <w:rPr>
          <w:color w:val="000000"/>
          <w:sz w:val="21"/>
          <w:shd w:val="clear" w:color="auto" w:fill="FFFFFF"/>
          <w:vertAlign w:val="superscript"/>
        </w:rPr>
        <w:footnoteRef/>
      </w:r>
      <w:r w:rsidRPr="00901AC2">
        <w:rPr>
          <w:color w:val="000000"/>
          <w:sz w:val="21"/>
          <w:shd w:val="clear" w:color="auto" w:fill="FFFFFF"/>
          <w:vertAlign w:val="superscript"/>
        </w:rPr>
        <w:t xml:space="preserve"> </w:t>
      </w:r>
      <w:r w:rsidRPr="00901AC2">
        <w:rPr>
          <w:color w:val="000000"/>
          <w:sz w:val="21"/>
          <w:shd w:val="clear" w:color="auto" w:fill="FFFFFF"/>
        </w:rPr>
        <w:t xml:space="preserve">Patel S. Structural, institutional and organizational factors associated with successful pay for performance programmes in improving quality of maternal and child health care in </w:t>
      </w:r>
      <w:proofErr w:type="gramStart"/>
      <w:r w:rsidRPr="00901AC2">
        <w:rPr>
          <w:color w:val="000000"/>
          <w:sz w:val="21"/>
          <w:shd w:val="clear" w:color="auto" w:fill="FFFFFF"/>
        </w:rPr>
        <w:t>low and middle income</w:t>
      </w:r>
      <w:proofErr w:type="gramEnd"/>
      <w:r w:rsidRPr="00901AC2">
        <w:rPr>
          <w:color w:val="000000"/>
          <w:sz w:val="21"/>
          <w:shd w:val="clear" w:color="auto" w:fill="FFFFFF"/>
        </w:rPr>
        <w:t xml:space="preserve"> countries: a systematic literature review. J Glob Health. 2018;8(2):021001.</w:t>
      </w:r>
    </w:p>
    <w:p w14:paraId="286FBD7E" w14:textId="1EC8F514" w:rsidR="00901AC2" w:rsidRPr="00901AC2" w:rsidRDefault="00901AC2" w:rsidP="00901AC2">
      <w:pPr>
        <w:pStyle w:val="NormalWeb"/>
        <w:spacing w:before="0" w:beforeAutospacing="0" w:after="0" w:afterAutospacing="0" w:line="240" w:lineRule="auto"/>
        <w:rPr>
          <w:color w:val="000000"/>
          <w:sz w:val="22"/>
          <w:shd w:val="clear" w:color="auto" w:fill="FFFFFF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C4602" w14:textId="77777777" w:rsidR="00FD305B" w:rsidRPr="006C5916" w:rsidRDefault="00FD305B" w:rsidP="006C5916">
    <w:pPr>
      <w:pStyle w:val="Header"/>
      <w:ind w:hanging="4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9E41D" w14:textId="77777777" w:rsidR="00FD305B" w:rsidRPr="001477C7" w:rsidRDefault="00FD305B" w:rsidP="001477C7">
    <w:pPr>
      <w:pStyle w:val="Header"/>
      <w:ind w:hanging="27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5CD391" wp14:editId="32CC73C8">
          <wp:simplePos x="0" y="0"/>
          <wp:positionH relativeFrom="margin">
            <wp:posOffset>8092</wp:posOffset>
          </wp:positionH>
          <wp:positionV relativeFrom="paragraph">
            <wp:posOffset>-106938</wp:posOffset>
          </wp:positionV>
          <wp:extent cx="4969232" cy="750627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(6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9232" cy="750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5A6E"/>
    <w:multiLevelType w:val="hybridMultilevel"/>
    <w:tmpl w:val="D506C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0CD2"/>
    <w:multiLevelType w:val="hybridMultilevel"/>
    <w:tmpl w:val="299E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2755"/>
    <w:multiLevelType w:val="hybridMultilevel"/>
    <w:tmpl w:val="55BA4022"/>
    <w:lvl w:ilvl="0" w:tplc="AA145D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878E4E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7EEFE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2AC9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CA9F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202D9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D5450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BCAC0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E525A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FCC0B8A"/>
    <w:multiLevelType w:val="hybridMultilevel"/>
    <w:tmpl w:val="AFE20938"/>
    <w:lvl w:ilvl="0" w:tplc="186E9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2E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2E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00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26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82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781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062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23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666AC6"/>
    <w:multiLevelType w:val="hybridMultilevel"/>
    <w:tmpl w:val="0E5A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04758"/>
    <w:multiLevelType w:val="hybridMultilevel"/>
    <w:tmpl w:val="D6FC3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51C40"/>
    <w:multiLevelType w:val="hybridMultilevel"/>
    <w:tmpl w:val="D44864DC"/>
    <w:lvl w:ilvl="0" w:tplc="53B4A17A">
      <w:numFmt w:val="bullet"/>
      <w:lvlText w:val="–"/>
      <w:lvlJc w:val="left"/>
      <w:pPr>
        <w:ind w:left="4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52506F4"/>
    <w:multiLevelType w:val="hybridMultilevel"/>
    <w:tmpl w:val="422A9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9F52F4"/>
    <w:multiLevelType w:val="hybridMultilevel"/>
    <w:tmpl w:val="3050D8C6"/>
    <w:lvl w:ilvl="0" w:tplc="DC74E5F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60CC16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46D6B2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7EA4CE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BE65B86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611E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64A940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EFADD5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922070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6FAD0EEF"/>
    <w:multiLevelType w:val="hybridMultilevel"/>
    <w:tmpl w:val="422A9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7D3F24"/>
    <w:multiLevelType w:val="hybridMultilevel"/>
    <w:tmpl w:val="FBCE900A"/>
    <w:lvl w:ilvl="0" w:tplc="4A483678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9E76004"/>
    <w:multiLevelType w:val="hybridMultilevel"/>
    <w:tmpl w:val="71F422FE"/>
    <w:lvl w:ilvl="0" w:tplc="CCE6229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E5"/>
    <w:rsid w:val="000025C4"/>
    <w:rsid w:val="00007667"/>
    <w:rsid w:val="00012979"/>
    <w:rsid w:val="000267C7"/>
    <w:rsid w:val="0005587D"/>
    <w:rsid w:val="000667D0"/>
    <w:rsid w:val="0007601D"/>
    <w:rsid w:val="00081010"/>
    <w:rsid w:val="000B1E3D"/>
    <w:rsid w:val="000B2063"/>
    <w:rsid w:val="000B2274"/>
    <w:rsid w:val="000B2EB8"/>
    <w:rsid w:val="000D7BFC"/>
    <w:rsid w:val="001067F3"/>
    <w:rsid w:val="00134FF9"/>
    <w:rsid w:val="001370EF"/>
    <w:rsid w:val="001477C7"/>
    <w:rsid w:val="00147917"/>
    <w:rsid w:val="00180844"/>
    <w:rsid w:val="00183760"/>
    <w:rsid w:val="001871C9"/>
    <w:rsid w:val="00190D53"/>
    <w:rsid w:val="0019239A"/>
    <w:rsid w:val="00195B4C"/>
    <w:rsid w:val="001B285D"/>
    <w:rsid w:val="001D6905"/>
    <w:rsid w:val="001E05E4"/>
    <w:rsid w:val="001F16D5"/>
    <w:rsid w:val="001F69A0"/>
    <w:rsid w:val="002014F4"/>
    <w:rsid w:val="002063A9"/>
    <w:rsid w:val="00220123"/>
    <w:rsid w:val="0022193B"/>
    <w:rsid w:val="00236E41"/>
    <w:rsid w:val="002450E1"/>
    <w:rsid w:val="002467F1"/>
    <w:rsid w:val="002578BF"/>
    <w:rsid w:val="002628CC"/>
    <w:rsid w:val="00262A54"/>
    <w:rsid w:val="002810A7"/>
    <w:rsid w:val="002914C3"/>
    <w:rsid w:val="0029312D"/>
    <w:rsid w:val="002A0D9D"/>
    <w:rsid w:val="002E522D"/>
    <w:rsid w:val="002F516B"/>
    <w:rsid w:val="002F5CBA"/>
    <w:rsid w:val="003141D4"/>
    <w:rsid w:val="00321457"/>
    <w:rsid w:val="00360D0A"/>
    <w:rsid w:val="00383027"/>
    <w:rsid w:val="00386A87"/>
    <w:rsid w:val="003D3D16"/>
    <w:rsid w:val="003E2D2E"/>
    <w:rsid w:val="003E3CE6"/>
    <w:rsid w:val="003F0E80"/>
    <w:rsid w:val="003F2092"/>
    <w:rsid w:val="0044212A"/>
    <w:rsid w:val="0049470C"/>
    <w:rsid w:val="00497B6B"/>
    <w:rsid w:val="004C2F65"/>
    <w:rsid w:val="004C317F"/>
    <w:rsid w:val="00512D36"/>
    <w:rsid w:val="00520679"/>
    <w:rsid w:val="00546CB0"/>
    <w:rsid w:val="005709AD"/>
    <w:rsid w:val="0057220A"/>
    <w:rsid w:val="00573528"/>
    <w:rsid w:val="005A4C34"/>
    <w:rsid w:val="005B627A"/>
    <w:rsid w:val="005B6D7C"/>
    <w:rsid w:val="005F6EA1"/>
    <w:rsid w:val="00602517"/>
    <w:rsid w:val="00610694"/>
    <w:rsid w:val="00615146"/>
    <w:rsid w:val="00615DD0"/>
    <w:rsid w:val="00617BD7"/>
    <w:rsid w:val="006252F9"/>
    <w:rsid w:val="006276E9"/>
    <w:rsid w:val="00653D3E"/>
    <w:rsid w:val="006544C4"/>
    <w:rsid w:val="00665B82"/>
    <w:rsid w:val="00676F74"/>
    <w:rsid w:val="006B2804"/>
    <w:rsid w:val="006C5916"/>
    <w:rsid w:val="00721D8B"/>
    <w:rsid w:val="00746D01"/>
    <w:rsid w:val="00761D9E"/>
    <w:rsid w:val="00771F33"/>
    <w:rsid w:val="00783A91"/>
    <w:rsid w:val="007878E6"/>
    <w:rsid w:val="007B5AF5"/>
    <w:rsid w:val="007F29E1"/>
    <w:rsid w:val="008060B8"/>
    <w:rsid w:val="00812B33"/>
    <w:rsid w:val="00822DEA"/>
    <w:rsid w:val="008467E2"/>
    <w:rsid w:val="008611E4"/>
    <w:rsid w:val="00871AC9"/>
    <w:rsid w:val="008848D8"/>
    <w:rsid w:val="008B2C85"/>
    <w:rsid w:val="008B5172"/>
    <w:rsid w:val="008B5490"/>
    <w:rsid w:val="008B7E5D"/>
    <w:rsid w:val="008D169B"/>
    <w:rsid w:val="008E054F"/>
    <w:rsid w:val="008F4972"/>
    <w:rsid w:val="00901AC2"/>
    <w:rsid w:val="00930B9A"/>
    <w:rsid w:val="00941DE0"/>
    <w:rsid w:val="00946752"/>
    <w:rsid w:val="009950B1"/>
    <w:rsid w:val="009A0BA0"/>
    <w:rsid w:val="009A2BED"/>
    <w:rsid w:val="009A7394"/>
    <w:rsid w:val="00A03FF0"/>
    <w:rsid w:val="00A16649"/>
    <w:rsid w:val="00A16D5E"/>
    <w:rsid w:val="00A422B7"/>
    <w:rsid w:val="00A439FE"/>
    <w:rsid w:val="00A52FE9"/>
    <w:rsid w:val="00A60A0D"/>
    <w:rsid w:val="00A62B55"/>
    <w:rsid w:val="00A82728"/>
    <w:rsid w:val="00A91D63"/>
    <w:rsid w:val="00AB26B8"/>
    <w:rsid w:val="00AD77C9"/>
    <w:rsid w:val="00AE1956"/>
    <w:rsid w:val="00AE2303"/>
    <w:rsid w:val="00B0630D"/>
    <w:rsid w:val="00B33790"/>
    <w:rsid w:val="00B353F1"/>
    <w:rsid w:val="00B474C5"/>
    <w:rsid w:val="00B51285"/>
    <w:rsid w:val="00B675C7"/>
    <w:rsid w:val="00B75DB8"/>
    <w:rsid w:val="00B864FA"/>
    <w:rsid w:val="00BA26B8"/>
    <w:rsid w:val="00BB56CB"/>
    <w:rsid w:val="00BD68A9"/>
    <w:rsid w:val="00BF09C9"/>
    <w:rsid w:val="00BF4DCF"/>
    <w:rsid w:val="00C052F2"/>
    <w:rsid w:val="00C11CB0"/>
    <w:rsid w:val="00C23B0C"/>
    <w:rsid w:val="00C56E24"/>
    <w:rsid w:val="00C82C00"/>
    <w:rsid w:val="00CA5246"/>
    <w:rsid w:val="00CB5D13"/>
    <w:rsid w:val="00CC2BF4"/>
    <w:rsid w:val="00CC676F"/>
    <w:rsid w:val="00CC6FDF"/>
    <w:rsid w:val="00CE28E4"/>
    <w:rsid w:val="00CF1793"/>
    <w:rsid w:val="00CF66A0"/>
    <w:rsid w:val="00CF7EA0"/>
    <w:rsid w:val="00D01AB5"/>
    <w:rsid w:val="00D05E32"/>
    <w:rsid w:val="00D25F4C"/>
    <w:rsid w:val="00D31357"/>
    <w:rsid w:val="00D42E1A"/>
    <w:rsid w:val="00D717CE"/>
    <w:rsid w:val="00D74A1B"/>
    <w:rsid w:val="00D751CD"/>
    <w:rsid w:val="00D82146"/>
    <w:rsid w:val="00D87D54"/>
    <w:rsid w:val="00DC11CD"/>
    <w:rsid w:val="00DD0152"/>
    <w:rsid w:val="00E30DE0"/>
    <w:rsid w:val="00E31AF2"/>
    <w:rsid w:val="00E33593"/>
    <w:rsid w:val="00E437FB"/>
    <w:rsid w:val="00E475CE"/>
    <w:rsid w:val="00E83FE5"/>
    <w:rsid w:val="00E868FC"/>
    <w:rsid w:val="00EA50C1"/>
    <w:rsid w:val="00EB52A5"/>
    <w:rsid w:val="00ED4038"/>
    <w:rsid w:val="00F062E8"/>
    <w:rsid w:val="00F162A4"/>
    <w:rsid w:val="00F44EF8"/>
    <w:rsid w:val="00F500FB"/>
    <w:rsid w:val="00F5381D"/>
    <w:rsid w:val="00F55EB6"/>
    <w:rsid w:val="00FB1636"/>
    <w:rsid w:val="00FD0ADD"/>
    <w:rsid w:val="00FD12A1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58CEC4"/>
  <w15:docId w15:val="{991C5484-6386-D543-9CB3-0317F5A0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IF_Body text"/>
    <w:qFormat/>
    <w:rsid w:val="00007667"/>
    <w:pPr>
      <w:spacing w:before="100" w:beforeAutospacing="1" w:line="360" w:lineRule="auto"/>
    </w:pPr>
  </w:style>
  <w:style w:type="paragraph" w:styleId="Heading1">
    <w:name w:val="heading 1"/>
    <w:aliases w:val="CIF_Heading 1"/>
    <w:basedOn w:val="Normal"/>
    <w:next w:val="Normal"/>
    <w:link w:val="Heading1Char"/>
    <w:uiPriority w:val="9"/>
    <w:qFormat/>
    <w:rsid w:val="00BF4DCF"/>
    <w:pPr>
      <w:keepNext/>
      <w:keepLines/>
      <w:spacing w:before="480"/>
      <w:outlineLvl w:val="0"/>
    </w:pPr>
    <w:rPr>
      <w:rFonts w:ascii="BPG Sans Caps" w:eastAsiaTheme="majorEastAsia" w:hAnsi="BPG Sans Caps" w:cstheme="majorBidi"/>
      <w:b/>
      <w:bCs/>
      <w:color w:val="025C6E"/>
      <w:sz w:val="28"/>
      <w:szCs w:val="28"/>
    </w:rPr>
  </w:style>
  <w:style w:type="paragraph" w:styleId="Heading2">
    <w:name w:val="heading 2"/>
    <w:aliases w:val="CIF_Heading 2"/>
    <w:basedOn w:val="Normal"/>
    <w:next w:val="Normal"/>
    <w:link w:val="Heading2Char"/>
    <w:uiPriority w:val="9"/>
    <w:unhideWhenUsed/>
    <w:qFormat/>
    <w:rsid w:val="00BF4DCF"/>
    <w:pPr>
      <w:keepNext/>
      <w:keepLines/>
      <w:outlineLvl w:val="1"/>
    </w:pPr>
    <w:rPr>
      <w:rFonts w:eastAsiaTheme="majorEastAsia" w:cstheme="majorBidi"/>
      <w:b/>
      <w:bCs/>
      <w:color w:val="2D7284"/>
      <w:szCs w:val="26"/>
    </w:rPr>
  </w:style>
  <w:style w:type="paragraph" w:styleId="Heading3">
    <w:name w:val="heading 3"/>
    <w:aliases w:val="CIF_Heading 3"/>
    <w:basedOn w:val="Normal"/>
    <w:next w:val="Normal"/>
    <w:link w:val="Heading3Char"/>
    <w:uiPriority w:val="9"/>
    <w:unhideWhenUsed/>
    <w:qFormat/>
    <w:rsid w:val="00BF4DCF"/>
    <w:pPr>
      <w:keepNext/>
      <w:keepLines/>
      <w:outlineLvl w:val="2"/>
    </w:pPr>
    <w:rPr>
      <w:rFonts w:ascii="BPG Nino Mtavruli" w:eastAsiaTheme="majorEastAsia" w:hAnsi="BPG Nino Mtavruli" w:cstheme="majorBidi"/>
      <w:b/>
      <w:bCs/>
      <w:color w:val="5F5F5F"/>
    </w:rPr>
  </w:style>
  <w:style w:type="paragraph" w:styleId="Heading4">
    <w:name w:val="heading 4"/>
    <w:aliases w:val="CIF_Heading 4"/>
    <w:basedOn w:val="Normal"/>
    <w:next w:val="Normal"/>
    <w:link w:val="Heading4Char"/>
    <w:uiPriority w:val="9"/>
    <w:unhideWhenUsed/>
    <w:qFormat/>
    <w:rsid w:val="00BF4DCF"/>
    <w:pPr>
      <w:keepNext/>
      <w:keepLines/>
      <w:outlineLvl w:val="3"/>
    </w:pPr>
    <w:rPr>
      <w:rFonts w:eastAsiaTheme="majorEastAsia" w:cstheme="majorBidi"/>
      <w:b/>
      <w:bCs/>
      <w:i/>
      <w:iCs/>
      <w:color w:val="669999"/>
    </w:rPr>
  </w:style>
  <w:style w:type="paragraph" w:styleId="Heading5">
    <w:name w:val="heading 5"/>
    <w:aliases w:val="CIF_Heading 5"/>
    <w:basedOn w:val="Normal"/>
    <w:next w:val="Normal"/>
    <w:link w:val="Heading5Char"/>
    <w:uiPriority w:val="9"/>
    <w:unhideWhenUsed/>
    <w:qFormat/>
    <w:rsid w:val="00BF4DCF"/>
    <w:pPr>
      <w:keepNext/>
      <w:keepLines/>
      <w:spacing w:before="120" w:beforeAutospacing="0" w:after="100" w:afterAutospacing="1"/>
      <w:outlineLvl w:val="4"/>
    </w:pPr>
    <w:rPr>
      <w:rFonts w:ascii="BPG Nino Mtavruli" w:eastAsiaTheme="majorEastAsia" w:hAnsi="BPG Nino Mtavruli" w:cstheme="majorBidi"/>
      <w:b/>
      <w:i/>
      <w:color w:val="D2D7B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DCF"/>
    <w:pPr>
      <w:keepNext/>
      <w:keepLines/>
      <w:outlineLvl w:val="5"/>
    </w:pPr>
    <w:rPr>
      <w:rFonts w:eastAsiaTheme="majorEastAsia" w:cstheme="majorBidi"/>
      <w:i/>
      <w:iCs/>
      <w:color w:val="29294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91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5916"/>
  </w:style>
  <w:style w:type="paragraph" w:styleId="Footer">
    <w:name w:val="footer"/>
    <w:basedOn w:val="Normal"/>
    <w:link w:val="FooterChar"/>
    <w:uiPriority w:val="99"/>
    <w:unhideWhenUsed/>
    <w:rsid w:val="006C591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5916"/>
  </w:style>
  <w:style w:type="paragraph" w:styleId="BalloonText">
    <w:name w:val="Balloon Text"/>
    <w:basedOn w:val="Normal"/>
    <w:link w:val="BalloonTextChar"/>
    <w:uiPriority w:val="99"/>
    <w:semiHidden/>
    <w:unhideWhenUsed/>
    <w:rsid w:val="006C59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C5916"/>
    <w:pPr>
      <w:spacing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C5916"/>
  </w:style>
  <w:style w:type="character" w:styleId="Strong">
    <w:name w:val="Strong"/>
    <w:basedOn w:val="DefaultParagraphFont"/>
    <w:uiPriority w:val="22"/>
    <w:qFormat/>
    <w:rsid w:val="006C5916"/>
    <w:rPr>
      <w:b/>
      <w:bCs/>
    </w:rPr>
  </w:style>
  <w:style w:type="character" w:styleId="Emphasis">
    <w:name w:val="Emphasis"/>
    <w:basedOn w:val="DefaultParagraphFont"/>
    <w:uiPriority w:val="20"/>
    <w:qFormat/>
    <w:rsid w:val="006C5916"/>
    <w:rPr>
      <w:i/>
      <w:iCs/>
    </w:rPr>
  </w:style>
  <w:style w:type="character" w:customStyle="1" w:styleId="Heading1Char">
    <w:name w:val="Heading 1 Char"/>
    <w:aliases w:val="CIF_Heading 1 Char"/>
    <w:basedOn w:val="DefaultParagraphFont"/>
    <w:link w:val="Heading1"/>
    <w:uiPriority w:val="9"/>
    <w:rsid w:val="00BF4DCF"/>
    <w:rPr>
      <w:rFonts w:ascii="BPG Sans Caps" w:eastAsiaTheme="majorEastAsia" w:hAnsi="BPG Sans Caps" w:cstheme="majorBidi"/>
      <w:b/>
      <w:bCs/>
      <w:color w:val="025C6E"/>
      <w:sz w:val="28"/>
      <w:szCs w:val="28"/>
    </w:rPr>
  </w:style>
  <w:style w:type="character" w:customStyle="1" w:styleId="Heading2Char">
    <w:name w:val="Heading 2 Char"/>
    <w:aliases w:val="CIF_Heading 2 Char"/>
    <w:basedOn w:val="DefaultParagraphFont"/>
    <w:link w:val="Heading2"/>
    <w:uiPriority w:val="9"/>
    <w:rsid w:val="00BF4DCF"/>
    <w:rPr>
      <w:rFonts w:ascii="BPG Arial" w:eastAsiaTheme="majorEastAsia" w:hAnsi="BPG Arial" w:cstheme="majorBidi"/>
      <w:b/>
      <w:bCs/>
      <w:color w:val="2D7284"/>
      <w:sz w:val="20"/>
      <w:szCs w:val="26"/>
    </w:rPr>
  </w:style>
  <w:style w:type="character" w:customStyle="1" w:styleId="Heading3Char">
    <w:name w:val="Heading 3 Char"/>
    <w:aliases w:val="CIF_Heading 3 Char"/>
    <w:basedOn w:val="DefaultParagraphFont"/>
    <w:link w:val="Heading3"/>
    <w:uiPriority w:val="9"/>
    <w:rsid w:val="00BF4DCF"/>
    <w:rPr>
      <w:rFonts w:ascii="BPG Nino Mtavruli" w:eastAsiaTheme="majorEastAsia" w:hAnsi="BPG Nino Mtavruli" w:cstheme="majorBidi"/>
      <w:b/>
      <w:bCs/>
      <w:color w:val="5F5F5F"/>
      <w:sz w:val="20"/>
    </w:rPr>
  </w:style>
  <w:style w:type="character" w:customStyle="1" w:styleId="Heading4Char">
    <w:name w:val="Heading 4 Char"/>
    <w:aliases w:val="CIF_Heading 4 Char"/>
    <w:basedOn w:val="DefaultParagraphFont"/>
    <w:link w:val="Heading4"/>
    <w:uiPriority w:val="9"/>
    <w:rsid w:val="00BF4DCF"/>
    <w:rPr>
      <w:rFonts w:ascii="BPG Arial" w:eastAsiaTheme="majorEastAsia" w:hAnsi="BPG Arial" w:cstheme="majorBidi"/>
      <w:b/>
      <w:bCs/>
      <w:i/>
      <w:iCs/>
      <w:color w:val="669999"/>
      <w:sz w:val="20"/>
    </w:rPr>
  </w:style>
  <w:style w:type="character" w:customStyle="1" w:styleId="Heading5Char">
    <w:name w:val="Heading 5 Char"/>
    <w:aliases w:val="CIF_Heading 5 Char"/>
    <w:basedOn w:val="DefaultParagraphFont"/>
    <w:link w:val="Heading5"/>
    <w:uiPriority w:val="9"/>
    <w:rsid w:val="00BF4DCF"/>
    <w:rPr>
      <w:rFonts w:ascii="BPG Nino Mtavruli" w:eastAsiaTheme="majorEastAsia" w:hAnsi="BPG Nino Mtavruli" w:cstheme="majorBidi"/>
      <w:b/>
      <w:i/>
      <w:color w:val="D2D7B7"/>
      <w:sz w:val="20"/>
    </w:rPr>
  </w:style>
  <w:style w:type="paragraph" w:styleId="Title">
    <w:name w:val="Title"/>
    <w:aliases w:val="CIF_Title"/>
    <w:basedOn w:val="Normal"/>
    <w:next w:val="Normal"/>
    <w:link w:val="TitleChar"/>
    <w:uiPriority w:val="10"/>
    <w:qFormat/>
    <w:rsid w:val="00BF4DCF"/>
    <w:pPr>
      <w:pBdr>
        <w:bottom w:val="single" w:sz="8" w:space="4" w:color="53548A" w:themeColor="accent1"/>
      </w:pBdr>
      <w:spacing w:after="300"/>
      <w:contextualSpacing/>
    </w:pPr>
    <w:rPr>
      <w:rFonts w:ascii="BPG Sans Caps" w:eastAsiaTheme="majorEastAsia" w:hAnsi="BPG Sans Caps" w:cstheme="majorBidi"/>
      <w:color w:val="025C6E"/>
      <w:spacing w:val="5"/>
      <w:kern w:val="28"/>
      <w:sz w:val="52"/>
      <w:szCs w:val="52"/>
    </w:rPr>
  </w:style>
  <w:style w:type="character" w:customStyle="1" w:styleId="TitleChar">
    <w:name w:val="Title Char"/>
    <w:aliases w:val="CIF_Title Char"/>
    <w:basedOn w:val="DefaultParagraphFont"/>
    <w:link w:val="Title"/>
    <w:uiPriority w:val="10"/>
    <w:rsid w:val="00BF4DCF"/>
    <w:rPr>
      <w:rFonts w:ascii="BPG Sans Caps" w:eastAsiaTheme="majorEastAsia" w:hAnsi="BPG Sans Caps" w:cstheme="majorBidi"/>
      <w:color w:val="025C6E"/>
      <w:spacing w:val="5"/>
      <w:kern w:val="28"/>
      <w:sz w:val="52"/>
      <w:szCs w:val="52"/>
    </w:rPr>
  </w:style>
  <w:style w:type="paragraph" w:styleId="Subtitle">
    <w:name w:val="Subtitle"/>
    <w:aliases w:val="CIF_Subtitle"/>
    <w:basedOn w:val="Normal"/>
    <w:next w:val="Normal"/>
    <w:link w:val="SubtitleChar"/>
    <w:uiPriority w:val="11"/>
    <w:qFormat/>
    <w:rsid w:val="00B75DB8"/>
    <w:pPr>
      <w:numPr>
        <w:ilvl w:val="1"/>
      </w:numPr>
    </w:pPr>
    <w:rPr>
      <w:rFonts w:asciiTheme="majorHAnsi" w:eastAsiaTheme="majorEastAsia" w:hAnsiTheme="majorHAnsi" w:cstheme="majorBidi"/>
      <w:i/>
      <w:iCs/>
      <w:color w:val="2D7284"/>
      <w:spacing w:val="15"/>
      <w:sz w:val="24"/>
      <w:szCs w:val="24"/>
    </w:rPr>
  </w:style>
  <w:style w:type="character" w:customStyle="1" w:styleId="SubtitleChar">
    <w:name w:val="Subtitle Char"/>
    <w:aliases w:val="CIF_Subtitle Char"/>
    <w:basedOn w:val="DefaultParagraphFont"/>
    <w:link w:val="Subtitle"/>
    <w:uiPriority w:val="11"/>
    <w:rsid w:val="00B75DB8"/>
    <w:rPr>
      <w:rFonts w:asciiTheme="majorHAnsi" w:eastAsiaTheme="majorEastAsia" w:hAnsiTheme="majorHAnsi" w:cstheme="majorBidi"/>
      <w:i/>
      <w:iCs/>
      <w:color w:val="2D7284"/>
      <w:spacing w:val="15"/>
      <w:sz w:val="24"/>
      <w:szCs w:val="24"/>
    </w:rPr>
  </w:style>
  <w:style w:type="character" w:styleId="SubtleEmphasis">
    <w:name w:val="Subtle Emphasis"/>
    <w:aliases w:val="CIF_Subtle Emphasis"/>
    <w:basedOn w:val="DefaultParagraphFont"/>
    <w:uiPriority w:val="19"/>
    <w:qFormat/>
    <w:rsid w:val="00B75DB8"/>
    <w:rPr>
      <w:i/>
      <w:iCs/>
      <w:color w:val="808080" w:themeColor="text1" w:themeTint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DCF"/>
    <w:rPr>
      <w:rFonts w:eastAsiaTheme="majorEastAsia" w:cstheme="majorBidi"/>
      <w:i/>
      <w:iCs/>
      <w:color w:val="292944" w:themeColor="accent1" w:themeShade="7F"/>
      <w:sz w:val="20"/>
    </w:rPr>
  </w:style>
  <w:style w:type="paragraph" w:styleId="ListParagraph">
    <w:name w:val="List Paragraph"/>
    <w:basedOn w:val="Normal"/>
    <w:uiPriority w:val="34"/>
    <w:qFormat/>
    <w:rsid w:val="000267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51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1C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1C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1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1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2B33"/>
    <w:rPr>
      <w:color w:val="0000FF"/>
      <w:u w:val="single"/>
    </w:rPr>
  </w:style>
  <w:style w:type="paragraph" w:customStyle="1" w:styleId="Default">
    <w:name w:val="Default"/>
    <w:rsid w:val="00220123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20123"/>
    <w:pPr>
      <w:spacing w:after="0"/>
    </w:pPr>
    <w:rPr>
      <w:rFonts w:eastAsiaTheme="minorEastAsia"/>
      <w:color w:val="3E3E67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53548A" w:themeColor="accent1"/>
        <w:bottom w:val="single" w:sz="8" w:space="0" w:color="53548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20123"/>
    <w:pPr>
      <w:spacing w:before="120" w:beforeAutospacing="0" w:line="240" w:lineRule="auto"/>
    </w:pPr>
    <w:rPr>
      <w:rFonts w:ascii="Sylfaen" w:eastAsiaTheme="minorEastAsia" w:hAnsi="Sylfaen"/>
      <w:b/>
      <w:bCs/>
      <w:color w:val="53548A" w:themeColor="accent1"/>
      <w:sz w:val="20"/>
      <w:szCs w:val="20"/>
      <w:lang w:val="ka-GE"/>
    </w:rPr>
  </w:style>
  <w:style w:type="table" w:customStyle="1" w:styleId="ListTable1Light-Accent11">
    <w:name w:val="List Table 1 Light - Accent 11"/>
    <w:basedOn w:val="TableNormal"/>
    <w:uiPriority w:val="46"/>
    <w:rsid w:val="00665B82"/>
    <w:pPr>
      <w:spacing w:after="0"/>
    </w:pPr>
    <w:rPr>
      <w:rFonts w:eastAsiaTheme="minorEastAsia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93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93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E9" w:themeFill="accent1" w:themeFillTint="33"/>
      </w:tcPr>
    </w:tblStylePr>
    <w:tblStylePr w:type="band1Horz">
      <w:tblPr/>
      <w:tcPr>
        <w:shd w:val="clear" w:color="auto" w:fill="DADAE9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012979"/>
    <w:pPr>
      <w:spacing w:after="0"/>
    </w:pPr>
    <w:rPr>
      <w:sz w:val="24"/>
      <w:szCs w:val="24"/>
    </w:rPr>
    <w:tblPr>
      <w:tblStyleRowBandSize w:val="1"/>
      <w:tblStyleColBandSize w:val="1"/>
      <w:tblBorders>
        <w:top w:val="single" w:sz="4" w:space="0" w:color="9293BD" w:themeColor="accent1" w:themeTint="99"/>
        <w:bottom w:val="single" w:sz="4" w:space="0" w:color="9293BD" w:themeColor="accent1" w:themeTint="99"/>
        <w:insideH w:val="single" w:sz="4" w:space="0" w:color="9293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E9" w:themeFill="accent1" w:themeFillTint="33"/>
      </w:tcPr>
    </w:tblStylePr>
    <w:tblStylePr w:type="band1Horz">
      <w:tblPr/>
      <w:tcPr>
        <w:shd w:val="clear" w:color="auto" w:fill="DADAE9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53D3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D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D3E"/>
    <w:rPr>
      <w:vertAlign w:val="superscript"/>
    </w:rPr>
  </w:style>
  <w:style w:type="character" w:customStyle="1" w:styleId="ref-journal">
    <w:name w:val="ref-journal"/>
    <w:basedOn w:val="DefaultParagraphFont"/>
    <w:rsid w:val="001D6905"/>
  </w:style>
  <w:style w:type="character" w:customStyle="1" w:styleId="ref-vol">
    <w:name w:val="ref-vol"/>
    <w:basedOn w:val="DefaultParagraphFont"/>
    <w:rsid w:val="001D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3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90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0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f@curati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ia%20Uchaneishvili\Dropbox\CIF%202015%20Templates%20and%20Brandbook\CIF%20Templates%20(new)\CIF%20Letterhead_GEO-ENG.dotx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AAB73-AD1D-774C-BAFB-3145DED1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C:\Users\Maia Uchaneishvili\Dropbox\CIF 2015 Templates and Brandbook\CIF Templates (new)\CIF Letterhead_GEO-ENG.dotx</Template>
  <TotalTime>10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Ivdity Chikovani</cp:lastModifiedBy>
  <cp:revision>3</cp:revision>
  <cp:lastPrinted>2017-01-18T09:54:00Z</cp:lastPrinted>
  <dcterms:created xsi:type="dcterms:W3CDTF">2019-03-07T08:33:00Z</dcterms:created>
  <dcterms:modified xsi:type="dcterms:W3CDTF">2019-03-07T08:42:00Z</dcterms:modified>
</cp:coreProperties>
</file>