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r w:rsidRPr="00AF06FF">
        <w:rPr>
          <w:rFonts w:ascii="Times New Roman" w:eastAsia="Times New Roman" w:hAnsi="Times New Roman" w:cs="Times New Roman"/>
          <w:b/>
          <w:bCs/>
          <w:caps/>
          <w:lang w:val="en-GB" w:eastAsia="fr-FR"/>
        </w:rPr>
        <w:t>SCHEDULE 3 - INDICATIVE POLICY MATRIX</w:t>
      </w:r>
      <w:bookmarkEnd w:id="0"/>
    </w:p>
    <w:p w:rsidR="00AF06FF" w:rsidRPr="00AF06FF" w:rsidRDefault="00AF06FF" w:rsidP="00AF06FF">
      <w:pPr>
        <w:jc w:val="center"/>
        <w:rPr>
          <w:rFonts w:ascii="Times New Roman" w:eastAsiaTheme="minorEastAsia" w:hAnsi="Times New Roman" w:cs="Times New Roman"/>
          <w:b/>
          <w:lang w:val="en-GB" w:eastAsia="ja-JP"/>
        </w:rPr>
      </w:pPr>
    </w:p>
    <w:p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rsidR="00AF06FF" w:rsidRPr="00AF06FF" w:rsidRDefault="00AF06FF" w:rsidP="00AF06FF">
      <w:pPr>
        <w:spacing w:before="60" w:after="120" w:line="288" w:lineRule="auto"/>
        <w:jc w:val="center"/>
        <w:rPr>
          <w:rFonts w:ascii="Times New Roman" w:eastAsia="Times New Roman" w:hAnsi="Times New Roman" w:cs="Times New Roman"/>
          <w:b/>
          <w:color w:val="000000"/>
          <w:lang w:val="en-GB" w:eastAsia="fr-FR"/>
        </w:rPr>
      </w:pPr>
      <w:bookmarkStart w:id="1" w:name="_GoBack"/>
      <w:bookmarkEnd w:id="1"/>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59264" behindDoc="1" locked="0" layoutInCell="0" allowOverlap="1" wp14:anchorId="4FAE61A8" wp14:editId="6FE543A5">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2" w:name="_Toc464654786"/>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60288" behindDoc="1" locked="0" layoutInCell="0" allowOverlap="1" wp14:anchorId="49610B13" wp14:editId="2AF2B497">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61312" behindDoc="1" locked="0" layoutInCell="0" allowOverlap="1" wp14:anchorId="3C06D2C8" wp14:editId="6CD118E5">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2"/>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rsidTr="00AF06FF">
        <w:trPr>
          <w:trHeight w:val="411"/>
        </w:trPr>
        <w:tc>
          <w:tcPr>
            <w:tcW w:w="15745" w:type="dxa"/>
            <w:gridSpan w:val="8"/>
            <w:shd w:val="clear" w:color="000000" w:fill="FFFFFF"/>
            <w:vAlign w:val="center"/>
            <w:hideMark/>
          </w:tcPr>
          <w:p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rsidTr="00AF06FF">
        <w:trPr>
          <w:trHeight w:val="645"/>
        </w:trPr>
        <w:tc>
          <w:tcPr>
            <w:tcW w:w="156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AF06FF" w:rsidTr="00AF06FF">
        <w:trPr>
          <w:trHeight w:val="315"/>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b/>
                <w:bCs/>
                <w:sz w:val="16"/>
                <w:szCs w:val="16"/>
                <w:lang w:val="en-GB" w:eastAsia="fr-FR"/>
              </w:rPr>
              <w:t>Pillar 1. To develop social support and solidarity system</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rsidTr="00AF06FF">
        <w:trPr>
          <w:trHeight w:val="252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support to persons with disabilities by developing functional/social model of assessing and granting disability status in line with the UN Convention on the Rights of Persons with disabilities</w:t>
            </w: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in collaboration with its partners adapted assessment methodologies for assessing and granting disability status</w:t>
            </w:r>
            <w:proofErr w:type="gramStart"/>
            <w:r w:rsidRPr="00AF06FF">
              <w:rPr>
                <w:rFonts w:ascii="Times New Roman" w:eastAsia="Times New Roman" w:hAnsi="Times New Roman" w:cstheme="minorHAnsi"/>
                <w:sz w:val="16"/>
                <w:szCs w:val="16"/>
                <w:lang w:val="en-GB" w:eastAsia="fr-FR"/>
              </w:rPr>
              <w:t>;</w:t>
            </w:r>
            <w:proofErr w:type="gramEnd"/>
            <w:r w:rsidRPr="00AF06FF">
              <w:rPr>
                <w:rFonts w:ascii="Times New Roman" w:eastAsia="Times New Roman" w:hAnsi="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AF06FF">
              <w:rPr>
                <w:rFonts w:ascii="Times New Roman" w:eastAsia="Times New Roman" w:hAnsi="Times New Roman" w:cstheme="minorHAnsi"/>
                <w:sz w:val="16"/>
                <w:szCs w:val="16"/>
                <w:lang w:val="en-GB" w:eastAsia="fr-FR"/>
              </w:rPr>
              <w:t>PwD</w:t>
            </w:r>
            <w:proofErr w:type="spellEnd"/>
            <w:r w:rsidRPr="00AF06FF">
              <w:rPr>
                <w:rFonts w:ascii="Times New Roman" w:eastAsia="Times New Roman" w:hAnsi="Times New Roman" w:cstheme="minorHAnsi"/>
                <w:sz w:val="16"/>
                <w:szCs w:val="16"/>
                <w:lang w:val="en-GB" w:eastAsia="fr-FR"/>
              </w:rPr>
              <w:t>) receive adequate assistance.</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 xml:space="preserve"> determined and trained professionals, who will be eligible to conduct the new assessment </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Second pilot project to test the new assessment methodology starts in </w:t>
            </w:r>
            <w:proofErr w:type="spellStart"/>
            <w:r w:rsidRPr="00AF06FF">
              <w:rPr>
                <w:rFonts w:ascii="Times New Roman" w:eastAsia="Times New Roman" w:hAnsi="Times New Roman" w:cstheme="minorHAnsi"/>
                <w:sz w:val="16"/>
                <w:szCs w:val="16"/>
                <w:lang w:val="en-GB" w:eastAsia="fr-FR"/>
              </w:rPr>
              <w:t>Samtskhe</w:t>
            </w:r>
            <w:proofErr w:type="spellEnd"/>
            <w:r w:rsidRPr="00AF06FF">
              <w:rPr>
                <w:rFonts w:ascii="Times New Roman" w:eastAsia="Times New Roman" w:hAnsi="Times New Roman" w:cstheme="minorHAnsi"/>
                <w:sz w:val="16"/>
                <w:szCs w:val="16"/>
                <w:lang w:val="en-GB" w:eastAsia="fr-FR"/>
              </w:rPr>
              <w:t xml:space="preserve"> </w:t>
            </w:r>
            <w:proofErr w:type="spellStart"/>
            <w:r w:rsidRPr="00AF06FF">
              <w:rPr>
                <w:rFonts w:ascii="Times New Roman" w:eastAsia="Times New Roman" w:hAnsi="Times New Roman" w:cstheme="minorHAnsi"/>
                <w:sz w:val="16"/>
                <w:szCs w:val="16"/>
                <w:lang w:val="en-GB" w:eastAsia="fr-FR"/>
              </w:rPr>
              <w:t>Javakheti</w:t>
            </w:r>
            <w:proofErr w:type="spellEnd"/>
            <w:r w:rsidRPr="00AF06FF">
              <w:rPr>
                <w:rFonts w:ascii="Times New Roman" w:eastAsia="Times New Roman" w:hAnsi="Times New Roman" w:cstheme="minorHAnsi"/>
                <w:sz w:val="16"/>
                <w:szCs w:val="16"/>
                <w:lang w:val="en-GB" w:eastAsia="fr-FR"/>
              </w:rPr>
              <w:t xml:space="preserve"> region.</w:t>
            </w:r>
          </w:p>
        </w:tc>
        <w:tc>
          <w:tcPr>
            <w:tcW w:w="2685"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Pilot project to test the new assessment methodology has been implemented in Adjara A.R </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legal framework is elaborated to run pilot project</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Changes in legal framework to roll out the methodology  are prepared and validated with MOLHSA for submission to government approval;</w:t>
            </w: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System is ready to be launched </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Baseline (2017):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methodology for assessment;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trained professionals who may conduct assessment;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No legal basis for new methodology</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New instrument created;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20 professionals trained;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Legal framework prepared; </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rsidTr="00AF06FF">
        <w:trPr>
          <w:trHeight w:val="6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Implement the second phase of deinstitutionalization </w:t>
            </w:r>
          </w:p>
        </w:tc>
        <w:tc>
          <w:tcPr>
            <w:tcW w:w="1293" w:type="dxa"/>
            <w:vMerge/>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experience gained from operating specialized home care services new relevant standards are approved by MOLHSA for children under state care with severe disabilities.     </w:t>
            </w:r>
          </w:p>
        </w:tc>
        <w:tc>
          <w:tcPr>
            <w:tcW w:w="2685"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with disabilities placed in alternative care (specialized care home service and foster care); Decreased number of children in big institutions (infant house): </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 xml:space="preserve">Baseline (2017):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7 children in special care small group home;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sz w:val="16"/>
                <w:szCs w:val="16"/>
                <w:lang w:val="en-GB" w:eastAsia="fr-FR"/>
              </w:rPr>
              <w:t>53 children in state institution (infants’ house</w:t>
            </w:r>
            <w:r w:rsidRPr="00AF06FF">
              <w:rPr>
                <w:rFonts w:ascii="Times New Roman" w:eastAsia="Times New Roman" w:hAnsi="Times New Roman" w:cs="Times New Roman"/>
                <w:color w:val="000000"/>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color w:val="000000"/>
                <w:sz w:val="16"/>
                <w:szCs w:val="16"/>
                <w:lang w:val="en-GB" w:eastAsia="fr-FR"/>
              </w:rPr>
              <w:t>No standards for specialized care home service;</w:t>
            </w:r>
            <w:r w:rsidRPr="00AF06FF">
              <w:rPr>
                <w:rFonts w:ascii="Times New Roman" w:eastAsia="Times New Roman" w:hAnsi="Times New Roman" w:cs="Times New Roman"/>
                <w:sz w:val="16"/>
                <w:szCs w:val="16"/>
                <w:lang w:val="en-GB" w:eastAsia="fr-FR"/>
              </w:rPr>
              <w:t xml:space="preserve"> </w:t>
            </w:r>
            <w:r w:rsidRPr="00AF06FF">
              <w:rPr>
                <w:rFonts w:ascii="Times New Roman" w:eastAsia="Times New Roman" w:hAnsi="Times New Roman" w:cs="Times New Roman"/>
                <w:sz w:val="16"/>
                <w:szCs w:val="16"/>
                <w:lang w:val="en-GB" w:eastAsia="fr-FR"/>
              </w:rPr>
              <w:br/>
            </w:r>
          </w:p>
          <w:p w:rsidR="00AF06FF" w:rsidRPr="00AF06FF" w:rsidRDefault="00AF06FF" w:rsidP="00AF06FF">
            <w:pPr>
              <w:ind w:left="62"/>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- 14 children in specialized care home service;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Children in state institution (infant </w:t>
            </w:r>
            <w:r w:rsidRPr="00AF06FF">
              <w:rPr>
                <w:rFonts w:ascii="Times New Roman" w:eastAsia="Times New Roman" w:hAnsi="Times New Roman" w:cs="Times New Roman"/>
                <w:sz w:val="16"/>
                <w:szCs w:val="16"/>
                <w:lang w:val="en-GB" w:eastAsia="fr-FR"/>
              </w:rPr>
              <w:lastRenderedPageBreak/>
              <w:t xml:space="preserve">house) - maximum 45;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Standards approved, monitoring conducted and </w:t>
            </w:r>
            <w:r w:rsidRPr="00AF06FF">
              <w:rPr>
                <w:rFonts w:ascii="Times New Roman" w:eastAsia="Times New Roman" w:hAnsi="Times New Roman" w:cs="Times New Roman"/>
                <w:color w:val="000000"/>
                <w:sz w:val="16"/>
                <w:szCs w:val="16"/>
                <w:lang w:val="en-GB" w:eastAsia="fr-FR"/>
              </w:rPr>
              <w:t>recommendations</w:t>
            </w:r>
            <w:r w:rsidRPr="00AF06FF">
              <w:rPr>
                <w:rFonts w:ascii="Times New Roman" w:eastAsia="Times New Roman" w:hAnsi="Times New Roman" w:cs="Times New Roman"/>
                <w:sz w:val="16"/>
                <w:szCs w:val="16"/>
                <w:lang w:val="en-GB" w:eastAsia="fr-FR"/>
              </w:rPr>
              <w:t xml:space="preserve"> sent; </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 </w:t>
            </w:r>
          </w:p>
        </w:tc>
      </w:tr>
      <w:tr w:rsidR="00AF06FF" w:rsidRPr="00AF06FF" w:rsidTr="00AF06FF">
        <w:trPr>
          <w:trHeight w:val="285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Establish new services for children in street situation to protect their rights and promote their integration.</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child protection and support mechanisms, a study is conducted (commissioned by UNICEF) to assess the scope, nature and root causes of children in street situation. </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Any gender dimension that would come out of the report will be analysed</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Based on the study, the government proposes new standards to improve quality of services provided to children in street situation.</w:t>
            </w:r>
          </w:p>
        </w:tc>
        <w:tc>
          <w:tcPr>
            <w:tcW w:w="2685"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Standards are approved by the Government and monitoring is performed by MOLHSA to ensure quality control.</w:t>
            </w: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Number of street-children registered</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332 identified street children</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600 new children are identified over the period 2018-2019-2020 </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and % of children that have used day care centres and 24 hours service shelters: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(2017):  270 children, 81%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(2020):At least 540 children have used day care </w:t>
            </w:r>
            <w:proofErr w:type="spellStart"/>
            <w:r w:rsidRPr="00AF06FF">
              <w:rPr>
                <w:rFonts w:ascii="Times New Roman" w:eastAsia="Times New Roman" w:hAnsi="Times New Roman" w:cs="Times New Roman"/>
                <w:sz w:val="16"/>
                <w:szCs w:val="16"/>
                <w:lang w:val="en-GB" w:eastAsia="fr-FR"/>
              </w:rPr>
              <w:t>centers</w:t>
            </w:r>
            <w:proofErr w:type="spellEnd"/>
            <w:r w:rsidRPr="00AF06FF">
              <w:rPr>
                <w:rFonts w:ascii="Times New Roman" w:eastAsia="Times New Roman" w:hAnsi="Times New Roman" w:cs="Times New Roman"/>
                <w:sz w:val="16"/>
                <w:szCs w:val="16"/>
                <w:lang w:val="en-GB" w:eastAsia="fr-FR"/>
              </w:rPr>
              <w:t xml:space="preserve"> and 24 hours service shelters in 2018-2019-2020 representing at least 90% of the total number of new children identified over the  period  </w:t>
            </w:r>
          </w:p>
          <w:p w:rsidR="00AF06FF" w:rsidRPr="00AF06FF" w:rsidRDefault="00AF06FF" w:rsidP="00AF06FF">
            <w:pPr>
              <w:jc w:val="both"/>
              <w:rPr>
                <w:rFonts w:ascii="Times New Roman" w:eastAsia="Times New Roman" w:hAnsi="Times New Roman" w:cs="Times New Roman"/>
                <w:sz w:val="16"/>
                <w:szCs w:val="16"/>
                <w:lang w:val="en-GB" w:eastAsia="fr-FR"/>
              </w:rPr>
            </w:pP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that are successfully removed from the streets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26</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At least 80 children are successfully removed from the streets over the period 2018-2019-2020 </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rsidTr="00AF06FF">
        <w:trPr>
          <w:trHeight w:val="252"/>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rsidTr="00AF06FF">
        <w:trPr>
          <w:trHeight w:val="2113"/>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OOP on drugs:</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p>
        </w:tc>
        <w:tc>
          <w:tcPr>
            <w:tcW w:w="1843" w:type="dxa"/>
            <w:shd w:val="clear" w:color="000000" w:fill="FFFFFF"/>
            <w:noWrap/>
            <w:hideMark/>
          </w:tcPr>
          <w:p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AF06FF">
              <w:rPr>
                <w:rFonts w:ascii="Calibri" w:eastAsia="Times New Roman" w:hAnsi="Calibri" w:cstheme="minorHAnsi"/>
                <w:sz w:val="16"/>
                <w:szCs w:val="16"/>
                <w:lang w:val="en-GB" w:eastAsia="fr-FR"/>
              </w:rPr>
              <w:t xml:space="preserve">effectiveness and efficiency of universal healthcare </w:t>
            </w:r>
          </w:p>
          <w:p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AF06FF">
              <w:rPr>
                <w:rFonts w:ascii="Calibri" w:eastAsia="Times New Roman" w:hAnsi="Calibri" w:cstheme="minorHAnsi"/>
                <w:sz w:val="16"/>
                <w:szCs w:val="16"/>
                <w:lang w:val="en-GB" w:eastAsia="fr-FR"/>
              </w:rPr>
              <w:t>quality of care</w:t>
            </w:r>
          </w:p>
          <w:p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AF06FF">
              <w:rPr>
                <w:rFonts w:ascii="Calibri" w:eastAsia="Times New Roman" w:hAnsi="Calibri" w:cstheme="minorHAnsi"/>
                <w:sz w:val="16"/>
                <w:szCs w:val="16"/>
                <w:lang w:val="en-GB" w:eastAsia="fr-FR"/>
              </w:rPr>
              <w:t>cost containment mechanisms</w:t>
            </w:r>
          </w:p>
        </w:tc>
      </w:tr>
      <w:tr w:rsidR="00AF06FF" w:rsidRPr="00AF06FF" w:rsidTr="00AF06FF">
        <w:trPr>
          <w:trHeight w:val="2415"/>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Strengthen the Mental Health Services</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has commissioned a study, technically supported by </w:t>
            </w:r>
            <w:proofErr w:type="gramStart"/>
            <w:r w:rsidRPr="00AF06FF">
              <w:rPr>
                <w:rFonts w:ascii="Times New Roman" w:eastAsia="Times New Roman" w:hAnsi="Times New Roman" w:cstheme="minorHAnsi"/>
                <w:sz w:val="16"/>
                <w:szCs w:val="16"/>
                <w:lang w:val="en-GB" w:eastAsia="fr-FR"/>
              </w:rPr>
              <w:t>WHO</w:t>
            </w:r>
            <w:proofErr w:type="gramEnd"/>
            <w:r w:rsidRPr="00AF06FF">
              <w:rPr>
                <w:rFonts w:ascii="Times New Roman" w:eastAsia="Times New Roman" w:hAnsi="Times New Roman" w:cstheme="minorHAnsi"/>
                <w:sz w:val="16"/>
                <w:szCs w:val="16"/>
                <w:lang w:val="en-GB" w:eastAsia="fr-FR"/>
              </w:rPr>
              <w:t>, to analyse current mental health services and patient rights protection mechanisms, with respect to international best practices and standards.</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of Georgia has prepared a mental health legislation according to EU legislation (the proposed legislation has been validated by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/Minister )</w:t>
            </w: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AF06FF">
              <w:rPr>
                <w:rFonts w:ascii="Calibri" w:eastAsia="Times New Roman" w:hAnsi="Calibri" w:cstheme="minorHAnsi"/>
                <w:sz w:val="16"/>
                <w:szCs w:val="16"/>
                <w:lang w:val="en-GB" w:eastAsia="fr-FR"/>
              </w:rPr>
              <w:t>EU mental health care and legislation</w:t>
            </w:r>
          </w:p>
        </w:tc>
      </w:tr>
      <w:tr w:rsidR="00AF06FF" w:rsidRPr="00AF06FF" w:rsidTr="00AF06FF">
        <w:trPr>
          <w:trHeight w:val="330"/>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bCs/>
                <w:color w:val="1F497D"/>
                <w:sz w:val="16"/>
                <w:szCs w:val="16"/>
                <w:lang w:val="en-GB" w:eastAsia="fr-FR"/>
              </w:rPr>
              <w:t>Pillar 3. To optimize resources allocated to IDP needs</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w:t>
            </w:r>
          </w:p>
        </w:tc>
      </w:tr>
      <w:tr w:rsidR="00AF06FF" w:rsidRPr="00AF06FF" w:rsidTr="00AF06FF">
        <w:trPr>
          <w:trHeight w:val="1812"/>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Accelerating the resettlement of IDPs living in Collapsing Collective </w:t>
            </w:r>
            <w:proofErr w:type="spellStart"/>
            <w:r w:rsidRPr="00AF06FF">
              <w:rPr>
                <w:rFonts w:ascii="Times New Roman" w:eastAsia="Times New Roman" w:hAnsi="Times New Roman" w:cstheme="minorHAnsi"/>
                <w:color w:val="000000"/>
                <w:sz w:val="16"/>
                <w:szCs w:val="16"/>
                <w:lang w:val="en-GB" w:eastAsia="fr-FR"/>
              </w:rPr>
              <w:t>Centers</w:t>
            </w:r>
            <w:proofErr w:type="spellEnd"/>
            <w:r w:rsidRPr="00AF06FF">
              <w:rPr>
                <w:rFonts w:ascii="Times New Roman" w:eastAsia="Times New Roman" w:hAnsi="Times New Roman" w:cstheme="minorHAnsi"/>
                <w:color w:val="000000"/>
                <w:sz w:val="16"/>
                <w:szCs w:val="16"/>
                <w:lang w:val="en-GB" w:eastAsia="fr-FR"/>
              </w:rPr>
              <w:t xml:space="preserve"> (the “CCCs”) and closing down of such </w:t>
            </w:r>
            <w:proofErr w:type="spellStart"/>
            <w:r w:rsidRPr="00AF06FF">
              <w:rPr>
                <w:rFonts w:ascii="Times New Roman" w:eastAsia="Times New Roman" w:hAnsi="Times New Roman" w:cstheme="minorHAnsi"/>
                <w:color w:val="000000"/>
                <w:sz w:val="16"/>
                <w:szCs w:val="16"/>
                <w:lang w:val="en-GB" w:eastAsia="fr-FR"/>
              </w:rPr>
              <w:t>centers</w:t>
            </w:r>
            <w:proofErr w:type="spellEnd"/>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At least 20 CCCs have been closed, and IDP families lawfully living there (about 350) have been sustainably resettled in adequate housing over the last 12 month at the time of assessment. </w:t>
            </w:r>
          </w:p>
        </w:tc>
        <w:tc>
          <w:tcPr>
            <w:tcW w:w="2770" w:type="dxa"/>
            <w:gridSpan w:val="2"/>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tc>
        <w:tc>
          <w:tcPr>
            <w:tcW w:w="2685" w:type="dxa"/>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tc>
        <w:tc>
          <w:tcPr>
            <w:tcW w:w="2944" w:type="dxa"/>
            <w:shd w:val="clear" w:color="000000" w:fill="FFFFFF"/>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Policy objective: all IDPs are living in housings, which are safe for their lives and health</w:t>
            </w:r>
          </w:p>
          <w:p w:rsidR="00AF06FF" w:rsidRPr="00AF06FF" w:rsidRDefault="00AF06FF" w:rsidP="00AF06FF">
            <w:pPr>
              <w:jc w:val="both"/>
              <w:rPr>
                <w:rFonts w:ascii="Times New Roman" w:eastAsia="Times New Roman" w:hAnsi="Times New Roman" w:cs="Times New Roman"/>
                <w:sz w:val="16"/>
                <w:szCs w:val="16"/>
                <w:lang w:val="en-GB" w:eastAsia="fr-FR"/>
              </w:rPr>
            </w:pP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about 2,500 IDP families are living in 110 CCCs (2018)</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By the end of 2020, at least 1,050 (42%) IDP families, who are lawfully living in CCCs in 2018, have been sustainably resettled in adequate housing.</w:t>
            </w: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rsidTr="00AF06FF">
        <w:trPr>
          <w:trHeight w:val="2928"/>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Raising awareness about the necessity to reform the IDP allowance system </w:t>
            </w:r>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An awareness raising campaign has been planned by MRA with technical support of UNHCR and at least 15 consultation and information meetings have been rolled out involving relevant stakeholders, especially IDPs and their representatives (CSOs).</w:t>
            </w:r>
          </w:p>
        </w:tc>
        <w:tc>
          <w:tcPr>
            <w:tcW w:w="2770" w:type="dxa"/>
            <w:gridSpan w:val="2"/>
            <w:shd w:val="clear" w:color="000000" w:fill="FFFFFF"/>
          </w:tcPr>
          <w:p w:rsidR="00AF06FF" w:rsidRPr="00AF06FF" w:rsidRDefault="00AF06FF" w:rsidP="00AF06FF">
            <w:pPr>
              <w:jc w:val="both"/>
              <w:rPr>
                <w:rFonts w:ascii="Times New Roman" w:eastAsia="Times New Roman" w:hAnsi="Times New Roman" w:cs="Times New Roman"/>
                <w:bCs/>
                <w:sz w:val="16"/>
                <w:szCs w:val="16"/>
                <w:lang w:val="en-US" w:eastAsia="fr-FR"/>
              </w:rPr>
            </w:pPr>
            <w:r w:rsidRPr="00AF06FF">
              <w:rPr>
                <w:rFonts w:ascii="Times New Roman" w:eastAsia="Times New Roman" w:hAnsi="Times New Roman" w:cs="Times New Roman"/>
                <w:bCs/>
                <w:sz w:val="16"/>
                <w:szCs w:val="16"/>
                <w:lang w:val="en-US" w:eastAsia="fr-FR"/>
              </w:rPr>
              <w:t xml:space="preserve">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w:t>
            </w:r>
            <w:proofErr w:type="spellStart"/>
            <w:r w:rsidRPr="00AF06FF">
              <w:rPr>
                <w:rFonts w:ascii="Times New Roman" w:eastAsia="Times New Roman" w:hAnsi="Times New Roman" w:cs="Times New Roman"/>
                <w:bCs/>
                <w:sz w:val="16"/>
                <w:szCs w:val="16"/>
                <w:lang w:val="en-US" w:eastAsia="fr-FR"/>
              </w:rPr>
              <w:t>GoG</w:t>
            </w:r>
            <w:proofErr w:type="spellEnd"/>
            <w:r w:rsidRPr="00AF06FF">
              <w:rPr>
                <w:rFonts w:ascii="Times New Roman" w:eastAsia="Times New Roman" w:hAnsi="Times New Roman" w:cs="Times New Roman"/>
                <w:bCs/>
                <w:sz w:val="16"/>
                <w:szCs w:val="16"/>
                <w:lang w:val="en-US" w:eastAsia="fr-FR"/>
              </w:rPr>
              <w:t>.</w:t>
            </w:r>
          </w:p>
          <w:p w:rsidR="00AF06FF" w:rsidRPr="00AF06FF" w:rsidRDefault="00AF06FF" w:rsidP="00AF06FF">
            <w:pPr>
              <w:jc w:val="both"/>
              <w:rPr>
                <w:rFonts w:ascii="Times New Roman" w:eastAsia="Times New Roman" w:hAnsi="Times New Roman" w:cstheme="minorHAnsi"/>
                <w:color w:val="000000"/>
                <w:sz w:val="16"/>
                <w:szCs w:val="16"/>
                <w:lang w:val="en-US"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At the end of the campaign, and based on collected feedbacks, a report is prepared by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to assist an international consultant and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in analysing the existing policy options for the IDP monthly allowance reform and elaborating new ones if necessary. </w:t>
            </w:r>
          </w:p>
        </w:tc>
        <w:tc>
          <w:tcPr>
            <w:tcW w:w="2685"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Based on the 2019 report, policy options have been further detailed and costed as part of a report that clearly identifies those whom disposable income will be diminished by the reform and delineates supporting measures for vulnerable groups  </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Communication Strategy to</w:t>
            </w:r>
            <w:r w:rsidRPr="00AF06FF">
              <w:rPr>
                <w:rFonts w:ascii="Sylfaen" w:eastAsia="Times New Roman" w:hAnsi="Sylfaen" w:cstheme="minorHAnsi"/>
                <w:color w:val="000000"/>
                <w:sz w:val="16"/>
                <w:szCs w:val="16"/>
                <w:lang w:val="ka-GE" w:eastAsia="fr-FR"/>
              </w:rPr>
              <w:t xml:space="preserve"> </w:t>
            </w:r>
            <w:r w:rsidRPr="00AF06FF">
              <w:rPr>
                <w:rFonts w:ascii="Sylfaen" w:eastAsia="Times New Roman" w:hAnsi="Sylfaen" w:cstheme="minorHAnsi"/>
                <w:color w:val="000000"/>
                <w:sz w:val="16"/>
                <w:szCs w:val="16"/>
                <w:lang w:val="en-US" w:eastAsia="fr-FR"/>
              </w:rPr>
              <w:t>support</w:t>
            </w:r>
            <w:r w:rsidRPr="00AF06FF">
              <w:rPr>
                <w:rFonts w:ascii="Times New Roman" w:eastAsia="Times New Roman" w:hAnsi="Times New Roman" w:cstheme="minorHAnsi"/>
                <w:color w:val="000000"/>
                <w:sz w:val="16"/>
                <w:szCs w:val="16"/>
                <w:lang w:val="en-GB" w:eastAsia="fr-FR"/>
              </w:rPr>
              <w:t xml:space="preserve"> implementation of the reform is developed, with focus on involving </w:t>
            </w:r>
            <w:r w:rsidRPr="00AF06FF">
              <w:rPr>
                <w:rFonts w:ascii="Sylfaen" w:eastAsia="Times New Roman" w:hAnsi="Sylfaen" w:cstheme="minorHAnsi"/>
                <w:color w:val="000000"/>
                <w:sz w:val="16"/>
                <w:szCs w:val="16"/>
                <w:lang w:val="en-US" w:eastAsia="fr-FR"/>
              </w:rPr>
              <w:t xml:space="preserve">in the information campaign </w:t>
            </w:r>
            <w:r w:rsidRPr="00AF06FF">
              <w:rPr>
                <w:rFonts w:ascii="Times New Roman" w:eastAsia="Times New Roman" w:hAnsi="Times New Roman" w:cstheme="minorHAnsi"/>
                <w:color w:val="000000"/>
                <w:sz w:val="16"/>
                <w:szCs w:val="16"/>
                <w:lang w:val="en-GB" w:eastAsia="fr-FR"/>
              </w:rPr>
              <w:t xml:space="preserve">relevant stakeholders, especially IDPs and their representatives (CSOs).   </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draft law is developed for the implementation of the selected policy option(s) and discussed with Cabinet</w:t>
            </w:r>
          </w:p>
        </w:tc>
        <w:tc>
          <w:tcPr>
            <w:tcW w:w="2944" w:type="dxa"/>
            <w:shd w:val="clear" w:color="000000" w:fill="FFFFFF"/>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Policy objective: Awareness of all relevant stakeholders is raised about the necessity to reform the IDP monthly allowance system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color w:val="000000"/>
                <w:sz w:val="16"/>
                <w:szCs w:val="16"/>
                <w:lang w:val="en-GB" w:eastAsia="fr-FR"/>
              </w:rPr>
              <w:t xml:space="preserve">Indicator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Estimated percentage of IDPs well informed on the proposed reform (phone interview of a representative sample defined by MRA with basic questions on the logic of the reform)</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Baseline: &lt;10 % (estimation to be confirmed)</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Target: at least 33 %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rsidTr="00AF06FF">
        <w:trPr>
          <w:trHeight w:val="983"/>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Identifying and assisting vulnerable IDPs</w:t>
            </w:r>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study has been carried out in order to identify vulnerabilities among IDPs, and particularly those who are not eligible to the TSA programme.</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770" w:type="dxa"/>
            <w:gridSpan w:val="2"/>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 xml:space="preserve">Based on the outcomes of the study and in parallel to elaborating an IDP monthly allowance policy option, an assistance program has been elaborated for such vulnerable IDPs, which might </w:t>
            </w:r>
            <w:r w:rsidRPr="00AF06FF">
              <w:rPr>
                <w:rFonts w:ascii="Times New Roman" w:eastAsia="Times New Roman" w:hAnsi="Times New Roman" w:cstheme="minorHAnsi"/>
                <w:color w:val="000000"/>
                <w:sz w:val="16"/>
                <w:szCs w:val="16"/>
                <w:lang w:val="en-GB" w:eastAsia="fr-FR"/>
              </w:rPr>
              <w:lastRenderedPageBreak/>
              <w:t>be affected by the reform and do not qualify for TSA, and presented to the Ministry. The target population has been identified and an estimative amount of beneficiaries is available.</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685"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The suggested assistance program is piloted with at least 200 vulnerable IDPs with a view to be up-scaled once the reform is adopted by the Parliament.</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944" w:type="dxa"/>
            <w:shd w:val="clear" w:color="000000" w:fill="FFFFFF"/>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lastRenderedPageBreak/>
              <w:t>Policy objective: Better support is provided to vulnerable IDPs who are not eligible for TSA assistance.</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Baseline: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 xml:space="preserve">of Internally Displaced </w:t>
            </w:r>
            <w:r w:rsidRPr="00AF06FF">
              <w:rPr>
                <w:rFonts w:ascii="Times New Roman" w:eastAsia="Times New Roman" w:hAnsi="Times New Roman" w:cs="Times New Roman"/>
                <w:color w:val="000000"/>
                <w:sz w:val="16"/>
                <w:szCs w:val="16"/>
                <w:lang w:val="en-GB" w:eastAsia="fr-FR"/>
              </w:rPr>
              <w:lastRenderedPageBreak/>
              <w:t>Persons from the Occupied Territories, Labour, Health and Social Affairs operates different programs, but none of it targets IDPs who are not eligible for TSA assistance.</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br/>
              <w:t xml:space="preserve">Target: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assists at least 200 vulnerable IDPs which might be terminated from receiving IDP monthly allowance, and which do not qualify for receiving the TSA</w:t>
            </w: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 xml:space="preserve">Assessment of existing livelihood state programs with the perspective of vulnerable IDP needs. </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Elaborating recommendations. Submitting of the recommendations to the Steering Committee and Inter-Ministerial Committee for consideration.</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International experiences on Active Labour Market Policies for vulnerable populations</w:t>
            </w:r>
          </w:p>
        </w:tc>
      </w:tr>
    </w:tbl>
    <w:p w:rsidR="008932AB" w:rsidRDefault="008932AB"/>
    <w:sectPr w:rsidR="008932AB" w:rsidSect="00AF06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1479DA"/>
    <w:rsid w:val="003072DE"/>
    <w:rsid w:val="008932AB"/>
    <w:rsid w:val="00A404AF"/>
    <w:rsid w:val="00AF06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1765</Words>
  <Characters>9708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ASSAYAG Gaelle</cp:lastModifiedBy>
  <cp:revision>2</cp:revision>
  <dcterms:created xsi:type="dcterms:W3CDTF">2019-10-22T09:18:00Z</dcterms:created>
  <dcterms:modified xsi:type="dcterms:W3CDTF">2019-10-22T09:18:00Z</dcterms:modified>
</cp:coreProperties>
</file>