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 xml:space="preserve">საქართველოს შრომის, ჯანმრთელობისა და </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სოციალური დაცვის მინისტრის</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ბრძანება №01-25/ნ</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2013 წლის 19 ივნისი  ქ. თბილისი</w:t>
      </w:r>
    </w:p>
    <w:p w:rsidR="00483AEF" w:rsidRDefault="00483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Sylfaen" w:eastAsia="Times New Roman" w:hAnsi="Sylfaen" w:cs="Sylfaen"/>
          <w:b/>
          <w:bCs/>
          <w:noProof/>
          <w:sz w:val="32"/>
          <w:szCs w:val="32"/>
          <w:lang w:eastAsia="x-none"/>
        </w:rPr>
        <w:t>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w:t>
      </w:r>
      <w:r>
        <w:rPr>
          <w:rFonts w:ascii="Sylfaen" w:hAnsi="Sylfaen" w:cs="Sylfaen"/>
          <w:noProof/>
          <w:sz w:val="24"/>
          <w:szCs w:val="24"/>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21.10.2014 N01-76/ნ)</w:t>
      </w:r>
    </w:p>
    <w:p w:rsidR="00483AEF" w:rsidRDefault="00483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„ჯანმრთელობის დაცვის შესახებ“ საქართველოს კანონის მე-15 მუხლის, 53-ე მუხლის მე-3 პუნქტის, 89</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მუხლის,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დადგენილებით დამტკიცებული პროგრამის მე-4 მუხლის პირველი პუნქტისა და „საქართველოს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 წლის 31 დეკემბრის N249 დადგენილების მე-5 მუხლის მე-2 პუნქტის „ნ“ ქვეპუნქტის საფუძველზე,</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ვბრძანებ:</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1. </w:t>
      </w:r>
      <w:r>
        <w:rPr>
          <w:rFonts w:ascii="Sylfaen" w:eastAsia="Times New Roman" w:hAnsi="Sylfaen" w:cs="Sylfaen"/>
          <w:noProof/>
          <w:sz w:val="24"/>
          <w:szCs w:val="24"/>
          <w:lang w:eastAsia="x-none"/>
        </w:rPr>
        <w:t>დამტკიცდეს:</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ა) ამბულატორიული სერვისის მიმწოდებლების მინიმალური მოთხოვნები (დანართი 1);  </w:t>
      </w:r>
      <w:r>
        <w:rPr>
          <w:rFonts w:ascii="Sylfaen" w:hAnsi="Sylfaen" w:cs="Sylfaen"/>
          <w:i/>
          <w:iCs/>
          <w:noProof/>
          <w:sz w:val="20"/>
          <w:szCs w:val="20"/>
          <w:lang w:eastAsia="x-none"/>
        </w:rPr>
        <w:t>(21.10.2014 N01-76/</w:t>
      </w:r>
      <w:r>
        <w:rPr>
          <w:rFonts w:ascii="Sylfaen" w:eastAsia="Times New Roman" w:hAnsi="Sylfaen" w:cs="Sylfaen"/>
          <w:i/>
          <w:iCs/>
          <w:noProof/>
          <w:sz w:val="20"/>
          <w:szCs w:val="20"/>
          <w:lang w:eastAsia="x-none"/>
        </w:rPr>
        <w:t>ნ)</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სამედიცინო  ინტერვენციების კლასიფიკაცია (დანართი 2).</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2. აღნიშნული ბრძანების პირველი პუნქტის „ბ“ ქვეპუნქტის მოქმედება ვრცელდება მხოლოდ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ფარგლებში დარეგისტრირებულ შესაბამისი მომსახურების მიმწოდებელ დაწესებულებებზე. </w:t>
      </w:r>
      <w:r>
        <w:rPr>
          <w:rFonts w:ascii="Sylfaen" w:hAnsi="Sylfaen" w:cs="Sylfaen"/>
          <w:i/>
          <w:iCs/>
          <w:noProof/>
          <w:sz w:val="20"/>
          <w:szCs w:val="20"/>
          <w:lang w:eastAsia="x-none"/>
        </w:rPr>
        <w:t>(21.10.2014 N01-76/</w:t>
      </w:r>
      <w:r>
        <w:rPr>
          <w:rFonts w:ascii="Sylfaen" w:eastAsia="Times New Roman" w:hAnsi="Sylfaen" w:cs="Sylfaen"/>
          <w:i/>
          <w:iCs/>
          <w:noProof/>
          <w:sz w:val="20"/>
          <w:szCs w:val="20"/>
          <w:lang w:eastAsia="x-none"/>
        </w:rPr>
        <w:t>ნ)</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 xml:space="preserve">ბრძანება ამოქმედდეს 2013 წლის 1 ივლისიდან. </w:t>
      </w:r>
    </w:p>
    <w:p w:rsidR="00483AEF" w:rsidRDefault="00483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შრომის, ჯანმრთელობისა და </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სოციალური დაცვის მინისტრი                                                    </w:t>
      </w:r>
      <w:r>
        <w:rPr>
          <w:rFonts w:ascii="Sylfaen" w:eastAsia="Times New Roman" w:hAnsi="Sylfaen" w:cs="Sylfaen"/>
          <w:b/>
          <w:bCs/>
          <w:i/>
          <w:iCs/>
          <w:noProof/>
          <w:sz w:val="24"/>
          <w:szCs w:val="24"/>
          <w:lang w:eastAsia="x-none"/>
        </w:rPr>
        <w:t>დავით სერგეენკო</w:t>
      </w:r>
      <w:r>
        <w:rPr>
          <w:rFonts w:ascii="Sylfaen" w:hAnsi="Sylfaen" w:cs="Sylfaen"/>
          <w:noProof/>
          <w:sz w:val="24"/>
          <w:szCs w:val="24"/>
          <w:lang w:eastAsia="x-none"/>
        </w:rPr>
        <w:t xml:space="preserve"> </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დანართი 1</w:t>
      </w:r>
      <w:r>
        <w:rPr>
          <w:rFonts w:ascii="Sylfaen" w:hAnsi="Sylfaen" w:cs="Sylfaen"/>
          <w:i/>
          <w:iCs/>
          <w:noProof/>
          <w:sz w:val="20"/>
          <w:szCs w:val="20"/>
          <w:lang w:eastAsia="x-none"/>
        </w:rPr>
        <w:t>(21.10.2014 N01-76/</w:t>
      </w:r>
      <w:r>
        <w:rPr>
          <w:rFonts w:ascii="Sylfaen" w:eastAsia="Times New Roman" w:hAnsi="Sylfaen" w:cs="Sylfaen"/>
          <w:i/>
          <w:iCs/>
          <w:noProof/>
          <w:sz w:val="20"/>
          <w:szCs w:val="20"/>
          <w:lang w:eastAsia="x-none"/>
        </w:rPr>
        <w:t>ნ)</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ამბულატორიული სერვისის მიმწოდებლების მინიმალური მოთხოვნები</w:t>
      </w:r>
    </w:p>
    <w:p w:rsidR="00483AEF" w:rsidRDefault="00483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lastRenderedPageBreak/>
        <w:t>მუხლი 1.  ზოგადი დებულებები</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აღნიშნული მოთხოვნები ვრცელდება ამბულატორიული სერვისის მიმწოდებლებზე  (გარდა სოფლის ექიმის სახელმწიფო პროგრამით განსაზღვრული მომსახურების მიმწოდებლებისა) და ამბულატორიულად/დღის სტაციონარის პირობებში მაღალი რისკის შემცველი სამედიცინო საქმიანობების განმახორციელებელი სუბიექტებისა.</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ფარგლებში პირველადი ჯანმრთელობის დაცვის მომსახურების მიწოდებას აწარმოებს გუნდ(ებ)ი, რომელიც  შედგება ექიმი სპეციალისტისგან და ექთნისგან. ამასთან, ექიმი სპეციალისტი უნდა ფლობდეს სახელმწიფო სერტიფიკატს სპეციალობაში - „საოჯახო მედიცინა“/„შინაგანი მედიცინა“/„პედიატრია“ („შინაგანი მედიცინისა“ და „პედიატრიის“ სპეციალისტები აწარმოებენ მომსახურებას სახელმწიფო სერტიფიკატით განსაზღვრული კომპეტენციის ფარგლებში).</w:t>
      </w:r>
    </w:p>
    <w:p w:rsidR="00483AEF" w:rsidRDefault="00483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 მოთხოვნები ამბულატორიული სერვისის მიმწოდებლების ინფრასტრუქტურისადმი</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ამბულატორიული სერვისის მიმწოდებელს უნდა გააჩნდეს:</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მოსაცდელი;  </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ბ) ექიმის საკონსულტაციო ოთახი  - არანაკლებ 12 მ</w:t>
      </w:r>
      <w:r>
        <w:rPr>
          <w:rFonts w:ascii="Sylfaen" w:hAnsi="Sylfaen" w:cs="Sylfaen"/>
          <w:noProof/>
          <w:position w:val="6"/>
          <w:sz w:val="24"/>
          <w:szCs w:val="24"/>
          <w:lang w:eastAsia="x-none"/>
        </w:rPr>
        <w:t>2</w:t>
      </w:r>
      <w:r>
        <w:rPr>
          <w:rFonts w:ascii="Sylfaen" w:hAnsi="Sylfaen" w:cs="Sylfaen"/>
          <w:noProof/>
          <w:sz w:val="24"/>
          <w:szCs w:val="24"/>
          <w:lang w:eastAsia="x-none"/>
        </w:rPr>
        <w:t>.</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ექიმის საკონსულტაციო ოთახ(ებ)ი უნდა აღჭურვილ იქნეს საოფისე ავეჯით (საოფისე მაგიდა, სკამი), პაციენტის გასასინჯი ტახტითა და სამედიცინო (მედიკამენტების/ინსტრუმენტების) კარადით.</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ამბულატორიული სერვისის მიმწოდებელს უნდა გააჩნდეს 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სანიტარული კვანძი,  ჰიგიენისა და სადეზინფექციო საშუალებები).   </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ექიმის საკონსულტაციო ოთახ(ებ)ში უნდა იყოს ბუნებრივი განათება, გათბობა, ბუნებრივი ვენტილაცია.</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ამბულატრიული სერვისის მიწოდებისას გათვალისწინებული უნდა იყოს პირობები შეზღუდული შესაძლებლობის მქონე პირთა უსაფრთხო გადაადგილებისათვის (მ.შ. პანდუსი).</w:t>
      </w:r>
    </w:p>
    <w:p w:rsidR="00483AEF" w:rsidRDefault="00483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 მოთხოვნები ამბულატორიული სერვისის მიმწოდებლების მიერ შესაბამისი მომსახურების მიწოდების უზრუნველსაყოფად</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ამბულატორიული სერვისის მიმწოდებელს უნდა გააჩნდეს გადაუდებელი სამედიცინო დახმარებისა და ანტიშოკური თერაპიის უზრუნველყოფის შესაძლებლობა.</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ამბულატორიული სერვისის მიმწოდებელი, კანონმდებლობით დადგენილი წესით, უნდა აწარმოებდეს სამედიცინო და სტატისტიკურ დოკუმენტაციას.</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3. ამბულატრიული სერვისის მიმწოდებელმა უნდა უზრუნველყოს ხანძარსაწინააღმდეგო მოწყობილობის თვალსაჩინო/ხელმისაწვდომ ადგილას განთავსება.</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4. ამბულატორიული სერვისის მიმწოდებელს უნდა გააჩნდეს პოლიფარმაციის  შემთხვევებზე რეაგირების შიდა სისტემა, რომელიც მოიცავს პაციენტის დანიშნულებების მონიტორინგს, პოლიფარმაციის შემთხვევების იდენტიფიცირებას, შესწავლას, აღრიცხვას და მართვას (მ.შ. რეაგირებას). </w:t>
      </w:r>
      <w:r>
        <w:rPr>
          <w:rFonts w:ascii="Sylfaen" w:hAnsi="Sylfaen" w:cs="Sylfaen"/>
          <w:i/>
          <w:iCs/>
          <w:noProof/>
          <w:sz w:val="20"/>
          <w:szCs w:val="20"/>
          <w:lang w:eastAsia="x-none"/>
        </w:rPr>
        <w:t>(06.07.2018 N01-28/</w:t>
      </w:r>
      <w:r>
        <w:rPr>
          <w:rFonts w:ascii="Sylfaen" w:eastAsia="Times New Roman" w:hAnsi="Sylfaen" w:cs="Sylfaen"/>
          <w:i/>
          <w:iCs/>
          <w:noProof/>
          <w:sz w:val="20"/>
          <w:szCs w:val="20"/>
          <w:lang w:eastAsia="x-none"/>
        </w:rPr>
        <w:t>ნ ამოქმედდეს 2018 წლის 16 ივლისიდან)</w:t>
      </w:r>
    </w:p>
    <w:p w:rsidR="00483AEF" w:rsidRDefault="00483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4. დამატებითი მოთხოვნები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ფარგლებში პირველადი ჯანმრთელობის დაცვის მომსახურების მიმწოდებლებისადმი</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მომსახურების მიმწოდებელს უნდა გააჩნდეს:</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ა) მოსაცდელი - ფართით არანაკლებ 12 მ</w:t>
      </w:r>
      <w:r>
        <w:rPr>
          <w:rFonts w:ascii="Sylfaen" w:hAnsi="Sylfaen" w:cs="Sylfaen"/>
          <w:noProof/>
          <w:position w:val="6"/>
          <w:sz w:val="24"/>
          <w:szCs w:val="24"/>
          <w:lang w:eastAsia="x-none"/>
        </w:rPr>
        <w:t>2</w:t>
      </w:r>
      <w:r>
        <w:rPr>
          <w:rFonts w:ascii="Sylfaen" w:hAnsi="Sylfaen" w:cs="Sylfaen"/>
          <w:noProof/>
          <w:sz w:val="24"/>
          <w:szCs w:val="24"/>
          <w:lang w:eastAsia="x-none"/>
        </w:rPr>
        <w:t>;</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ბ) სერვისის ფარგლებში ადგილზე (ოფისში) იმუნიზაციის განხორციელებისას - სამანიპულაციო/საპროცედურო ფართით არანაკლებ 12 მ</w:t>
      </w:r>
      <w:r>
        <w:rPr>
          <w:rFonts w:ascii="Sylfaen" w:hAnsi="Sylfaen" w:cs="Sylfaen"/>
          <w:noProof/>
          <w:position w:val="6"/>
          <w:sz w:val="24"/>
          <w:szCs w:val="24"/>
          <w:lang w:eastAsia="x-none"/>
        </w:rPr>
        <w:t>2</w:t>
      </w:r>
      <w:r>
        <w:rPr>
          <w:rFonts w:ascii="Sylfaen" w:hAnsi="Sylfaen" w:cs="Sylfaen"/>
          <w:noProof/>
          <w:sz w:val="24"/>
          <w:szCs w:val="24"/>
          <w:lang w:eastAsia="x-none"/>
        </w:rPr>
        <w:t>;</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სამედიცინო მოწყობილობა: სფიგმომანომეტრის, სტეტოსკოპი და თერმომეტრი, წონისა და სიმაღლის  საზომი ხელსაწყოები;</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აღჭურვილობა ცივი ჯაჭვის უზრუნველსაყოფად (იმუნიზაციის განხორციელების შემთხვევაში), კანონმდებლობის თანახმად.</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სამანიპულაციო/საპროცედურო ოთახ(ებ)ში უნდა იყოს ბუნებრივი განათება, გათბობა, ბუნებრივი ვენტილაცია.</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მიმწოდებელი, სამედიცინო მომსახურების გაწევისას, ასევე, უნდა უზრუნველყოფდეს:</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ბასრი საგნებისა და გამოყენებული შპრიცების მოსაგროვებლად უსაფრთხო ყუთებისა და სათანადო კონტეინერების გამოყენებას;</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 გამოყენებას და აღრიცხვას დადგენილი წესის შესაბამისად. </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დანართი 2</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სამედიცინო  ინტერვენციების კლასიფიკაცია</w:t>
      </w:r>
    </w:p>
    <w:p w:rsidR="00483AEF" w:rsidRDefault="00483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1. </w:t>
      </w:r>
      <w:r>
        <w:rPr>
          <w:rFonts w:ascii="Sylfaen" w:eastAsia="Times New Roman" w:hAnsi="Sylfaen" w:cs="Sylfaen"/>
          <w:noProof/>
          <w:sz w:val="24"/>
          <w:szCs w:val="24"/>
          <w:lang w:eastAsia="x-none"/>
        </w:rPr>
        <w:t>გადაუდებელი (კრიტიკული) ინტერვენცია - სიცოცხლის, ორგანოს ან  კიდურის გადასარჩენად მიმართული ინტერვენცია ერთდროული რეანიმაციით. ჩვეულებრივ, ჩარევა  იწყება გადაწყვეტილების  მიღებიდან რამდენიმე წუთში.  აღნიშნული ინტერვენცია იყოფა 2 ჯგუფად:</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სიცოცხლის შემანარჩუნებელი;</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ბ) ორგანოს ან კიდურის შემანარჩუნებელი.</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სასწრაფო-დაუყოვნებელი ინტერვენცია - მწვავედ დაწყებული ან/და კლინიკურად გაუარესებული, სიცოცხლისთვის საშიში მდგომარეობების დროს განსახორციელებელი ინტერვენცია. ეს მდგომარეობები დაკავშირებულია სიცოცხლის, ორგანოს ან  კიდურის დაკარგვის საფრთხესთან, ხოლო ინტერვენციები მოიცავს მოტეხილობების ფიქსაციას, ტკივილის მართვას და სხვა მძიმე სიმპტომების კუპირებას. ჩვეულებრივ, ინტერვენციის გადაწყვეტილება უნდა იყოს მიღებული არა უგვიანეს 24 საათისა, მას შემდგომ, რაც პირველი რიგის შემანარჩუნებელი მკურნალობა დასრულებულია.</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სასწრაფო დაყოვნებული ინტერვენცია – ადრეული ინტერვენცია პაციენტის  სტაბილური  მდგომარეობის პირობებში. პაციენტის სიცოცხლეს, რომელიმე ორგანოს ან კიდურს, გადაუდებელი საფრთხე არ ემუქრება, თუმცა ინტერვენცია დასაგეგმია რამდენიმე დღეში (2-5 დღე).</w:t>
      </w:r>
    </w:p>
    <w:p w:rsidR="00483AEF" w:rsidRDefault="0064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4. გეგმიური ინტერვენცია - იგეგმება პაციენტისთვის, ექიმისთვის და სამედიცინო დაწესებულებისათვის  მოსახერხებელ დროის მონაკვეთში. </w:t>
      </w:r>
    </w:p>
    <w:p w:rsidR="00483AEF" w:rsidRDefault="00483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sectPr w:rsidR="00483AEF">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2E1" w:rsidRDefault="008722E1" w:rsidP="00642909">
      <w:pPr>
        <w:spacing w:after="0" w:line="240" w:lineRule="auto"/>
      </w:pPr>
      <w:r>
        <w:separator/>
      </w:r>
    </w:p>
  </w:endnote>
  <w:endnote w:type="continuationSeparator" w:id="0">
    <w:p w:rsidR="008722E1" w:rsidRDefault="008722E1" w:rsidP="00642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09" w:rsidRDefault="006429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642909" w:rsidTr="00642909">
      <w:tc>
        <w:tcPr>
          <w:tcW w:w="5090" w:type="dxa"/>
          <w:shd w:val="clear" w:color="auto" w:fill="auto"/>
        </w:tcPr>
        <w:p w:rsidR="00642909" w:rsidRPr="00642909" w:rsidRDefault="00642909" w:rsidP="00642909">
          <w:pPr>
            <w:pStyle w:val="Footer"/>
            <w:spacing w:after="0" w:line="240" w:lineRule="auto"/>
            <w:rPr>
              <w:rFonts w:ascii="Sylfaen" w:hAnsi="Sylfaen"/>
              <w:noProof/>
              <w:sz w:val="16"/>
            </w:rPr>
          </w:pPr>
          <w:r w:rsidRPr="00642909">
            <w:rPr>
              <w:rFonts w:ascii="Sylfaen" w:hAnsi="Sylfaen"/>
              <w:noProof/>
              <w:sz w:val="16"/>
            </w:rPr>
            <w:t>19 ივნისი 2013  (შრომის,)ჯანმრთელობისა (და სოციალური დაცვის)  ბრძანება N 25</w:t>
          </w:r>
        </w:p>
      </w:tc>
      <w:tc>
        <w:tcPr>
          <w:tcW w:w="5090" w:type="dxa"/>
          <w:shd w:val="clear" w:color="auto" w:fill="auto"/>
        </w:tcPr>
        <w:p w:rsidR="00642909" w:rsidRPr="00642909" w:rsidRDefault="00642909" w:rsidP="00642909">
          <w:pPr>
            <w:pStyle w:val="Footer"/>
            <w:spacing w:after="0" w:line="240" w:lineRule="auto"/>
            <w:jc w:val="right"/>
            <w:rPr>
              <w:rFonts w:ascii="Sylfaen" w:hAnsi="Sylfaen"/>
              <w:noProof/>
              <w:sz w:val="16"/>
            </w:rPr>
          </w:pPr>
          <w:r w:rsidRPr="00642909">
            <w:rPr>
              <w:rFonts w:ascii="Sylfaen" w:hAnsi="Sylfaen"/>
              <w:noProof/>
              <w:sz w:val="16"/>
            </w:rPr>
            <w:t xml:space="preserve"> [ ამოღებულია ბაზიდან  : 18 ოქტომბერი 2019 ]</w:t>
          </w:r>
        </w:p>
      </w:tc>
    </w:tr>
    <w:tr w:rsidR="00642909" w:rsidTr="00642909">
      <w:tc>
        <w:tcPr>
          <w:tcW w:w="5090" w:type="dxa"/>
          <w:shd w:val="clear" w:color="auto" w:fill="auto"/>
        </w:tcPr>
        <w:p w:rsidR="00642909" w:rsidRDefault="00642909" w:rsidP="00642909">
          <w:pPr>
            <w:pStyle w:val="Footer"/>
            <w:spacing w:after="0" w:line="240" w:lineRule="auto"/>
          </w:pPr>
        </w:p>
      </w:tc>
      <w:tc>
        <w:tcPr>
          <w:tcW w:w="5090" w:type="dxa"/>
          <w:shd w:val="clear" w:color="auto" w:fill="auto"/>
        </w:tcPr>
        <w:p w:rsidR="00642909" w:rsidRPr="00642909" w:rsidRDefault="00642909" w:rsidP="00642909">
          <w:pPr>
            <w:pStyle w:val="Footer"/>
            <w:spacing w:after="0" w:line="240" w:lineRule="auto"/>
            <w:jc w:val="right"/>
            <w:rPr>
              <w:rFonts w:ascii="Sylfaen" w:hAnsi="Sylfaen"/>
              <w:noProof/>
              <w:sz w:val="16"/>
            </w:rPr>
          </w:pPr>
          <w:r w:rsidRPr="00642909">
            <w:rPr>
              <w:rFonts w:ascii="Sylfaen" w:hAnsi="Sylfaen"/>
              <w:noProof/>
              <w:sz w:val="16"/>
            </w:rPr>
            <w:t xml:space="preserve">კოდიფიცირებული </w:t>
          </w:r>
        </w:p>
      </w:tc>
    </w:tr>
  </w:tbl>
  <w:p w:rsidR="00642909" w:rsidRPr="00642909" w:rsidRDefault="00642909" w:rsidP="00642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09" w:rsidRDefault="00642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2E1" w:rsidRDefault="008722E1" w:rsidP="00642909">
      <w:pPr>
        <w:spacing w:after="0" w:line="240" w:lineRule="auto"/>
      </w:pPr>
      <w:r>
        <w:separator/>
      </w:r>
    </w:p>
  </w:footnote>
  <w:footnote w:type="continuationSeparator" w:id="0">
    <w:p w:rsidR="008722E1" w:rsidRDefault="008722E1" w:rsidP="006429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09" w:rsidRDefault="006429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642909" w:rsidTr="00642909">
      <w:tc>
        <w:tcPr>
          <w:tcW w:w="5090" w:type="dxa"/>
          <w:shd w:val="clear" w:color="auto" w:fill="auto"/>
        </w:tcPr>
        <w:p w:rsidR="00642909" w:rsidRDefault="00642909" w:rsidP="00642909">
          <w:pPr>
            <w:pStyle w:val="Header"/>
            <w:spacing w:after="0" w:line="240" w:lineRule="auto"/>
          </w:pPr>
          <w:r>
            <w:t>Codex R4</w:t>
          </w:r>
        </w:p>
      </w:tc>
      <w:tc>
        <w:tcPr>
          <w:tcW w:w="5090" w:type="dxa"/>
          <w:shd w:val="clear" w:color="auto" w:fill="auto"/>
        </w:tcPr>
        <w:p w:rsidR="00642909" w:rsidRDefault="00642909" w:rsidP="00642909">
          <w:pPr>
            <w:pStyle w:val="Header"/>
            <w:spacing w:after="0" w:line="240" w:lineRule="auto"/>
            <w:jc w:val="right"/>
          </w:pPr>
          <w:r>
            <w:fldChar w:fldCharType="begin"/>
          </w:r>
          <w:r>
            <w:instrText xml:space="preserve"> PAGE  \* MERGEFORMAT </w:instrText>
          </w:r>
          <w:r>
            <w:fldChar w:fldCharType="separate"/>
          </w:r>
          <w:r w:rsidR="008459F6">
            <w:rPr>
              <w:noProof/>
            </w:rPr>
            <w:t>1</w:t>
          </w:r>
          <w:r>
            <w:fldChar w:fldCharType="end"/>
          </w:r>
          <w:r>
            <w:t xml:space="preserve"> of </w:t>
          </w:r>
          <w:r w:rsidR="008722E1">
            <w:fldChar w:fldCharType="begin"/>
          </w:r>
          <w:r w:rsidR="008722E1">
            <w:instrText xml:space="preserve"> NUMPAGES  \* MERGEFORMAT </w:instrText>
          </w:r>
          <w:r w:rsidR="008722E1">
            <w:fldChar w:fldCharType="separate"/>
          </w:r>
          <w:r w:rsidR="008459F6">
            <w:rPr>
              <w:noProof/>
            </w:rPr>
            <w:t>4</w:t>
          </w:r>
          <w:r w:rsidR="008722E1">
            <w:rPr>
              <w:noProof/>
            </w:rPr>
            <w:fldChar w:fldCharType="end"/>
          </w:r>
        </w:p>
      </w:tc>
    </w:tr>
  </w:tbl>
  <w:p w:rsidR="00642909" w:rsidRPr="00642909" w:rsidRDefault="00642909" w:rsidP="006429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09" w:rsidRDefault="006429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909"/>
    <w:rsid w:val="00483AEF"/>
    <w:rsid w:val="00642909"/>
    <w:rsid w:val="008459F6"/>
    <w:rsid w:val="0087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spacing w:after="0" w:line="240" w:lineRule="atLeast"/>
      <w:ind w:firstLine="283"/>
      <w:jc w:val="both"/>
    </w:pPr>
    <w:rPr>
      <w:rFonts w:ascii="Sylfaen" w:hAnsi="Sylfaen" w:cs="Sylfaen"/>
      <w:sz w:val="22"/>
      <w:szCs w:val="22"/>
    </w:rPr>
  </w:style>
  <w:style w:type="paragraph" w:customStyle="1" w:styleId="danartixml">
    <w:name w:val="danarti_xml"/>
    <w:basedOn w:val="abzacixml"/>
    <w:uiPriority w:val="99"/>
    <w:pPr>
      <w:spacing w:line="20" w:lineRule="atLeast"/>
      <w:ind w:firstLine="284"/>
      <w:jc w:val="right"/>
    </w:pPr>
    <w:rPr>
      <w:sz w:val="24"/>
      <w:szCs w:val="24"/>
    </w:rPr>
  </w:style>
  <w:style w:type="paragraph" w:styleId="Header">
    <w:name w:val="header"/>
    <w:basedOn w:val="Normal"/>
    <w:link w:val="HeaderChar"/>
    <w:uiPriority w:val="99"/>
    <w:unhideWhenUsed/>
    <w:rsid w:val="00642909"/>
    <w:pPr>
      <w:tabs>
        <w:tab w:val="center" w:pos="4844"/>
        <w:tab w:val="right" w:pos="9689"/>
      </w:tabs>
    </w:pPr>
  </w:style>
  <w:style w:type="character" w:customStyle="1" w:styleId="HeaderChar">
    <w:name w:val="Header Char"/>
    <w:basedOn w:val="DefaultParagraphFont"/>
    <w:link w:val="Header"/>
    <w:uiPriority w:val="99"/>
    <w:rsid w:val="00642909"/>
    <w:rPr>
      <w:rFonts w:ascii="Calibri" w:hAnsi="Calibri" w:cs="Calibri"/>
      <w:lang w:val="x-none"/>
    </w:rPr>
  </w:style>
  <w:style w:type="paragraph" w:styleId="Footer">
    <w:name w:val="footer"/>
    <w:basedOn w:val="Normal"/>
    <w:link w:val="FooterChar"/>
    <w:uiPriority w:val="99"/>
    <w:unhideWhenUsed/>
    <w:rsid w:val="00642909"/>
    <w:pPr>
      <w:tabs>
        <w:tab w:val="center" w:pos="4844"/>
        <w:tab w:val="right" w:pos="9689"/>
      </w:tabs>
    </w:pPr>
  </w:style>
  <w:style w:type="character" w:customStyle="1" w:styleId="FooterChar">
    <w:name w:val="Footer Char"/>
    <w:basedOn w:val="DefaultParagraphFont"/>
    <w:link w:val="Footer"/>
    <w:uiPriority w:val="99"/>
    <w:rsid w:val="00642909"/>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spacing w:after="0" w:line="240" w:lineRule="atLeast"/>
      <w:ind w:firstLine="283"/>
      <w:jc w:val="both"/>
    </w:pPr>
    <w:rPr>
      <w:rFonts w:ascii="Sylfaen" w:hAnsi="Sylfaen" w:cs="Sylfaen"/>
      <w:sz w:val="22"/>
      <w:szCs w:val="22"/>
    </w:rPr>
  </w:style>
  <w:style w:type="paragraph" w:customStyle="1" w:styleId="danartixml">
    <w:name w:val="danarti_xml"/>
    <w:basedOn w:val="abzacixml"/>
    <w:uiPriority w:val="99"/>
    <w:pPr>
      <w:spacing w:line="20" w:lineRule="atLeast"/>
      <w:ind w:firstLine="284"/>
      <w:jc w:val="right"/>
    </w:pPr>
    <w:rPr>
      <w:sz w:val="24"/>
      <w:szCs w:val="24"/>
    </w:rPr>
  </w:style>
  <w:style w:type="paragraph" w:styleId="Header">
    <w:name w:val="header"/>
    <w:basedOn w:val="Normal"/>
    <w:link w:val="HeaderChar"/>
    <w:uiPriority w:val="99"/>
    <w:unhideWhenUsed/>
    <w:rsid w:val="00642909"/>
    <w:pPr>
      <w:tabs>
        <w:tab w:val="center" w:pos="4844"/>
        <w:tab w:val="right" w:pos="9689"/>
      </w:tabs>
    </w:pPr>
  </w:style>
  <w:style w:type="character" w:customStyle="1" w:styleId="HeaderChar">
    <w:name w:val="Header Char"/>
    <w:basedOn w:val="DefaultParagraphFont"/>
    <w:link w:val="Header"/>
    <w:uiPriority w:val="99"/>
    <w:rsid w:val="00642909"/>
    <w:rPr>
      <w:rFonts w:ascii="Calibri" w:hAnsi="Calibri" w:cs="Calibri"/>
      <w:lang w:val="x-none"/>
    </w:rPr>
  </w:style>
  <w:style w:type="paragraph" w:styleId="Footer">
    <w:name w:val="footer"/>
    <w:basedOn w:val="Normal"/>
    <w:link w:val="FooterChar"/>
    <w:uiPriority w:val="99"/>
    <w:unhideWhenUsed/>
    <w:rsid w:val="00642909"/>
    <w:pPr>
      <w:tabs>
        <w:tab w:val="center" w:pos="4844"/>
        <w:tab w:val="right" w:pos="9689"/>
      </w:tabs>
    </w:pPr>
  </w:style>
  <w:style w:type="character" w:customStyle="1" w:styleId="FooterChar">
    <w:name w:val="Footer Char"/>
    <w:basedOn w:val="DefaultParagraphFont"/>
    <w:link w:val="Footer"/>
    <w:uiPriority w:val="99"/>
    <w:rsid w:val="00642909"/>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2019-10-18T15:33:00Z</dcterms:created>
  <dcterms:modified xsi:type="dcterms:W3CDTF">2019-10-18T15:33:00Z</dcterms:modified>
</cp:coreProperties>
</file>