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1CF48" w14:textId="07BBE2A7" w:rsidR="008D2BB6" w:rsidRPr="0012158B" w:rsidRDefault="0012158B" w:rsidP="0012158B">
      <w:pPr>
        <w:pStyle w:val="Heading1"/>
        <w:rPr>
          <w:lang w:val="en-US"/>
        </w:rPr>
      </w:pPr>
      <w:r>
        <w:rPr>
          <w:lang w:val="en-US"/>
        </w:rPr>
        <w:t>COVID-19 Hospitalization</w:t>
      </w:r>
    </w:p>
    <w:p w14:paraId="7EE9335F" w14:textId="7A488B09" w:rsidR="008D2BB6" w:rsidRDefault="008D2BB6" w:rsidP="00914939">
      <w:pPr>
        <w:rPr>
          <w:rFonts w:ascii="Sylfaen" w:hAnsi="Sylfaen"/>
          <w:lang w:val="ka-GE"/>
        </w:rPr>
      </w:pPr>
    </w:p>
    <w:p w14:paraId="17708275" w14:textId="7D88D3D9" w:rsidR="00B3398C" w:rsidRDefault="003A7F34" w:rsidP="00D27F9A">
      <w:pPr>
        <w:rPr>
          <w:lang w:val="en-US"/>
        </w:rPr>
      </w:pPr>
      <w:r>
        <w:rPr>
          <w:lang w:val="en-US"/>
        </w:rPr>
        <w:t>Health system capacity and particularly ICU bed</w:t>
      </w:r>
      <w:r w:rsidR="00DE16D9">
        <w:rPr>
          <w:lang w:val="en-US"/>
        </w:rPr>
        <w:t xml:space="preserve">, </w:t>
      </w:r>
      <w:r>
        <w:rPr>
          <w:lang w:val="en-US"/>
        </w:rPr>
        <w:t xml:space="preserve">ventilators </w:t>
      </w:r>
      <w:r w:rsidR="00B3398C">
        <w:rPr>
          <w:lang w:val="en-US"/>
        </w:rPr>
        <w:t>and human resource capacity</w:t>
      </w:r>
      <w:r>
        <w:rPr>
          <w:lang w:val="en-US"/>
        </w:rPr>
        <w:t xml:space="preserve"> is critical for </w:t>
      </w:r>
      <w:r w:rsidR="00B3398C">
        <w:rPr>
          <w:lang w:val="en-US"/>
        </w:rPr>
        <w:t xml:space="preserve">adequate response when it comes to the COVID-19 case management at the health facility level. </w:t>
      </w:r>
    </w:p>
    <w:p w14:paraId="0CF1F5F8" w14:textId="69C2DF4C" w:rsidR="008C3E00" w:rsidRDefault="00DE16D9" w:rsidP="00D27F9A">
      <w:pPr>
        <w:rPr>
          <w:lang w:val="en-US"/>
        </w:rPr>
      </w:pPr>
      <w:r>
        <w:rPr>
          <w:lang w:val="en-US"/>
        </w:rPr>
        <w:t xml:space="preserve">The </w:t>
      </w:r>
      <w:r>
        <w:rPr>
          <w:lang w:val="en-US"/>
        </w:rPr>
        <w:t>ICU capacity in the selected countries is presented</w:t>
      </w:r>
      <w:r>
        <w:rPr>
          <w:lang w:val="en-US"/>
        </w:rPr>
        <w:t xml:space="preserve"> </w:t>
      </w:r>
      <w:r w:rsidR="00A63290">
        <w:rPr>
          <w:lang w:val="en-US"/>
        </w:rPr>
        <w:t>in the</w:t>
      </w:r>
      <w:r w:rsidR="00B3398C">
        <w:rPr>
          <w:lang w:val="en-US"/>
        </w:rPr>
        <w:t xml:space="preserve"> </w:t>
      </w:r>
      <w:r w:rsidR="00A63290">
        <w:rPr>
          <w:lang w:val="en-US"/>
        </w:rPr>
        <w:fldChar w:fldCharType="begin"/>
      </w:r>
      <w:r w:rsidR="00A63290">
        <w:rPr>
          <w:lang w:val="en-US"/>
        </w:rPr>
        <w:instrText xml:space="preserve"> REF _Ref36996418 \h </w:instrText>
      </w:r>
      <w:r w:rsidR="00A63290">
        <w:rPr>
          <w:lang w:val="en-US"/>
        </w:rPr>
      </w:r>
      <w:r w:rsidR="00D27F9A">
        <w:rPr>
          <w:lang w:val="en-US"/>
        </w:rPr>
        <w:instrText xml:space="preserve"> \* MERGEFORMAT </w:instrText>
      </w:r>
      <w:r w:rsidR="00A63290">
        <w:rPr>
          <w:lang w:val="en-US"/>
        </w:rPr>
        <w:fldChar w:fldCharType="separate"/>
      </w:r>
      <w:r w:rsidR="00A63290">
        <w:t xml:space="preserve">Figure </w:t>
      </w:r>
      <w:r w:rsidR="00A63290">
        <w:rPr>
          <w:noProof/>
        </w:rPr>
        <w:t>1</w:t>
      </w:r>
      <w:r w:rsidR="00A63290">
        <w:rPr>
          <w:lang w:val="en-US"/>
        </w:rPr>
        <w:fldChar w:fldCharType="end"/>
      </w:r>
      <w:r w:rsidR="00B3398C">
        <w:rPr>
          <w:lang w:val="en-US"/>
        </w:rPr>
        <w:t xml:space="preserve">. </w:t>
      </w:r>
      <w:r w:rsidR="00A63290">
        <w:rPr>
          <w:lang w:val="en-US"/>
        </w:rPr>
        <w:t>The c</w:t>
      </w:r>
      <w:r w:rsidR="00B3398C">
        <w:rPr>
          <w:lang w:val="en-US"/>
        </w:rPr>
        <w:t xml:space="preserve">ountries as </w:t>
      </w:r>
      <w:r w:rsidR="00A63290">
        <w:rPr>
          <w:lang w:val="en-US"/>
        </w:rPr>
        <w:t>ordered</w:t>
      </w:r>
      <w:r w:rsidR="00B3398C">
        <w:rPr>
          <w:lang w:val="en-US"/>
        </w:rPr>
        <w:t xml:space="preserve"> by</w:t>
      </w:r>
      <w:r w:rsidR="00A63290">
        <w:rPr>
          <w:lang w:val="en-US"/>
        </w:rPr>
        <w:t xml:space="preserve"> the</w:t>
      </w:r>
      <w:r w:rsidR="00B3398C">
        <w:rPr>
          <w:lang w:val="en-US"/>
        </w:rPr>
        <w:t xml:space="preserve"> </w:t>
      </w:r>
      <w:r w:rsidR="00A63290">
        <w:rPr>
          <w:lang w:val="en-US"/>
        </w:rPr>
        <w:t xml:space="preserve">total </w:t>
      </w:r>
      <w:r w:rsidR="00B3398C">
        <w:rPr>
          <w:lang w:val="en-US"/>
        </w:rPr>
        <w:t>ICU</w:t>
      </w:r>
      <w:r w:rsidR="003A7F34">
        <w:rPr>
          <w:lang w:val="en-US"/>
        </w:rPr>
        <w:t xml:space="preserve"> </w:t>
      </w:r>
      <w:r w:rsidR="00B3398C">
        <w:rPr>
          <w:lang w:val="en-US"/>
        </w:rPr>
        <w:t xml:space="preserve">bed </w:t>
      </w:r>
      <w:r w:rsidR="00A63290">
        <w:rPr>
          <w:lang w:val="en-US"/>
        </w:rPr>
        <w:t xml:space="preserve">rate </w:t>
      </w:r>
      <w:r>
        <w:rPr>
          <w:lang w:val="en-US"/>
        </w:rPr>
        <w:t xml:space="preserve">(decreasing order) </w:t>
      </w:r>
      <w:r w:rsidR="00B3398C">
        <w:rPr>
          <w:lang w:val="en-US"/>
        </w:rPr>
        <w:t>that is based on 2012 survey</w:t>
      </w:r>
      <w:r w:rsidR="00B3398C">
        <w:rPr>
          <w:rStyle w:val="FootnoteReference"/>
          <w:rFonts w:ascii="Sylfaen" w:hAnsi="Sylfaen"/>
          <w:lang w:val="en-US"/>
        </w:rPr>
        <w:footnoteReference w:id="1"/>
      </w:r>
      <w:r w:rsidR="00B3398C">
        <w:rPr>
          <w:lang w:val="en-US"/>
        </w:rPr>
        <w:t xml:space="preserve"> for </w:t>
      </w:r>
      <w:r w:rsidR="00A63290">
        <w:rPr>
          <w:lang w:val="en-US"/>
        </w:rPr>
        <w:t xml:space="preserve">the </w:t>
      </w:r>
      <w:r w:rsidR="00B3398C">
        <w:rPr>
          <w:lang w:val="en-US"/>
        </w:rPr>
        <w:t>European countries</w:t>
      </w:r>
      <w:r w:rsidR="00A63290">
        <w:rPr>
          <w:lang w:val="en-US"/>
        </w:rPr>
        <w:t xml:space="preserve"> and other </w:t>
      </w:r>
      <w:r>
        <w:rPr>
          <w:lang w:val="en-US"/>
        </w:rPr>
        <w:t xml:space="preserve">new </w:t>
      </w:r>
      <w:r w:rsidR="00A63290">
        <w:rPr>
          <w:lang w:val="en-US"/>
        </w:rPr>
        <w:t>sources</w:t>
      </w:r>
      <w:r>
        <w:rPr>
          <w:lang w:val="en-US"/>
        </w:rPr>
        <w:t xml:space="preserve"> for some countries</w:t>
      </w:r>
      <w:r w:rsidR="00A63290">
        <w:rPr>
          <w:rStyle w:val="FootnoteReference"/>
          <w:rFonts w:ascii="Sylfaen" w:hAnsi="Sylfaen"/>
          <w:lang w:val="en-US"/>
        </w:rPr>
        <w:footnoteReference w:id="2"/>
      </w:r>
      <w:r w:rsidR="00A63290">
        <w:rPr>
          <w:lang w:val="en-US"/>
        </w:rPr>
        <w:t>. Ventilators capacity includes total ventilators (</w:t>
      </w:r>
      <w:r w:rsidR="00DF1AA7">
        <w:rPr>
          <w:lang w:val="en-US"/>
        </w:rPr>
        <w:t>anesthesiologic</w:t>
      </w:r>
      <w:r w:rsidR="00A63290">
        <w:rPr>
          <w:lang w:val="en-US"/>
        </w:rPr>
        <w:t xml:space="preserve">, transport that could explain higher than ICU beds rate). For </w:t>
      </w:r>
      <w:r w:rsidR="00B04826">
        <w:rPr>
          <w:lang w:val="en-US"/>
        </w:rPr>
        <w:t xml:space="preserve">Belgium, </w:t>
      </w:r>
      <w:r w:rsidR="00A63290">
        <w:rPr>
          <w:lang w:val="en-US"/>
        </w:rPr>
        <w:t xml:space="preserve">Australia and UK ICU beds </w:t>
      </w:r>
      <w:r>
        <w:rPr>
          <w:lang w:val="en-US"/>
        </w:rPr>
        <w:t xml:space="preserve">rate </w:t>
      </w:r>
      <w:r w:rsidR="00A63290">
        <w:rPr>
          <w:lang w:val="en-US"/>
        </w:rPr>
        <w:t xml:space="preserve">after surge </w:t>
      </w:r>
      <w:r>
        <w:rPr>
          <w:lang w:val="en-US"/>
        </w:rPr>
        <w:t>is</w:t>
      </w:r>
      <w:r w:rsidR="00A63290">
        <w:rPr>
          <w:lang w:val="en-US"/>
        </w:rPr>
        <w:t xml:space="preserve"> given. </w:t>
      </w:r>
      <w:r w:rsidR="008C3E00">
        <w:rPr>
          <w:lang w:val="en-US"/>
        </w:rPr>
        <w:t xml:space="preserve">Germany (baseline figure) has almost three-fold per capita bed and ventilators capacity compared to UK even after surge. Italy, Spain with high death rates are in the same range of capacity.  </w:t>
      </w:r>
    </w:p>
    <w:p w14:paraId="4C0AC331" w14:textId="2222E7A6" w:rsidR="00C52308" w:rsidRDefault="00A63290" w:rsidP="00D27F9A">
      <w:pPr>
        <w:rPr>
          <w:lang w:val="en-US"/>
        </w:rPr>
      </w:pPr>
      <w:r>
        <w:rPr>
          <w:lang w:val="en-US"/>
        </w:rPr>
        <w:t xml:space="preserve">The figures represent national data, therefore </w:t>
      </w:r>
      <w:r w:rsidR="00DB4BAA">
        <w:rPr>
          <w:lang w:val="en-US"/>
        </w:rPr>
        <w:t xml:space="preserve">does not reflect geographical </w:t>
      </w:r>
      <w:r w:rsidR="008C3E00">
        <w:rPr>
          <w:lang w:val="en-US"/>
        </w:rPr>
        <w:t>differences</w:t>
      </w:r>
      <w:r w:rsidR="00DB4BAA">
        <w:rPr>
          <w:lang w:val="en-US"/>
        </w:rPr>
        <w:t xml:space="preserve"> in the capacity (especially in the big courtiers) and inflates lethal outcomes (e.g. New York compared to the other states in US).</w:t>
      </w:r>
      <w:r w:rsidR="00DB4BAA">
        <w:rPr>
          <w:rStyle w:val="FootnoteReference"/>
          <w:rFonts w:ascii="Sylfaen" w:hAnsi="Sylfaen"/>
          <w:lang w:val="en-US"/>
        </w:rPr>
        <w:footnoteReference w:id="3"/>
      </w:r>
      <w:r w:rsidR="00DB4BAA">
        <w:rPr>
          <w:lang w:val="en-US"/>
        </w:rPr>
        <w:t xml:space="preserve">  </w:t>
      </w:r>
      <w:r>
        <w:rPr>
          <w:lang w:val="en-US"/>
        </w:rPr>
        <w:t xml:space="preserve"> </w:t>
      </w:r>
    </w:p>
    <w:p w14:paraId="35783D2C" w14:textId="77777777" w:rsidR="00B3398C" w:rsidRPr="003A7F34" w:rsidRDefault="00B3398C" w:rsidP="00914939">
      <w:pPr>
        <w:rPr>
          <w:rFonts w:ascii="Sylfaen" w:hAnsi="Sylfaen"/>
          <w:lang w:val="en-US"/>
        </w:rPr>
      </w:pPr>
    </w:p>
    <w:p w14:paraId="4E27FE08" w14:textId="3D54B624" w:rsidR="003A7F34" w:rsidRPr="00B3398C" w:rsidRDefault="00B3398C" w:rsidP="00B3398C">
      <w:pPr>
        <w:pStyle w:val="Caption"/>
        <w:rPr>
          <w:rFonts w:ascii="Sylfaen" w:hAnsi="Sylfaen"/>
          <w:lang w:val="en-US"/>
        </w:rPr>
      </w:pPr>
      <w:bookmarkStart w:id="0" w:name="_Ref36996418"/>
      <w:r>
        <w:t xml:space="preserve">Figure </w:t>
      </w:r>
      <w:r w:rsidR="00B7002D">
        <w:fldChar w:fldCharType="begin"/>
      </w:r>
      <w:r w:rsidR="00B7002D">
        <w:instrText xml:space="preserve"> SEQ Figure \* ARABIC </w:instrText>
      </w:r>
      <w:r w:rsidR="00B7002D">
        <w:fldChar w:fldCharType="separate"/>
      </w:r>
      <w:r w:rsidR="001312E1">
        <w:rPr>
          <w:noProof/>
        </w:rPr>
        <w:t>1</w:t>
      </w:r>
      <w:r w:rsidR="00B7002D">
        <w:rPr>
          <w:noProof/>
        </w:rPr>
        <w:fldChar w:fldCharType="end"/>
      </w:r>
      <w:bookmarkEnd w:id="0"/>
      <w:r>
        <w:rPr>
          <w:lang w:val="en-US"/>
        </w:rPr>
        <w:t xml:space="preserve"> Total ICU beds, ventilators per 100,000 population and total confirmed deaths per 1 mln population in selected countries</w:t>
      </w:r>
    </w:p>
    <w:p w14:paraId="6E005823" w14:textId="38D54092" w:rsidR="003A7F34" w:rsidRDefault="003A7F34" w:rsidP="00914939">
      <w:pPr>
        <w:rPr>
          <w:rFonts w:ascii="Sylfaen" w:hAnsi="Sylfaen"/>
          <w:lang w:val="ka-GE"/>
        </w:rPr>
      </w:pPr>
      <w:r>
        <w:rPr>
          <w:noProof/>
        </w:rPr>
        <w:drawing>
          <wp:inline distT="0" distB="0" distL="0" distR="0" wp14:anchorId="681AFE3F" wp14:editId="2C6D3B6C">
            <wp:extent cx="6313018" cy="3371215"/>
            <wp:effectExtent l="0" t="0" r="0" b="0"/>
            <wp:docPr id="10" name="Chart 10">
              <a:extLst xmlns:a="http://schemas.openxmlformats.org/drawingml/2006/main">
                <a:ext uri="{FF2B5EF4-FFF2-40B4-BE49-F238E27FC236}">
                  <a16:creationId xmlns:a16="http://schemas.microsoft.com/office/drawing/2014/main" id="{8DF5FBE6-F067-0443-AFA7-8F5A88A76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5563FCE" w14:textId="28DA6E45" w:rsidR="00C52308" w:rsidRDefault="00C52308" w:rsidP="00914939">
      <w:pPr>
        <w:rPr>
          <w:rFonts w:ascii="Sylfaen" w:hAnsi="Sylfaen"/>
          <w:lang w:val="ka-GE"/>
        </w:rPr>
      </w:pPr>
    </w:p>
    <w:p w14:paraId="60F75461" w14:textId="68A2F57E" w:rsidR="00DB4BAA" w:rsidRDefault="005F472B" w:rsidP="00D27F9A">
      <w:pPr>
        <w:rPr>
          <w:lang w:val="en-US"/>
        </w:rPr>
      </w:pPr>
      <w:r>
        <w:rPr>
          <w:lang w:val="en-US"/>
        </w:rPr>
        <w:t xml:space="preserve">Human resource capacity is </w:t>
      </w:r>
      <w:proofErr w:type="gramStart"/>
      <w:r>
        <w:rPr>
          <w:lang w:val="en-US"/>
        </w:rPr>
        <w:t>crucial,</w:t>
      </w:r>
      <w:proofErr w:type="gramEnd"/>
      <w:r>
        <w:rPr>
          <w:lang w:val="en-US"/>
        </w:rPr>
        <w:t xml:space="preserve"> however it was not possible to obtain ICU workforce data for </w:t>
      </w:r>
      <w:r w:rsidR="00EC4FF3">
        <w:rPr>
          <w:lang w:val="en-US"/>
        </w:rPr>
        <w:t xml:space="preserve">the </w:t>
      </w:r>
      <w:r>
        <w:rPr>
          <w:lang w:val="en-US"/>
        </w:rPr>
        <w:t>interested countries</w:t>
      </w:r>
      <w:r w:rsidR="008C3E00">
        <w:rPr>
          <w:lang w:val="en-US"/>
        </w:rPr>
        <w:t xml:space="preserve">. As a proxy indicator </w:t>
      </w:r>
      <w:r w:rsidR="003E7BBB">
        <w:rPr>
          <w:lang w:val="en-US"/>
        </w:rPr>
        <w:t xml:space="preserve">total physician and nurse rates per 1,000 population </w:t>
      </w:r>
      <w:r>
        <w:rPr>
          <w:lang w:val="en-US"/>
        </w:rPr>
        <w:t>is presented</w:t>
      </w:r>
      <w:r w:rsidR="003E7BBB" w:rsidRPr="003E7BBB">
        <w:rPr>
          <w:lang w:val="en-US"/>
        </w:rPr>
        <w:t xml:space="preserve"> </w:t>
      </w:r>
      <w:r w:rsidR="003E7BBB">
        <w:rPr>
          <w:lang w:val="en-US"/>
        </w:rPr>
        <w:t>below</w:t>
      </w:r>
      <w:r w:rsidR="008C3E00">
        <w:rPr>
          <w:lang w:val="en-US"/>
        </w:rPr>
        <w:t>.</w:t>
      </w:r>
      <w:r w:rsidR="00EC4FF3">
        <w:rPr>
          <w:rStyle w:val="FootnoteReference"/>
          <w:rFonts w:ascii="Sylfaen" w:hAnsi="Sylfaen"/>
          <w:lang w:val="en-US"/>
        </w:rPr>
        <w:footnoteReference w:id="4"/>
      </w:r>
      <w:r w:rsidR="008C3E00">
        <w:rPr>
          <w:lang w:val="en-US"/>
        </w:rPr>
        <w:t xml:space="preserve"> </w:t>
      </w:r>
      <w:r w:rsidR="00EC4FF3">
        <w:rPr>
          <w:lang w:val="en-US"/>
        </w:rPr>
        <w:t xml:space="preserve">Italy and Spain </w:t>
      </w:r>
      <w:r w:rsidR="008C3E00">
        <w:rPr>
          <w:lang w:val="en-US"/>
        </w:rPr>
        <w:t>have</w:t>
      </w:r>
      <w:r w:rsidR="00EC4FF3">
        <w:rPr>
          <w:lang w:val="en-US"/>
        </w:rPr>
        <w:t xml:space="preserve"> the lower</w:t>
      </w:r>
      <w:r w:rsidR="008C3E00">
        <w:rPr>
          <w:lang w:val="en-US"/>
        </w:rPr>
        <w:t xml:space="preserve"> nursing</w:t>
      </w:r>
      <w:r w:rsidR="00EC4FF3">
        <w:rPr>
          <w:lang w:val="en-US"/>
        </w:rPr>
        <w:t xml:space="preserve"> capacity compared to </w:t>
      </w:r>
      <w:r w:rsidR="008C3E00">
        <w:rPr>
          <w:lang w:val="en-US"/>
        </w:rPr>
        <w:t>some</w:t>
      </w:r>
      <w:r w:rsidR="00EC4FF3">
        <w:rPr>
          <w:lang w:val="en-US"/>
        </w:rPr>
        <w:t xml:space="preserve"> other western European countries</w:t>
      </w:r>
      <w:r w:rsidR="008C3E00">
        <w:rPr>
          <w:lang w:val="en-US"/>
        </w:rPr>
        <w:t xml:space="preserve"> (Norway, </w:t>
      </w:r>
      <w:r w:rsidR="003E7BBB">
        <w:rPr>
          <w:lang w:val="en-US"/>
        </w:rPr>
        <w:t>Switzerland</w:t>
      </w:r>
      <w:r w:rsidR="008C3E00">
        <w:rPr>
          <w:lang w:val="en-US"/>
        </w:rPr>
        <w:t>, Germany)</w:t>
      </w:r>
      <w:r w:rsidR="00EC4FF3">
        <w:rPr>
          <w:lang w:val="en-US"/>
        </w:rPr>
        <w:t xml:space="preserve">, Australia and USA. USA </w:t>
      </w:r>
      <w:r w:rsidR="003E7BBB">
        <w:rPr>
          <w:lang w:val="en-US"/>
        </w:rPr>
        <w:t>had moderately high nursing rate. A</w:t>
      </w:r>
      <w:r w:rsidR="00EC4FF3">
        <w:rPr>
          <w:lang w:val="en-US"/>
        </w:rPr>
        <w:t xml:space="preserve">s per standard care (before surge) the </w:t>
      </w:r>
      <w:r w:rsidR="003E7BBB">
        <w:rPr>
          <w:lang w:val="en-US"/>
        </w:rPr>
        <w:t>ICU doctor</w:t>
      </w:r>
      <w:r w:rsidR="00EC4FF3">
        <w:rPr>
          <w:lang w:val="en-US"/>
        </w:rPr>
        <w:t xml:space="preserve"> to patient ratio </w:t>
      </w:r>
      <w:r w:rsidR="003E7BBB">
        <w:rPr>
          <w:lang w:val="en-US"/>
        </w:rPr>
        <w:t>was</w:t>
      </w:r>
      <w:r w:rsidR="00EC4FF3">
        <w:rPr>
          <w:lang w:val="en-US"/>
        </w:rPr>
        <w:t xml:space="preserve"> 1:10 and </w:t>
      </w:r>
      <w:r w:rsidR="003E7BBB">
        <w:rPr>
          <w:lang w:val="en-US"/>
        </w:rPr>
        <w:t xml:space="preserve">ICU </w:t>
      </w:r>
      <w:r w:rsidR="00EC4FF3">
        <w:rPr>
          <w:lang w:val="en-US"/>
        </w:rPr>
        <w:lastRenderedPageBreak/>
        <w:t xml:space="preserve">nurse to patient ratio </w:t>
      </w:r>
      <w:r w:rsidR="003E7BBB">
        <w:rPr>
          <w:lang w:val="en-US"/>
        </w:rPr>
        <w:t>was</w:t>
      </w:r>
      <w:r w:rsidR="00EC4FF3">
        <w:rPr>
          <w:lang w:val="en-US"/>
        </w:rPr>
        <w:t xml:space="preserve"> 1:1</w:t>
      </w:r>
      <w:r w:rsidR="003E7BBB">
        <w:rPr>
          <w:lang w:val="en-US"/>
        </w:rPr>
        <w:t xml:space="preserve"> and 1:2, that</w:t>
      </w:r>
      <w:r w:rsidR="00B103D3">
        <w:rPr>
          <w:lang w:val="en-US"/>
        </w:rPr>
        <w:t xml:space="preserve"> </w:t>
      </w:r>
      <w:r w:rsidR="003E7BBB">
        <w:rPr>
          <w:lang w:val="en-US"/>
        </w:rPr>
        <w:t>increase</w:t>
      </w:r>
      <w:r w:rsidR="00B103D3">
        <w:rPr>
          <w:lang w:val="en-US"/>
        </w:rPr>
        <w:t>s</w:t>
      </w:r>
      <w:r w:rsidR="003E7BBB">
        <w:rPr>
          <w:lang w:val="en-US"/>
        </w:rPr>
        <w:t xml:space="preserve"> to 1:24 ICU doctor to patient ratio and to 1:4 ICU nurse to patient ratio after surge.</w:t>
      </w:r>
      <w:r w:rsidR="003E7BBB" w:rsidRPr="003E7BBB">
        <w:rPr>
          <w:rStyle w:val="FootnoteReference"/>
          <w:rFonts w:ascii="Sylfaen" w:hAnsi="Sylfaen"/>
          <w:lang w:val="en-US"/>
        </w:rPr>
        <w:t xml:space="preserve"> </w:t>
      </w:r>
      <w:r w:rsidR="003E7BBB">
        <w:rPr>
          <w:rStyle w:val="FootnoteReference"/>
          <w:rFonts w:ascii="Sylfaen" w:hAnsi="Sylfaen"/>
          <w:lang w:val="en-US"/>
        </w:rPr>
        <w:footnoteReference w:id="5"/>
      </w:r>
    </w:p>
    <w:p w14:paraId="7D9058C3" w14:textId="77777777" w:rsidR="005F472B" w:rsidRDefault="005F472B" w:rsidP="00914939">
      <w:pPr>
        <w:rPr>
          <w:rFonts w:ascii="Sylfaen" w:hAnsi="Sylfaen"/>
          <w:lang w:val="en-US"/>
        </w:rPr>
      </w:pPr>
    </w:p>
    <w:p w14:paraId="7AE84005" w14:textId="20AF2878" w:rsidR="005F472B" w:rsidRPr="00B3398C" w:rsidRDefault="005F472B" w:rsidP="005F472B">
      <w:pPr>
        <w:pStyle w:val="Caption"/>
        <w:rPr>
          <w:rFonts w:ascii="Sylfaen" w:hAnsi="Sylfaen"/>
          <w:lang w:val="en-US"/>
        </w:rPr>
      </w:pPr>
      <w:r>
        <w:t xml:space="preserve">Figure </w:t>
      </w:r>
      <w:r w:rsidR="00B7002D">
        <w:fldChar w:fldCharType="begin"/>
      </w:r>
      <w:r w:rsidR="00B7002D">
        <w:instrText xml:space="preserve"> SEQ Figure \* ARABIC </w:instrText>
      </w:r>
      <w:r w:rsidR="00B7002D">
        <w:fldChar w:fldCharType="separate"/>
      </w:r>
      <w:r w:rsidR="001312E1">
        <w:rPr>
          <w:noProof/>
        </w:rPr>
        <w:t>2</w:t>
      </w:r>
      <w:r w:rsidR="00B7002D">
        <w:rPr>
          <w:noProof/>
        </w:rPr>
        <w:fldChar w:fldCharType="end"/>
      </w:r>
      <w:r>
        <w:rPr>
          <w:lang w:val="en-US"/>
        </w:rPr>
        <w:t xml:space="preserve"> Total physicians, licensed nurses and practicing nurses per 1,000 population </w:t>
      </w:r>
    </w:p>
    <w:p w14:paraId="7031E98F" w14:textId="77777777" w:rsidR="005F472B" w:rsidRDefault="005F472B" w:rsidP="00914939">
      <w:pPr>
        <w:rPr>
          <w:rFonts w:ascii="Sylfaen" w:hAnsi="Sylfaen"/>
          <w:lang w:val="en-US"/>
        </w:rPr>
      </w:pPr>
    </w:p>
    <w:p w14:paraId="57D8F694" w14:textId="7FDDA785" w:rsidR="005F472B" w:rsidRDefault="005F472B" w:rsidP="00914939">
      <w:pPr>
        <w:rPr>
          <w:rFonts w:ascii="Sylfaen" w:hAnsi="Sylfaen"/>
          <w:lang w:val="en-US"/>
        </w:rPr>
      </w:pPr>
      <w:r>
        <w:rPr>
          <w:noProof/>
        </w:rPr>
        <w:drawing>
          <wp:inline distT="0" distB="0" distL="0" distR="0" wp14:anchorId="75708FA0" wp14:editId="758D71B4">
            <wp:extent cx="5727700" cy="2800375"/>
            <wp:effectExtent l="0" t="0" r="0" b="0"/>
            <wp:docPr id="12" name="Chart 12">
              <a:extLst xmlns:a="http://schemas.openxmlformats.org/drawingml/2006/main">
                <a:ext uri="{FF2B5EF4-FFF2-40B4-BE49-F238E27FC236}">
                  <a16:creationId xmlns:a16="http://schemas.microsoft.com/office/drawing/2014/main" id="{F7EFBBD8-C870-3C4B-97D1-979F25F6C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F481523" w14:textId="4BD0B19E" w:rsidR="00DB4BAA" w:rsidRPr="00C52308" w:rsidRDefault="00DB4BAA" w:rsidP="00914939">
      <w:pPr>
        <w:rPr>
          <w:rFonts w:ascii="Sylfaen" w:hAnsi="Sylfaen"/>
          <w:lang w:val="en-US"/>
        </w:rPr>
      </w:pPr>
    </w:p>
    <w:p w14:paraId="3097D288" w14:textId="4B5F03B4" w:rsidR="00DB4BAA" w:rsidRPr="003E7BBB" w:rsidRDefault="001D72BF" w:rsidP="003E7BBB">
      <w:pPr>
        <w:pStyle w:val="Heading2"/>
        <w:rPr>
          <w:lang w:val="en-US"/>
        </w:rPr>
      </w:pPr>
      <w:r>
        <w:rPr>
          <w:lang w:val="en-US"/>
        </w:rPr>
        <w:t>C</w:t>
      </w:r>
      <w:r w:rsidR="003E7BBB">
        <w:rPr>
          <w:lang w:val="en-US"/>
        </w:rPr>
        <w:t xml:space="preserve">ountry examples </w:t>
      </w:r>
    </w:p>
    <w:p w14:paraId="53445CE5" w14:textId="4E9A274B" w:rsidR="005F472B" w:rsidRDefault="005F472B" w:rsidP="005F472B">
      <w:pPr>
        <w:rPr>
          <w:rFonts w:ascii="Sylfaen" w:hAnsi="Sylfaen"/>
          <w:lang w:val="en-US"/>
        </w:rPr>
      </w:pPr>
      <w:r>
        <w:rPr>
          <w:rFonts w:ascii="Sylfaen" w:hAnsi="Sylfaen"/>
          <w:lang w:val="en-US"/>
        </w:rPr>
        <w:t>Below we present hospitalization data from two Nordic countries (Norway and Denmark) and Belgium and Netherlands.</w:t>
      </w:r>
      <w:r w:rsidR="00FB3DC6">
        <w:rPr>
          <w:rFonts w:ascii="Sylfaen" w:hAnsi="Sylfaen"/>
          <w:lang w:val="en-US"/>
        </w:rPr>
        <w:t xml:space="preserve"> German data was not possible to obtain. The search could be expanded to Estonia, Lithuania, Ireland, Island and other countries with low death rates see </w:t>
      </w:r>
      <w:r w:rsidR="00FB3DC6">
        <w:rPr>
          <w:rFonts w:ascii="Sylfaen" w:hAnsi="Sylfaen"/>
          <w:lang w:val="en-US"/>
        </w:rPr>
        <w:fldChar w:fldCharType="begin"/>
      </w:r>
      <w:r w:rsidR="00FB3DC6">
        <w:rPr>
          <w:rFonts w:ascii="Sylfaen" w:hAnsi="Sylfaen"/>
          <w:lang w:val="en-US"/>
        </w:rPr>
        <w:instrText xml:space="preserve"> REF _Ref37013804 \h </w:instrText>
      </w:r>
      <w:r w:rsidR="00FB3DC6">
        <w:rPr>
          <w:rFonts w:ascii="Sylfaen" w:hAnsi="Sylfaen"/>
          <w:lang w:val="en-US"/>
        </w:rPr>
      </w:r>
      <w:r w:rsidR="00FB3DC6">
        <w:rPr>
          <w:rFonts w:ascii="Sylfaen" w:hAnsi="Sylfaen"/>
          <w:lang w:val="en-US"/>
        </w:rPr>
        <w:fldChar w:fldCharType="separate"/>
      </w:r>
      <w:r w:rsidR="00FB3DC6" w:rsidRPr="001312E1">
        <w:rPr>
          <w:i/>
          <w:iCs/>
          <w:color w:val="44546A" w:themeColor="text2"/>
          <w:sz w:val="18"/>
          <w:szCs w:val="18"/>
        </w:rPr>
        <w:t xml:space="preserve">Figure </w:t>
      </w:r>
      <w:r w:rsidR="00FB3DC6">
        <w:rPr>
          <w:i/>
          <w:iCs/>
          <w:noProof/>
          <w:color w:val="44546A" w:themeColor="text2"/>
          <w:sz w:val="18"/>
          <w:szCs w:val="18"/>
        </w:rPr>
        <w:t>5</w:t>
      </w:r>
      <w:r w:rsidR="00FB3DC6">
        <w:rPr>
          <w:rFonts w:ascii="Sylfaen" w:hAnsi="Sylfaen"/>
          <w:lang w:val="en-US"/>
        </w:rPr>
        <w:fldChar w:fldCharType="end"/>
      </w:r>
      <w:r w:rsidR="00FB3DC6">
        <w:rPr>
          <w:rFonts w:ascii="Sylfaen" w:hAnsi="Sylfaen"/>
          <w:lang w:val="en-US"/>
        </w:rPr>
        <w:t>.</w:t>
      </w:r>
    </w:p>
    <w:p w14:paraId="05268B38" w14:textId="139D3D19" w:rsidR="00B76934" w:rsidRDefault="00B76934" w:rsidP="00914939">
      <w:pPr>
        <w:rPr>
          <w:rFonts w:ascii="Sylfaen" w:hAnsi="Sylfaen"/>
          <w:lang w:val="ka-GE"/>
        </w:rPr>
      </w:pPr>
    </w:p>
    <w:p w14:paraId="459B050F" w14:textId="1BA0E86C" w:rsidR="00B76934" w:rsidRPr="00FA432A" w:rsidRDefault="00B76934" w:rsidP="003E7BBB">
      <w:pPr>
        <w:pStyle w:val="Heading3"/>
      </w:pPr>
      <w:r w:rsidRPr="00FA432A">
        <w:t>Norway</w:t>
      </w:r>
    </w:p>
    <w:p w14:paraId="0D48D449" w14:textId="3BE85700" w:rsidR="00484026" w:rsidRDefault="00F020B8" w:rsidP="00484026">
      <w:pPr>
        <w:rPr>
          <w:shd w:val="clear" w:color="auto" w:fill="FFFFFF"/>
          <w:lang w:val="en-US"/>
        </w:rPr>
      </w:pPr>
      <w:r w:rsidRPr="00FA432A">
        <w:rPr>
          <w:noProof/>
        </w:rPr>
        <w:drawing>
          <wp:anchor distT="0" distB="0" distL="114300" distR="114300" simplePos="0" relativeHeight="251666432" behindDoc="1" locked="0" layoutInCell="1" allowOverlap="1" wp14:anchorId="1C54676B" wp14:editId="634DEFEB">
            <wp:simplePos x="0" y="0"/>
            <wp:positionH relativeFrom="column">
              <wp:posOffset>2898590</wp:posOffset>
            </wp:positionH>
            <wp:positionV relativeFrom="paragraph">
              <wp:posOffset>78679</wp:posOffset>
            </wp:positionV>
            <wp:extent cx="3011170" cy="2192020"/>
            <wp:effectExtent l="0" t="0" r="0" b="5080"/>
            <wp:wrapTight wrapText="bothSides">
              <wp:wrapPolygon edited="0">
                <wp:start x="0" y="0"/>
                <wp:lineTo x="0" y="21525"/>
                <wp:lineTo x="21500" y="21525"/>
                <wp:lineTo x="21500" y="0"/>
                <wp:lineTo x="0" y="0"/>
              </wp:wrapPolygon>
            </wp:wrapTight>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1170" cy="2192020"/>
                    </a:xfrm>
                    <a:prstGeom prst="rect">
                      <a:avLst/>
                    </a:prstGeom>
                  </pic:spPr>
                </pic:pic>
              </a:graphicData>
            </a:graphic>
            <wp14:sizeRelH relativeFrom="page">
              <wp14:pctWidth>0</wp14:pctWidth>
            </wp14:sizeRelH>
            <wp14:sizeRelV relativeFrom="page">
              <wp14:pctHeight>0</wp14:pctHeight>
            </wp14:sizeRelV>
          </wp:anchor>
        </w:drawing>
      </w:r>
      <w:r w:rsidR="009F5B61">
        <w:rPr>
          <w:shd w:val="clear" w:color="auto" w:fill="FFFFFF"/>
        </w:rPr>
        <w:t>The number of people who were</w:t>
      </w:r>
      <w:r w:rsidR="009F5B61" w:rsidRPr="0012158B">
        <w:t> </w:t>
      </w:r>
      <w:r w:rsidR="009F5B61" w:rsidRPr="0012158B">
        <w:rPr>
          <w:shd w:val="clear" w:color="auto" w:fill="FFFFFF"/>
        </w:rPr>
        <w:t>confirmed infected</w:t>
      </w:r>
      <w:r w:rsidR="009F5B61" w:rsidRPr="0012158B">
        <w:t> </w:t>
      </w:r>
      <w:r w:rsidR="009F5B61">
        <w:rPr>
          <w:shd w:val="clear" w:color="auto" w:fill="FFFFFF"/>
        </w:rPr>
        <w:t xml:space="preserve">by </w:t>
      </w:r>
      <w:r w:rsidR="009F5B61">
        <w:rPr>
          <w:shd w:val="clear" w:color="auto" w:fill="FFFFFF"/>
          <w:lang w:val="en-US"/>
        </w:rPr>
        <w:t>COVID-19 in Norway</w:t>
      </w:r>
      <w:r w:rsidR="009F5B61">
        <w:rPr>
          <w:shd w:val="clear" w:color="auto" w:fill="FFFFFF"/>
        </w:rPr>
        <w:t xml:space="preserve"> had reached a total of 5,352 as of April 3, 2020.</w:t>
      </w:r>
      <w:r w:rsidR="009F5B61">
        <w:rPr>
          <w:rStyle w:val="apple-converted-space"/>
          <w:rFonts w:ascii="Helvetica" w:hAnsi="Helvetica"/>
          <w:color w:val="455F7C"/>
          <w:sz w:val="23"/>
          <w:szCs w:val="23"/>
          <w:shd w:val="clear" w:color="auto" w:fill="FFFFFF"/>
        </w:rPr>
        <w:t> </w:t>
      </w:r>
      <w:r w:rsidR="009F5B61">
        <w:rPr>
          <w:shd w:val="clear" w:color="auto" w:fill="FFFFFF"/>
          <w:lang w:val="en-US"/>
        </w:rPr>
        <w:t>T</w:t>
      </w:r>
      <w:r w:rsidR="00484026">
        <w:rPr>
          <w:shd w:val="clear" w:color="auto" w:fill="FFFFFF"/>
          <w:lang w:val="en-US"/>
        </w:rPr>
        <w:t xml:space="preserve">esting rate is one of the highest in the </w:t>
      </w:r>
      <w:r w:rsidR="009F5B61">
        <w:rPr>
          <w:shd w:val="clear" w:color="auto" w:fill="FFFFFF"/>
          <w:lang w:val="en-US"/>
        </w:rPr>
        <w:t>Europe</w:t>
      </w:r>
      <w:r w:rsidR="00484026">
        <w:rPr>
          <w:shd w:val="clear" w:color="auto" w:fill="FFFFFF"/>
          <w:lang w:val="en-US"/>
        </w:rPr>
        <w:t xml:space="preserve"> (</w:t>
      </w:r>
      <w:r w:rsidR="00484026" w:rsidRPr="0012186B">
        <w:rPr>
          <w:shd w:val="clear" w:color="auto" w:fill="FFFFFF"/>
          <w:lang w:val="en-US"/>
        </w:rPr>
        <w:t>19</w:t>
      </w:r>
      <w:r w:rsidR="00484026">
        <w:rPr>
          <w:shd w:val="clear" w:color="auto" w:fill="FFFFFF"/>
          <w:lang w:val="en-US"/>
        </w:rPr>
        <w:t>,</w:t>
      </w:r>
      <w:r w:rsidR="00484026" w:rsidRPr="0012186B">
        <w:rPr>
          <w:shd w:val="clear" w:color="auto" w:fill="FFFFFF"/>
          <w:lang w:val="en-US"/>
        </w:rPr>
        <w:t>528</w:t>
      </w:r>
      <w:r w:rsidR="00484026">
        <w:rPr>
          <w:shd w:val="clear" w:color="auto" w:fill="FFFFFF"/>
          <w:lang w:val="en-US"/>
        </w:rPr>
        <w:t xml:space="preserve"> per 1 mln population) leading to high </w:t>
      </w:r>
      <w:r w:rsidR="009F5B61">
        <w:rPr>
          <w:shd w:val="clear" w:color="auto" w:fill="FFFFFF"/>
          <w:lang w:val="en-US"/>
        </w:rPr>
        <w:t>incidence rate</w:t>
      </w:r>
      <w:r w:rsidR="00484026">
        <w:rPr>
          <w:shd w:val="clear" w:color="auto" w:fill="FFFFFF"/>
          <w:lang w:val="en-US"/>
        </w:rPr>
        <w:t xml:space="preserve"> (100.75 per 100,000 population) see </w:t>
      </w:r>
      <w:r w:rsidR="00484026">
        <w:rPr>
          <w:shd w:val="clear" w:color="auto" w:fill="FFFFFF"/>
          <w:lang w:val="en-US"/>
        </w:rPr>
        <w:fldChar w:fldCharType="begin"/>
      </w:r>
      <w:r w:rsidR="00484026">
        <w:rPr>
          <w:shd w:val="clear" w:color="auto" w:fill="FFFFFF"/>
          <w:lang w:val="en-US"/>
        </w:rPr>
        <w:instrText xml:space="preserve"> REF _Ref37011464 \h </w:instrText>
      </w:r>
      <w:r w:rsidR="00484026">
        <w:rPr>
          <w:shd w:val="clear" w:color="auto" w:fill="FFFFFF"/>
          <w:lang w:val="en-US"/>
        </w:rPr>
      </w:r>
      <w:r w:rsidR="00484026">
        <w:rPr>
          <w:shd w:val="clear" w:color="auto" w:fill="FFFFFF"/>
          <w:lang w:val="en-US"/>
        </w:rPr>
        <w:fldChar w:fldCharType="separate"/>
      </w:r>
      <w:r w:rsidR="00FB3DC6" w:rsidRPr="001312E1">
        <w:rPr>
          <w:i/>
          <w:iCs/>
          <w:color w:val="44546A" w:themeColor="text2"/>
          <w:sz w:val="18"/>
          <w:szCs w:val="18"/>
        </w:rPr>
        <w:t xml:space="preserve">Figure </w:t>
      </w:r>
      <w:r w:rsidR="00FB3DC6">
        <w:rPr>
          <w:i/>
          <w:iCs/>
          <w:noProof/>
          <w:color w:val="44546A" w:themeColor="text2"/>
          <w:sz w:val="18"/>
          <w:szCs w:val="18"/>
        </w:rPr>
        <w:t>4</w:t>
      </w:r>
      <w:r w:rsidR="00484026">
        <w:rPr>
          <w:shd w:val="clear" w:color="auto" w:fill="FFFFFF"/>
          <w:lang w:val="en-US"/>
        </w:rPr>
        <w:fldChar w:fldCharType="end"/>
      </w:r>
      <w:r w:rsidR="00484026">
        <w:rPr>
          <w:shd w:val="clear" w:color="auto" w:fill="FFFFFF"/>
          <w:lang w:val="en-US"/>
        </w:rPr>
        <w:t>.</w:t>
      </w:r>
    </w:p>
    <w:p w14:paraId="035D05AC" w14:textId="12CE3D76" w:rsidR="00B76934" w:rsidRDefault="00B76934" w:rsidP="00B357C6">
      <w:pPr>
        <w:rPr>
          <w:rStyle w:val="apple-converted-space"/>
          <w:rFonts w:ascii="Helvetica" w:hAnsi="Helvetica"/>
          <w:color w:val="455F7C"/>
          <w:sz w:val="23"/>
          <w:szCs w:val="23"/>
          <w:shd w:val="clear" w:color="auto" w:fill="FFFFFF"/>
        </w:rPr>
      </w:pPr>
      <w:r>
        <w:rPr>
          <w:shd w:val="clear" w:color="auto" w:fill="FFFFFF"/>
        </w:rPr>
        <w:t xml:space="preserve">The number of patients who were hospitalized due to COVID-19 in Norway increased rapidly until the end of March, when the increase started to slow down. </w:t>
      </w:r>
      <w:r w:rsidR="0012158B">
        <w:rPr>
          <w:shd w:val="clear" w:color="auto" w:fill="FFFFFF"/>
          <w:lang w:val="en-US"/>
        </w:rPr>
        <w:t>T</w:t>
      </w:r>
      <w:r>
        <w:rPr>
          <w:shd w:val="clear" w:color="auto" w:fill="FFFFFF"/>
        </w:rPr>
        <w:t xml:space="preserve">here </w:t>
      </w:r>
      <w:proofErr w:type="gramStart"/>
      <w:r>
        <w:rPr>
          <w:shd w:val="clear" w:color="auto" w:fill="FFFFFF"/>
        </w:rPr>
        <w:t>were</w:t>
      </w:r>
      <w:proofErr w:type="gramEnd"/>
      <w:r>
        <w:rPr>
          <w:shd w:val="clear" w:color="auto" w:fill="FFFFFF"/>
        </w:rPr>
        <w:t xml:space="preserve"> a total of 319 patients </w:t>
      </w:r>
      <w:r w:rsidR="009F5B61">
        <w:rPr>
          <w:shd w:val="clear" w:color="auto" w:fill="FFFFFF"/>
          <w:lang w:val="en-US"/>
        </w:rPr>
        <w:t>hospitalized</w:t>
      </w:r>
      <w:r>
        <w:rPr>
          <w:shd w:val="clear" w:color="auto" w:fill="FFFFFF"/>
        </w:rPr>
        <w:t xml:space="preserve"> as of April 3, 2020. </w:t>
      </w:r>
    </w:p>
    <w:p w14:paraId="2EC13426" w14:textId="7C058F01" w:rsidR="005D7B30" w:rsidRDefault="005D7B30" w:rsidP="005D7B30">
      <w:pPr>
        <w:rPr>
          <w:shd w:val="clear" w:color="auto" w:fill="FFFFFF"/>
          <w:lang w:val="en-US"/>
        </w:rPr>
      </w:pPr>
      <w:r>
        <w:rPr>
          <w:shd w:val="clear" w:color="auto" w:fill="FFFFFF"/>
          <w:lang w:val="en-US"/>
        </w:rPr>
        <w:t>As of April 4, a</w:t>
      </w:r>
      <w:r w:rsidRPr="005D7B30">
        <w:rPr>
          <w:shd w:val="clear" w:color="auto" w:fill="FFFFFF"/>
        </w:rPr>
        <w:t xml:space="preserve"> total of 163 </w:t>
      </w:r>
      <w:r>
        <w:rPr>
          <w:shd w:val="clear" w:color="auto" w:fill="FFFFFF"/>
          <w:lang w:val="en-US"/>
        </w:rPr>
        <w:t>patients</w:t>
      </w:r>
      <w:r w:rsidRPr="005D7B30">
        <w:rPr>
          <w:shd w:val="clear" w:color="auto" w:fill="FFFFFF"/>
        </w:rPr>
        <w:t xml:space="preserve"> have received intensive care in Norwegian hospitals so far, 106 of whom were still being cared for in intensive wards</w:t>
      </w:r>
      <w:r>
        <w:rPr>
          <w:rStyle w:val="FootnoteReference"/>
          <w:shd w:val="clear" w:color="auto" w:fill="FFFFFF"/>
        </w:rPr>
        <w:footnoteReference w:id="6"/>
      </w:r>
      <w:r w:rsidR="006F1BF2">
        <w:rPr>
          <w:shd w:val="clear" w:color="auto" w:fill="FFFFFF"/>
          <w:lang w:val="en-US"/>
        </w:rPr>
        <w:t xml:space="preserve"> i</w:t>
      </w:r>
      <w:r>
        <w:rPr>
          <w:shd w:val="clear" w:color="auto" w:fill="FFFFFF"/>
          <w:lang w:val="en-US"/>
        </w:rPr>
        <w:t>ndicat</w:t>
      </w:r>
      <w:r w:rsidR="006F1BF2">
        <w:rPr>
          <w:shd w:val="clear" w:color="auto" w:fill="FFFFFF"/>
          <w:lang w:val="en-US"/>
        </w:rPr>
        <w:t>ing</w:t>
      </w:r>
      <w:r>
        <w:rPr>
          <w:shd w:val="clear" w:color="auto" w:fill="FFFFFF"/>
          <w:lang w:val="en-US"/>
        </w:rPr>
        <w:t xml:space="preserve"> that </w:t>
      </w:r>
      <w:r w:rsidR="006F1BF2">
        <w:rPr>
          <w:shd w:val="clear" w:color="auto" w:fill="FFFFFF"/>
          <w:lang w:val="en-US"/>
        </w:rPr>
        <w:t xml:space="preserve">as of now </w:t>
      </w:r>
      <w:r>
        <w:rPr>
          <w:shd w:val="clear" w:color="auto" w:fill="FFFFFF"/>
          <w:lang w:val="en-US"/>
        </w:rPr>
        <w:t>33% of hospitalized case</w:t>
      </w:r>
      <w:r w:rsidR="0012186B">
        <w:rPr>
          <w:shd w:val="clear" w:color="auto" w:fill="FFFFFF"/>
          <w:lang w:val="en-US"/>
        </w:rPr>
        <w:t>s</w:t>
      </w:r>
      <w:r>
        <w:rPr>
          <w:shd w:val="clear" w:color="auto" w:fill="FFFFFF"/>
          <w:lang w:val="en-US"/>
        </w:rPr>
        <w:t xml:space="preserve"> are treated at ICU. </w:t>
      </w:r>
      <w:r w:rsidR="0012186B">
        <w:rPr>
          <w:shd w:val="clear" w:color="auto" w:fill="FFFFFF"/>
          <w:lang w:val="en-US"/>
        </w:rPr>
        <w:t xml:space="preserve">In Norway </w:t>
      </w:r>
      <w:r w:rsidR="0012186B">
        <w:rPr>
          <w:shd w:val="clear" w:color="auto" w:fill="FFFFFF"/>
          <w:lang w:val="en-US"/>
        </w:rPr>
        <w:lastRenderedPageBreak/>
        <w:t xml:space="preserve">total </w:t>
      </w:r>
      <w:r>
        <w:rPr>
          <w:shd w:val="clear" w:color="auto" w:fill="FFFFFF"/>
          <w:lang w:val="en-US"/>
        </w:rPr>
        <w:t xml:space="preserve">ICU </w:t>
      </w:r>
      <w:r w:rsidR="0012186B">
        <w:rPr>
          <w:shd w:val="clear" w:color="auto" w:fill="FFFFFF"/>
          <w:lang w:val="en-US"/>
        </w:rPr>
        <w:t>capacity</w:t>
      </w:r>
      <w:r>
        <w:rPr>
          <w:shd w:val="clear" w:color="auto" w:fill="FFFFFF"/>
          <w:lang w:val="en-US"/>
        </w:rPr>
        <w:t xml:space="preserve"> is </w:t>
      </w:r>
      <w:r w:rsidR="0012186B">
        <w:rPr>
          <w:shd w:val="clear" w:color="auto" w:fill="FFFFFF"/>
          <w:lang w:val="en-US"/>
        </w:rPr>
        <w:t xml:space="preserve">8.0 per </w:t>
      </w:r>
      <w:r>
        <w:rPr>
          <w:shd w:val="clear" w:color="auto" w:fill="FFFFFF"/>
          <w:lang w:val="en-US"/>
        </w:rPr>
        <w:t xml:space="preserve">is </w:t>
      </w:r>
      <w:r w:rsidR="0012186B">
        <w:rPr>
          <w:shd w:val="clear" w:color="auto" w:fill="FFFFFF"/>
          <w:lang w:val="en-US"/>
        </w:rPr>
        <w:t>100,000</w:t>
      </w:r>
      <w:r w:rsidR="0012186B">
        <w:rPr>
          <w:rStyle w:val="FootnoteReference"/>
          <w:shd w:val="clear" w:color="auto" w:fill="FFFFFF"/>
          <w:lang w:val="en-US"/>
        </w:rPr>
        <w:footnoteReference w:id="7"/>
      </w:r>
      <w:r w:rsidR="0012186B">
        <w:rPr>
          <w:shd w:val="clear" w:color="auto" w:fill="FFFFFF"/>
          <w:lang w:val="en-US"/>
        </w:rPr>
        <w:t xml:space="preserve"> (around 425 beds), meaning that currently 25% ICU capacity is used for COVID</w:t>
      </w:r>
      <w:r w:rsidR="009F5B61">
        <w:rPr>
          <w:shd w:val="clear" w:color="auto" w:fill="FFFFFF"/>
          <w:lang w:val="en-US"/>
        </w:rPr>
        <w:t>-19</w:t>
      </w:r>
      <w:r w:rsidR="0012186B">
        <w:rPr>
          <w:shd w:val="clear" w:color="auto" w:fill="FFFFFF"/>
          <w:lang w:val="en-US"/>
        </w:rPr>
        <w:t xml:space="preserve"> patient</w:t>
      </w:r>
      <w:r w:rsidR="009F5B61">
        <w:rPr>
          <w:shd w:val="clear" w:color="auto" w:fill="FFFFFF"/>
          <w:lang w:val="en-US"/>
        </w:rPr>
        <w:t xml:space="preserve">s </w:t>
      </w:r>
      <w:r w:rsidR="0012186B">
        <w:rPr>
          <w:shd w:val="clear" w:color="auto" w:fill="FFFFFF"/>
          <w:lang w:val="en-US"/>
        </w:rPr>
        <w:t xml:space="preserve">management. </w:t>
      </w:r>
    </w:p>
    <w:p w14:paraId="7C4C1285" w14:textId="703A61F1" w:rsidR="00E038EE" w:rsidRDefault="00E038EE" w:rsidP="005D7B30">
      <w:pPr>
        <w:rPr>
          <w:shd w:val="clear" w:color="auto" w:fill="FFFFFF"/>
          <w:lang w:val="en-US"/>
        </w:rPr>
      </w:pPr>
      <w:r>
        <w:rPr>
          <w:shd w:val="clear" w:color="auto" w:fill="FFFFFF"/>
          <w:lang w:val="en-US"/>
        </w:rPr>
        <w:t>Total number of hospitalized cases in Norway was not possible to obtain to calculate hospitalization rate, however it is assumed that the rate will be relatively low considering high testing rate.</w:t>
      </w:r>
    </w:p>
    <w:p w14:paraId="0ACC8EAB" w14:textId="640C8C3B" w:rsidR="00873ADA" w:rsidRPr="00492DC4" w:rsidRDefault="00873ADA" w:rsidP="00914939">
      <w:pPr>
        <w:rPr>
          <w:shd w:val="clear" w:color="auto" w:fill="FFFFFF"/>
          <w:lang w:val="en-US"/>
        </w:rPr>
      </w:pPr>
    </w:p>
    <w:p w14:paraId="50B86D47" w14:textId="03689B4F" w:rsidR="008D2BB6" w:rsidRPr="00FA432A" w:rsidRDefault="00FA432A" w:rsidP="003E7BBB">
      <w:pPr>
        <w:pStyle w:val="Heading3"/>
      </w:pPr>
      <w:r w:rsidRPr="00FA432A">
        <w:t>Denmark</w:t>
      </w:r>
    </w:p>
    <w:p w14:paraId="3C198F32" w14:textId="7025CD52" w:rsidR="00484026" w:rsidRPr="00484026" w:rsidRDefault="003532E3" w:rsidP="00484026">
      <w:pPr>
        <w:rPr>
          <w:lang w:val="en-US"/>
        </w:rPr>
      </w:pPr>
      <w:r>
        <w:rPr>
          <w:lang w:val="en-US"/>
        </w:rPr>
        <w:t xml:space="preserve">In Denmark </w:t>
      </w:r>
      <w:r>
        <w:rPr>
          <w:shd w:val="clear" w:color="auto" w:fill="FFFFFF"/>
          <w:lang w:val="en-US"/>
        </w:rPr>
        <w:t>t</w:t>
      </w:r>
      <w:r>
        <w:rPr>
          <w:shd w:val="clear" w:color="auto" w:fill="FFFFFF"/>
        </w:rPr>
        <w:t>he number of people who were</w:t>
      </w:r>
      <w:r w:rsidRPr="0012158B">
        <w:t> </w:t>
      </w:r>
      <w:r w:rsidRPr="0012158B">
        <w:rPr>
          <w:shd w:val="clear" w:color="auto" w:fill="FFFFFF"/>
        </w:rPr>
        <w:t xml:space="preserve">confirmed </w:t>
      </w:r>
      <w:r>
        <w:rPr>
          <w:shd w:val="clear" w:color="auto" w:fill="FFFFFF"/>
          <w:lang w:val="en-US"/>
        </w:rPr>
        <w:t>on COVID-19</w:t>
      </w:r>
      <w:r w:rsidRPr="0012158B">
        <w:t> </w:t>
      </w:r>
      <w:r>
        <w:rPr>
          <w:shd w:val="clear" w:color="auto" w:fill="FFFFFF"/>
        </w:rPr>
        <w:t>reached a total of 3,757 as of April 3, 2020</w:t>
      </w:r>
      <w:r>
        <w:rPr>
          <w:shd w:val="clear" w:color="auto" w:fill="FFFFFF"/>
          <w:lang w:val="en-US"/>
        </w:rPr>
        <w:t xml:space="preserve"> (65 per 100,000 population) </w:t>
      </w:r>
      <w:r>
        <w:rPr>
          <w:lang w:val="en-US"/>
        </w:rPr>
        <w:t>that is relatively low among other European countries. It is also notable that the testing rate is at medium level (6,888 per mln population) compared to other European countries.</w:t>
      </w:r>
      <w:r w:rsidR="00484026">
        <w:rPr>
          <w:lang w:val="en-US"/>
        </w:rPr>
        <w:t xml:space="preserve"> </w:t>
      </w:r>
      <w:r w:rsidR="00484026" w:rsidRPr="00484026">
        <w:rPr>
          <w:lang w:val="en-US"/>
        </w:rPr>
        <w:t xml:space="preserve">On 11 March, </w:t>
      </w:r>
      <w:r w:rsidR="00484026">
        <w:rPr>
          <w:lang w:val="en-US"/>
        </w:rPr>
        <w:t>there was</w:t>
      </w:r>
      <w:r w:rsidR="00484026" w:rsidRPr="00484026">
        <w:rPr>
          <w:lang w:val="en-US"/>
        </w:rPr>
        <w:t xml:space="preserve"> change of strategy, which means that only people hospitalized with severe signs of respiratory illness or shortness of breath, will be </w:t>
      </w:r>
      <w:r w:rsidR="00484026">
        <w:rPr>
          <w:lang w:val="en-US"/>
        </w:rPr>
        <w:t xml:space="preserve">tested. </w:t>
      </w:r>
      <w:r w:rsidR="00484026" w:rsidRPr="00484026">
        <w:rPr>
          <w:lang w:val="en-US"/>
        </w:rPr>
        <w:t>As a consequence, it is suspected that COVID-19 cases in the country are underreported</w:t>
      </w:r>
      <w:r w:rsidR="00484026">
        <w:rPr>
          <w:lang w:val="en-US"/>
        </w:rPr>
        <w:t>.</w:t>
      </w:r>
      <w:r w:rsidR="00484026" w:rsidRPr="00484026">
        <w:rPr>
          <w:vertAlign w:val="superscript"/>
          <w:lang w:val="en-US"/>
        </w:rPr>
        <w:footnoteReference w:id="8"/>
      </w:r>
    </w:p>
    <w:p w14:paraId="09B2CE60" w14:textId="4F58731A" w:rsidR="003532E3" w:rsidRPr="003532E3" w:rsidRDefault="00FA432A" w:rsidP="003532E3">
      <w:pPr>
        <w:rPr>
          <w:lang w:val="en-US"/>
        </w:rPr>
      </w:pPr>
      <w:r>
        <w:rPr>
          <w:shd w:val="clear" w:color="auto" w:fill="FFFFFF"/>
        </w:rPr>
        <w:t>The number of hospitalizations due to the coronavirus (COVID-19) in Denmark increased since March 12, 2020, when</w:t>
      </w:r>
      <w:r w:rsidR="003532E3">
        <w:rPr>
          <w:shd w:val="clear" w:color="auto" w:fill="FFFFFF"/>
          <w:lang w:val="en-US"/>
        </w:rPr>
        <w:t xml:space="preserve"> 19</w:t>
      </w:r>
      <w:r>
        <w:rPr>
          <w:shd w:val="clear" w:color="auto" w:fill="FFFFFF"/>
        </w:rPr>
        <w:t xml:space="preserve"> patients </w:t>
      </w:r>
      <w:r w:rsidR="003532E3">
        <w:rPr>
          <w:shd w:val="clear" w:color="auto" w:fill="FFFFFF"/>
          <w:lang w:val="en-US"/>
        </w:rPr>
        <w:t>were hospitalized</w:t>
      </w:r>
      <w:r>
        <w:rPr>
          <w:shd w:val="clear" w:color="auto" w:fill="FFFFFF"/>
        </w:rPr>
        <w:t xml:space="preserve"> and peaked on April 1, 2020 when the number of patients had grown to 535. The following days, number started to decline and was down to 517 on March 3, 2020. </w:t>
      </w:r>
    </w:p>
    <w:p w14:paraId="2297C001" w14:textId="1FD1B36E" w:rsidR="007847B9" w:rsidRPr="005D7B30" w:rsidRDefault="005D7B30" w:rsidP="007847B9">
      <w:pPr>
        <w:rPr>
          <w:shd w:val="clear" w:color="auto" w:fill="FFFFFF"/>
          <w:lang w:val="en-US"/>
        </w:rPr>
      </w:pPr>
      <w:r>
        <w:rPr>
          <w:shd w:val="clear" w:color="auto" w:fill="FFFFFF"/>
          <w:lang w:val="en-US"/>
        </w:rPr>
        <w:t xml:space="preserve">In Denmark </w:t>
      </w:r>
      <w:r w:rsidRPr="003532E3">
        <w:rPr>
          <w:i/>
          <w:iCs/>
          <w:shd w:val="clear" w:color="auto" w:fill="FFFFFF"/>
          <w:lang w:val="en-US"/>
        </w:rPr>
        <w:t xml:space="preserve">severe and critical patients are hospitalized </w:t>
      </w:r>
      <w:r>
        <w:rPr>
          <w:shd w:val="clear" w:color="auto" w:fill="FFFFFF"/>
          <w:lang w:val="en-US"/>
        </w:rPr>
        <w:t>and a</w:t>
      </w:r>
      <w:r w:rsidR="007847B9" w:rsidRPr="007847B9">
        <w:rPr>
          <w:shd w:val="clear" w:color="auto" w:fill="FFFFFF"/>
        </w:rPr>
        <w:t xml:space="preserve">ll infected people </w:t>
      </w:r>
      <w:r w:rsidR="003532E3">
        <w:rPr>
          <w:shd w:val="clear" w:color="auto" w:fill="FFFFFF"/>
          <w:lang w:val="en-US"/>
        </w:rPr>
        <w:t>with</w:t>
      </w:r>
      <w:r w:rsidR="007847B9" w:rsidRPr="007847B9">
        <w:rPr>
          <w:shd w:val="clear" w:color="auto" w:fill="FFFFFF"/>
        </w:rPr>
        <w:t xml:space="preserve"> no or </w:t>
      </w:r>
      <w:r w:rsidR="007847B9" w:rsidRPr="003532E3">
        <w:rPr>
          <w:i/>
          <w:iCs/>
          <w:shd w:val="clear" w:color="auto" w:fill="FFFFFF"/>
        </w:rPr>
        <w:t>mild symptoms</w:t>
      </w:r>
      <w:r w:rsidR="007847B9" w:rsidRPr="007847B9">
        <w:rPr>
          <w:shd w:val="clear" w:color="auto" w:fill="FFFFFF"/>
        </w:rPr>
        <w:t xml:space="preserve"> and are not considered particularly vulnerable </w:t>
      </w:r>
      <w:r w:rsidR="007847B9" w:rsidRPr="003532E3">
        <w:rPr>
          <w:i/>
          <w:iCs/>
          <w:shd w:val="clear" w:color="auto" w:fill="FFFFFF"/>
        </w:rPr>
        <w:t>are placed in home</w:t>
      </w:r>
      <w:r w:rsidR="007847B9" w:rsidRPr="007847B9">
        <w:rPr>
          <w:shd w:val="clear" w:color="auto" w:fill="FFFFFF"/>
        </w:rPr>
        <w:t xml:space="preserve"> quarantine with daily contact from health professionals.</w:t>
      </w:r>
      <w:r>
        <w:rPr>
          <w:shd w:val="clear" w:color="auto" w:fill="FFFFFF"/>
          <w:lang w:val="en-US"/>
        </w:rPr>
        <w:t xml:space="preserve"> </w:t>
      </w:r>
      <w:r w:rsidR="00484026">
        <w:rPr>
          <w:shd w:val="clear" w:color="auto" w:fill="FFFFFF"/>
          <w:lang w:val="en-US"/>
        </w:rPr>
        <w:t>Total number of hospitalized cases was not possible to obtain to calculate hospitalization rate, however it is assumed that it will be high due to underreporting of cases.</w:t>
      </w:r>
    </w:p>
    <w:p w14:paraId="4C383DEA" w14:textId="6CE9D36C" w:rsidR="007F70B4" w:rsidRDefault="007F70B4" w:rsidP="007847B9">
      <w:pPr>
        <w:rPr>
          <w:shd w:val="clear" w:color="auto" w:fill="FFFFFF"/>
          <w:lang w:val="en-US"/>
        </w:rPr>
      </w:pPr>
      <w:r>
        <w:rPr>
          <w:shd w:val="clear" w:color="auto" w:fill="FFFFFF"/>
          <w:lang w:val="en-US"/>
        </w:rPr>
        <w:t>Among hospitalized cases about 30% are placed in ICU and 22% require ICU and ventilation (around 80% of ICU patients)</w:t>
      </w:r>
      <w:r>
        <w:rPr>
          <w:rStyle w:val="FootnoteReference"/>
          <w:shd w:val="clear" w:color="auto" w:fill="FFFFFF"/>
          <w:lang w:val="en-US"/>
        </w:rPr>
        <w:footnoteReference w:id="9"/>
      </w:r>
      <w:r>
        <w:rPr>
          <w:shd w:val="clear" w:color="auto" w:fill="FFFFFF"/>
          <w:lang w:val="en-US"/>
        </w:rPr>
        <w:t>.</w:t>
      </w:r>
    </w:p>
    <w:p w14:paraId="5B20DB8F" w14:textId="21C555EC" w:rsidR="007F70B4" w:rsidRPr="007F70B4" w:rsidRDefault="00F020B8" w:rsidP="007847B9">
      <w:pPr>
        <w:rPr>
          <w:sz w:val="24"/>
          <w:lang w:val="en-US"/>
        </w:rPr>
      </w:pPr>
      <w:r w:rsidRPr="00FA432A">
        <w:rPr>
          <w:rFonts w:ascii="Sylfaen" w:hAnsi="Sylfaen"/>
          <w:noProof/>
        </w:rPr>
        <w:drawing>
          <wp:anchor distT="0" distB="0" distL="114300" distR="114300" simplePos="0" relativeHeight="251670528" behindDoc="1" locked="0" layoutInCell="1" allowOverlap="1" wp14:anchorId="5F9DA516" wp14:editId="59AD4158">
            <wp:simplePos x="0" y="0"/>
            <wp:positionH relativeFrom="column">
              <wp:posOffset>-167306</wp:posOffset>
            </wp:positionH>
            <wp:positionV relativeFrom="paragraph">
              <wp:posOffset>460542</wp:posOffset>
            </wp:positionV>
            <wp:extent cx="3152140" cy="2324100"/>
            <wp:effectExtent l="0" t="0" r="0" b="0"/>
            <wp:wrapTight wrapText="bothSides">
              <wp:wrapPolygon edited="0">
                <wp:start x="0" y="0"/>
                <wp:lineTo x="0" y="21482"/>
                <wp:lineTo x="21496" y="21482"/>
                <wp:lineTo x="21496" y="0"/>
                <wp:lineTo x="0" y="0"/>
              </wp:wrapPolygon>
            </wp:wrapTight>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140" cy="2324100"/>
                    </a:xfrm>
                    <a:prstGeom prst="rect">
                      <a:avLst/>
                    </a:prstGeom>
                  </pic:spPr>
                </pic:pic>
              </a:graphicData>
            </a:graphic>
            <wp14:sizeRelH relativeFrom="page">
              <wp14:pctWidth>0</wp14:pctWidth>
            </wp14:sizeRelH>
            <wp14:sizeRelV relativeFrom="page">
              <wp14:pctHeight>0</wp14:pctHeight>
            </wp14:sizeRelV>
          </wp:anchor>
        </w:drawing>
      </w:r>
      <w:r w:rsidRPr="007F70B4">
        <w:rPr>
          <w:noProof/>
        </w:rPr>
        <w:drawing>
          <wp:anchor distT="0" distB="0" distL="114300" distR="114300" simplePos="0" relativeHeight="251672576" behindDoc="1" locked="0" layoutInCell="1" allowOverlap="1" wp14:anchorId="58413F7B" wp14:editId="341984F1">
            <wp:simplePos x="0" y="0"/>
            <wp:positionH relativeFrom="column">
              <wp:posOffset>3082825</wp:posOffset>
            </wp:positionH>
            <wp:positionV relativeFrom="paragraph">
              <wp:posOffset>445536</wp:posOffset>
            </wp:positionV>
            <wp:extent cx="2817495" cy="2413635"/>
            <wp:effectExtent l="0" t="0" r="1905" b="0"/>
            <wp:wrapTight wrapText="bothSides">
              <wp:wrapPolygon edited="0">
                <wp:start x="0" y="0"/>
                <wp:lineTo x="0" y="21481"/>
                <wp:lineTo x="21517" y="21481"/>
                <wp:lineTo x="21517" y="0"/>
                <wp:lineTo x="0" y="0"/>
              </wp:wrapPolygon>
            </wp:wrapTight>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7495" cy="2413635"/>
                    </a:xfrm>
                    <a:prstGeom prst="rect">
                      <a:avLst/>
                    </a:prstGeom>
                  </pic:spPr>
                </pic:pic>
              </a:graphicData>
            </a:graphic>
            <wp14:sizeRelH relativeFrom="page">
              <wp14:pctWidth>0</wp14:pctWidth>
            </wp14:sizeRelH>
            <wp14:sizeRelV relativeFrom="page">
              <wp14:pctHeight>0</wp14:pctHeight>
            </wp14:sizeRelV>
          </wp:anchor>
        </w:drawing>
      </w:r>
      <w:r w:rsidR="007F70B4">
        <w:rPr>
          <w:shd w:val="clear" w:color="auto" w:fill="FFFFFF"/>
          <w:lang w:val="en-US"/>
        </w:rPr>
        <w:t xml:space="preserve">Denmark </w:t>
      </w:r>
      <w:r w:rsidR="0012186B">
        <w:rPr>
          <w:shd w:val="clear" w:color="auto" w:fill="FFFFFF"/>
          <w:lang w:val="en-US"/>
        </w:rPr>
        <w:t xml:space="preserve">total </w:t>
      </w:r>
      <w:r w:rsidR="007F70B4">
        <w:rPr>
          <w:shd w:val="clear" w:color="auto" w:fill="FFFFFF"/>
          <w:lang w:val="en-US"/>
        </w:rPr>
        <w:t>ICU capacity is 6.7 per 100,000 population</w:t>
      </w:r>
      <w:r w:rsidR="007F70B4">
        <w:rPr>
          <w:rStyle w:val="FootnoteReference"/>
          <w:shd w:val="clear" w:color="auto" w:fill="FFFFFF"/>
          <w:lang w:val="en-US"/>
        </w:rPr>
        <w:footnoteReference w:id="10"/>
      </w:r>
      <w:r w:rsidR="007F70B4">
        <w:rPr>
          <w:shd w:val="clear" w:color="auto" w:fill="FFFFFF"/>
          <w:lang w:val="en-US"/>
        </w:rPr>
        <w:t xml:space="preserve"> (around 390 beds), meaning that during highest load on April 2</w:t>
      </w:r>
      <w:r w:rsidR="007F70B4" w:rsidRPr="007F70B4">
        <w:rPr>
          <w:shd w:val="clear" w:color="auto" w:fill="FFFFFF"/>
          <w:vertAlign w:val="superscript"/>
          <w:lang w:val="en-US"/>
        </w:rPr>
        <w:t>nd</w:t>
      </w:r>
      <w:r w:rsidR="007F70B4">
        <w:rPr>
          <w:shd w:val="clear" w:color="auto" w:fill="FFFFFF"/>
          <w:lang w:val="en-US"/>
        </w:rPr>
        <w:t xml:space="preserve"> 40% of ICU capacity was used for COVID-19 patients. </w:t>
      </w:r>
    </w:p>
    <w:p w14:paraId="789CD9B7" w14:textId="09B5E2AA" w:rsidR="007847B9" w:rsidRDefault="007847B9" w:rsidP="00FA432A"/>
    <w:p w14:paraId="59CE5D7F" w14:textId="2E38EBBB" w:rsidR="00914939" w:rsidRDefault="0012186B" w:rsidP="006F1BF2">
      <w:pPr>
        <w:rPr>
          <w:lang w:val="en-US"/>
        </w:rPr>
      </w:pPr>
      <w:r>
        <w:rPr>
          <w:lang w:val="en-US"/>
        </w:rPr>
        <w:t xml:space="preserve">As </w:t>
      </w:r>
      <w:r w:rsidR="0012158B">
        <w:rPr>
          <w:lang w:val="en-US"/>
        </w:rPr>
        <w:t xml:space="preserve">data on </w:t>
      </w:r>
      <w:r>
        <w:rPr>
          <w:lang w:val="en-US"/>
        </w:rPr>
        <w:t xml:space="preserve">daily hospitalized cases </w:t>
      </w:r>
      <w:r w:rsidR="0012158B">
        <w:rPr>
          <w:lang w:val="en-US"/>
        </w:rPr>
        <w:t>in</w:t>
      </w:r>
      <w:r>
        <w:rPr>
          <w:lang w:val="en-US"/>
        </w:rPr>
        <w:t xml:space="preserve"> these two countries </w:t>
      </w:r>
      <w:r w:rsidR="0012158B">
        <w:rPr>
          <w:lang w:val="en-US"/>
        </w:rPr>
        <w:t>were</w:t>
      </w:r>
      <w:r>
        <w:rPr>
          <w:lang w:val="en-US"/>
        </w:rPr>
        <w:t xml:space="preserve"> available, we looked at the highest number of hospitalized cases at a time point (319 cases – Norway and 535 – Denmark).</w:t>
      </w:r>
      <w:r w:rsidR="00F94D53">
        <w:rPr>
          <w:lang w:val="en-US"/>
        </w:rPr>
        <w:t xml:space="preserve"> </w:t>
      </w:r>
      <w:r w:rsidR="0012158B">
        <w:rPr>
          <w:lang w:val="en-US"/>
        </w:rPr>
        <w:t xml:space="preserve">Norway </w:t>
      </w:r>
      <w:r w:rsidR="002A697D">
        <w:rPr>
          <w:lang w:val="en-US"/>
        </w:rPr>
        <w:t>with higher COVID-19 incidence rate (</w:t>
      </w:r>
      <w:r w:rsidR="00C52308">
        <w:rPr>
          <w:lang w:val="en-US"/>
        </w:rPr>
        <w:t>most likely</w:t>
      </w:r>
      <w:r w:rsidR="002A697D">
        <w:rPr>
          <w:lang w:val="en-US"/>
        </w:rPr>
        <w:t xml:space="preserve"> due to high testing rate and not a disease burden) </w:t>
      </w:r>
      <w:r w:rsidR="0012158B">
        <w:rPr>
          <w:lang w:val="en-US"/>
        </w:rPr>
        <w:t>has lower hospitalization and death rates compared to Denmark</w:t>
      </w:r>
      <w:r w:rsidR="00F94D53">
        <w:rPr>
          <w:lang w:val="en-US"/>
        </w:rPr>
        <w:t xml:space="preserve">. In both countries only severe cases are hospitalized and also ICU capacity </w:t>
      </w:r>
      <w:r w:rsidR="0012158B">
        <w:rPr>
          <w:lang w:val="en-US"/>
        </w:rPr>
        <w:t>has</w:t>
      </w:r>
      <w:r w:rsidR="00F94D53">
        <w:rPr>
          <w:lang w:val="en-US"/>
        </w:rPr>
        <w:t xml:space="preserve"> not </w:t>
      </w:r>
      <w:r w:rsidR="0012158B">
        <w:rPr>
          <w:lang w:val="en-US"/>
        </w:rPr>
        <w:t xml:space="preserve">been </w:t>
      </w:r>
      <w:r w:rsidR="00F94D53">
        <w:rPr>
          <w:lang w:val="en-US"/>
        </w:rPr>
        <w:t xml:space="preserve">overwhelmed that could </w:t>
      </w:r>
      <w:r w:rsidR="006F1BF2">
        <w:rPr>
          <w:lang w:val="en-US"/>
        </w:rPr>
        <w:t xml:space="preserve">have </w:t>
      </w:r>
      <w:r w:rsidR="00F94D53">
        <w:rPr>
          <w:lang w:val="en-US"/>
        </w:rPr>
        <w:t>led to high death rates. In Denmark (</w:t>
      </w:r>
      <w:r w:rsidR="0012158B">
        <w:rPr>
          <w:lang w:val="en-US"/>
        </w:rPr>
        <w:t xml:space="preserve">more severe </w:t>
      </w:r>
      <w:r w:rsidR="00F94D53">
        <w:rPr>
          <w:lang w:val="en-US"/>
        </w:rPr>
        <w:t>picture)</w:t>
      </w:r>
      <w:r w:rsidR="0012158B">
        <w:rPr>
          <w:lang w:val="en-US"/>
        </w:rPr>
        <w:t xml:space="preserve"> at a time point the hospitalization reached 92.4 per 1 mln population with about 30% placed in ICU. </w:t>
      </w:r>
    </w:p>
    <w:p w14:paraId="26D4CEF0" w14:textId="0685AF43" w:rsidR="002A697D" w:rsidRDefault="002A697D" w:rsidP="006F1BF2">
      <w:pPr>
        <w:rPr>
          <w:lang w:val="en-US"/>
        </w:rPr>
      </w:pPr>
      <w:r>
        <w:rPr>
          <w:lang w:val="en-US"/>
        </w:rPr>
        <w:lastRenderedPageBreak/>
        <w:t xml:space="preserve">These </w:t>
      </w:r>
      <w:r w:rsidR="00C52308">
        <w:rPr>
          <w:lang w:val="en-US"/>
        </w:rPr>
        <w:t>figures should be</w:t>
      </w:r>
      <w:r>
        <w:rPr>
          <w:lang w:val="en-US"/>
        </w:rPr>
        <w:t xml:space="preserve"> interpreted considering </w:t>
      </w:r>
      <w:r w:rsidR="00C52308">
        <w:rPr>
          <w:lang w:val="en-US"/>
        </w:rPr>
        <w:t xml:space="preserve">various factors such as demographics, </w:t>
      </w:r>
      <w:r w:rsidR="00C52308" w:rsidRPr="00C52308">
        <w:rPr>
          <w:lang w:val="en-US"/>
        </w:rPr>
        <w:t>population density</w:t>
      </w:r>
      <w:r w:rsidR="00C52308">
        <w:rPr>
          <w:lang w:val="en-US"/>
        </w:rPr>
        <w:t xml:space="preserve">, civil compliance to the rules, </w:t>
      </w:r>
      <w:r w:rsidR="006F1BF2" w:rsidRPr="00C52308">
        <w:rPr>
          <w:lang w:val="en-US"/>
        </w:rPr>
        <w:t>social interaction</w:t>
      </w:r>
      <w:r w:rsidR="006F1BF2">
        <w:rPr>
          <w:lang w:val="en-US"/>
        </w:rPr>
        <w:t xml:space="preserve"> </w:t>
      </w:r>
      <w:r w:rsidR="00C52308" w:rsidRPr="00C52308">
        <w:rPr>
          <w:lang w:val="en-US"/>
        </w:rPr>
        <w:t xml:space="preserve">patterns </w:t>
      </w:r>
      <w:r w:rsidR="00C52308">
        <w:rPr>
          <w:lang w:val="en-US"/>
        </w:rPr>
        <w:t>and COVID</w:t>
      </w:r>
      <w:r w:rsidR="006F1BF2">
        <w:rPr>
          <w:lang w:val="en-US"/>
        </w:rPr>
        <w:t>-19</w:t>
      </w:r>
      <w:r>
        <w:rPr>
          <w:lang w:val="en-US"/>
        </w:rPr>
        <w:t xml:space="preserve"> containment measures. Both countries</w:t>
      </w:r>
      <w:r w:rsidR="00C52308">
        <w:rPr>
          <w:lang w:val="en-US"/>
        </w:rPr>
        <w:t xml:space="preserve"> introduced strict measures</w:t>
      </w:r>
      <w:r w:rsidR="009F5B61">
        <w:rPr>
          <w:lang w:val="en-US"/>
        </w:rPr>
        <w:t xml:space="preserve"> however</w:t>
      </w:r>
      <w:r w:rsidR="00C52308">
        <w:rPr>
          <w:lang w:val="en-US"/>
        </w:rPr>
        <w:t xml:space="preserve"> after initial increase of cases. </w:t>
      </w:r>
      <w:r w:rsidR="00C52308">
        <w:rPr>
          <w:rStyle w:val="FootnoteReference"/>
          <w:rFonts w:ascii="Sylfaen" w:hAnsi="Sylfaen"/>
          <w:lang w:val="en-US"/>
        </w:rPr>
        <w:footnoteReference w:id="11"/>
      </w:r>
      <w:r w:rsidR="00C52308">
        <w:rPr>
          <w:lang w:val="en-US"/>
        </w:rPr>
        <w:t xml:space="preserve"> </w:t>
      </w:r>
      <w:r w:rsidR="00C52308">
        <w:rPr>
          <w:rStyle w:val="FootnoteReference"/>
          <w:rFonts w:ascii="Sylfaen" w:hAnsi="Sylfaen"/>
          <w:lang w:val="en-US"/>
        </w:rPr>
        <w:footnoteReference w:id="12"/>
      </w:r>
      <w:r w:rsidR="009F5B61">
        <w:rPr>
          <w:lang w:val="en-US"/>
        </w:rPr>
        <w:t xml:space="preserve"> E.g. Norway introduced national lockdown on March 12</w:t>
      </w:r>
      <w:r w:rsidR="006F1BF2">
        <w:rPr>
          <w:lang w:val="en-US"/>
        </w:rPr>
        <w:t xml:space="preserve"> (when the cases peaked to 400)</w:t>
      </w:r>
      <w:r w:rsidR="009F5B61">
        <w:rPr>
          <w:lang w:val="en-US"/>
        </w:rPr>
        <w:t xml:space="preserve">, and </w:t>
      </w:r>
      <w:r w:rsidR="006F1BF2">
        <w:rPr>
          <w:lang w:val="en-US"/>
        </w:rPr>
        <w:t>in Denmark from March 13 (when cases peaked to 516).</w:t>
      </w:r>
    </w:p>
    <w:p w14:paraId="4015FB01" w14:textId="7B6D000C" w:rsidR="001312E1" w:rsidRPr="001312E1" w:rsidRDefault="001312E1" w:rsidP="001312E1">
      <w:pPr>
        <w:pStyle w:val="Caption"/>
      </w:pPr>
      <w:r>
        <w:t xml:space="preserve">Figure </w:t>
      </w:r>
      <w:fldSimple w:instr=" SEQ Figure \* ARABIC ">
        <w:r>
          <w:rPr>
            <w:noProof/>
          </w:rPr>
          <w:t>3</w:t>
        </w:r>
      </w:fldSimple>
      <w:r>
        <w:rPr>
          <w:lang w:val="en-US"/>
        </w:rPr>
        <w:t xml:space="preserve">. </w:t>
      </w:r>
      <w:r w:rsidRPr="001312E1">
        <w:rPr>
          <w:lang w:val="en-US"/>
        </w:rPr>
        <w:t xml:space="preserve">COVID-19 total cumulative incidence/100,000 pop, total hospitalization highest rate and cumulative confirmed deaths / 1 mln population </w:t>
      </w:r>
    </w:p>
    <w:p w14:paraId="44B50E08" w14:textId="264B2038" w:rsidR="0012186B" w:rsidRDefault="0012186B" w:rsidP="001312E1">
      <w:pPr>
        <w:pStyle w:val="Caption"/>
        <w:rPr>
          <w:rFonts w:ascii="Sylfaen" w:hAnsi="Sylfaen"/>
          <w:lang w:val="en-US"/>
        </w:rPr>
      </w:pPr>
      <w:r>
        <w:rPr>
          <w:noProof/>
        </w:rPr>
        <w:drawing>
          <wp:inline distT="0" distB="0" distL="0" distR="0" wp14:anchorId="2A86F888" wp14:editId="7C5F883E">
            <wp:extent cx="5139690" cy="2315497"/>
            <wp:effectExtent l="0" t="0" r="3810" b="0"/>
            <wp:docPr id="9" name="Chart 9">
              <a:extLst xmlns:a="http://schemas.openxmlformats.org/drawingml/2006/main">
                <a:ext uri="{FF2B5EF4-FFF2-40B4-BE49-F238E27FC236}">
                  <a16:creationId xmlns:a16="http://schemas.microsoft.com/office/drawing/2014/main" id="{B3BA12EE-68A6-B441-959E-4D0A20914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D8D502" w14:textId="16F35EB0" w:rsidR="00FA432A" w:rsidRDefault="00FA432A" w:rsidP="003E7BBB">
      <w:pPr>
        <w:pStyle w:val="Heading3"/>
        <w:rPr>
          <w:lang w:val="en-US"/>
        </w:rPr>
      </w:pPr>
      <w:r>
        <w:rPr>
          <w:lang w:val="en-US"/>
        </w:rPr>
        <w:t>Belgium</w:t>
      </w:r>
    </w:p>
    <w:p w14:paraId="044FE778" w14:textId="22F62D4C" w:rsidR="00961B0C" w:rsidRDefault="00961B0C" w:rsidP="00961B0C">
      <w:pPr>
        <w:rPr>
          <w:shd w:val="clear" w:color="auto" w:fill="FFFFFF"/>
          <w:lang w:val="en-US"/>
        </w:rPr>
      </w:pPr>
      <w:r w:rsidRPr="00796502">
        <w:rPr>
          <w:shd w:val="clear" w:color="auto" w:fill="FFFFFF"/>
          <w:lang w:val="en-US"/>
        </w:rPr>
        <w:t>Belgium has one of the highest</w:t>
      </w:r>
      <w:r>
        <w:rPr>
          <w:shd w:val="clear" w:color="auto" w:fill="FFFFFF"/>
          <w:lang w:val="en-US"/>
        </w:rPr>
        <w:t xml:space="preserve"> COVID-19</w:t>
      </w:r>
      <w:r w:rsidRPr="00796502">
        <w:rPr>
          <w:shd w:val="clear" w:color="auto" w:fill="FFFFFF"/>
          <w:lang w:val="en-US"/>
        </w:rPr>
        <w:t xml:space="preserve"> incidence rates (238.7</w:t>
      </w:r>
      <w:r>
        <w:rPr>
          <w:shd w:val="clear" w:color="auto" w:fill="FFFFFF"/>
          <w:lang w:val="en-US"/>
        </w:rPr>
        <w:t xml:space="preserve"> per 100,000 population as of April 3rd) with a moderate testing rare (6,040 per 1 mln population).</w:t>
      </w:r>
      <w:r w:rsidR="00B4061D">
        <w:rPr>
          <w:shd w:val="clear" w:color="auto" w:fill="FFFFFF"/>
          <w:lang w:val="en-US"/>
        </w:rPr>
        <w:t xml:space="preserve"> Confirmed death rates is also highest in Europe after Italy and Spain (98.6 per 1 mln population).</w:t>
      </w:r>
    </w:p>
    <w:p w14:paraId="6AA9D614" w14:textId="67906CD9" w:rsidR="00FA432A" w:rsidRPr="00C4159A" w:rsidRDefault="00FA432A" w:rsidP="00796502">
      <w:pPr>
        <w:rPr>
          <w:shd w:val="clear" w:color="auto" w:fill="FFFFFF"/>
          <w:lang w:val="en-US"/>
        </w:rPr>
      </w:pPr>
      <w:r>
        <w:rPr>
          <w:shd w:val="clear" w:color="auto" w:fill="FFFFFF"/>
        </w:rPr>
        <w:t>As of the 3d of April, 5,552 patients were admitted to Belgian hospitals</w:t>
      </w:r>
      <w:r w:rsidR="00F055F3">
        <w:rPr>
          <w:shd w:val="clear" w:color="auto" w:fill="FFFFFF"/>
          <w:lang w:val="en-US"/>
        </w:rPr>
        <w:t xml:space="preserve"> (cumulative)</w:t>
      </w:r>
      <w:r w:rsidR="00C4159A">
        <w:rPr>
          <w:shd w:val="clear" w:color="auto" w:fill="FFFFFF"/>
          <w:lang w:val="en-US"/>
        </w:rPr>
        <w:t xml:space="preserve"> that constitutes 33.1% </w:t>
      </w:r>
      <w:r w:rsidR="00961B0C">
        <w:rPr>
          <w:shd w:val="clear" w:color="auto" w:fill="FFFFFF"/>
          <w:lang w:val="en-US"/>
        </w:rPr>
        <w:t>hospitalization (from all confirmed cases)</w:t>
      </w:r>
      <w:r w:rsidR="00C4159A">
        <w:rPr>
          <w:shd w:val="clear" w:color="auto" w:fill="FFFFFF"/>
          <w:lang w:val="en-US"/>
        </w:rPr>
        <w:t xml:space="preserve">. </w:t>
      </w:r>
      <w:r w:rsidR="00961B0C">
        <w:rPr>
          <w:shd w:val="clear" w:color="auto" w:fill="FFFFFF"/>
          <w:lang w:val="en-US"/>
        </w:rPr>
        <w:t>Currently only severe cases are hospitalized.</w:t>
      </w:r>
    </w:p>
    <w:p w14:paraId="478579A0" w14:textId="15E2FCC2" w:rsidR="00B04826" w:rsidRDefault="00893284" w:rsidP="00B04826">
      <w:pPr>
        <w:rPr>
          <w:shd w:val="clear" w:color="auto" w:fill="FFFFFF"/>
          <w:lang w:val="en-US"/>
        </w:rPr>
      </w:pPr>
      <w:r>
        <w:rPr>
          <w:shd w:val="clear" w:color="auto" w:fill="FFFFFF"/>
          <w:lang w:val="en-US"/>
        </w:rPr>
        <w:t xml:space="preserve">Belgium </w:t>
      </w:r>
      <w:r w:rsidR="00B04826">
        <w:rPr>
          <w:shd w:val="clear" w:color="auto" w:fill="FFFFFF"/>
          <w:lang w:val="en-US"/>
        </w:rPr>
        <w:t>had</w:t>
      </w:r>
      <w:r>
        <w:rPr>
          <w:shd w:val="clear" w:color="auto" w:fill="FFFFFF"/>
          <w:lang w:val="en-US"/>
        </w:rPr>
        <w:t xml:space="preserve"> high ICU capacity (</w:t>
      </w:r>
      <w:r w:rsidR="00B42B8E">
        <w:rPr>
          <w:shd w:val="clear" w:color="auto" w:fill="FFFFFF"/>
          <w:lang w:val="en-US"/>
        </w:rPr>
        <w:t>26.9</w:t>
      </w:r>
      <w:r>
        <w:rPr>
          <w:shd w:val="clear" w:color="auto" w:fill="FFFFFF"/>
          <w:lang w:val="en-US"/>
        </w:rPr>
        <w:t xml:space="preserve"> per 100,000</w:t>
      </w:r>
      <w:r w:rsidR="00B04826">
        <w:rPr>
          <w:shd w:val="clear" w:color="auto" w:fill="FFFFFF"/>
          <w:lang w:val="en-US"/>
        </w:rPr>
        <w:t xml:space="preserve"> or </w:t>
      </w:r>
      <w:r w:rsidR="00B42B8E">
        <w:rPr>
          <w:shd w:val="clear" w:color="auto" w:fill="FFFFFF"/>
          <w:lang w:val="en-US"/>
        </w:rPr>
        <w:t>1891</w:t>
      </w:r>
      <w:r>
        <w:rPr>
          <w:shd w:val="clear" w:color="auto" w:fill="FFFFFF"/>
          <w:lang w:val="en-US"/>
        </w:rPr>
        <w:t xml:space="preserve"> ICU beds in total</w:t>
      </w:r>
      <w:r w:rsidR="00B04826">
        <w:rPr>
          <w:shd w:val="clear" w:color="auto" w:fill="FFFFFF"/>
          <w:lang w:val="en-US"/>
        </w:rPr>
        <w:t>) before the COVID-19 crises</w:t>
      </w:r>
      <w:r w:rsidR="00B4061D">
        <w:rPr>
          <w:shd w:val="clear" w:color="auto" w:fill="FFFFFF"/>
          <w:lang w:val="en-US"/>
        </w:rPr>
        <w:t xml:space="preserve"> with relatively high nurse supply.</w:t>
      </w:r>
      <w:r w:rsidR="00B04826">
        <w:rPr>
          <w:shd w:val="clear" w:color="auto" w:fill="FFFFFF"/>
          <w:lang w:val="en-US"/>
        </w:rPr>
        <w:t xml:space="preserve"> Additional </w:t>
      </w:r>
      <w:r w:rsidR="00B04826" w:rsidRPr="00961B0C">
        <w:rPr>
          <w:shd w:val="clear" w:color="auto" w:fill="FFFFFF"/>
          <w:lang w:val="en-US"/>
        </w:rPr>
        <w:t>759 intensive care beds have been created</w:t>
      </w:r>
      <w:r w:rsidR="00B04826">
        <w:rPr>
          <w:shd w:val="clear" w:color="auto" w:fill="FFFFFF"/>
          <w:lang w:val="en-US"/>
        </w:rPr>
        <w:t xml:space="preserve"> to surge capacity, summing up to </w:t>
      </w:r>
      <w:r w:rsidR="00B42B8E">
        <w:rPr>
          <w:shd w:val="clear" w:color="auto" w:fill="FFFFFF"/>
          <w:lang w:val="en-US"/>
        </w:rPr>
        <w:t>2650</w:t>
      </w:r>
      <w:r w:rsidR="00B04826">
        <w:rPr>
          <w:shd w:val="clear" w:color="auto" w:fill="FFFFFF"/>
          <w:lang w:val="en-US"/>
        </w:rPr>
        <w:t xml:space="preserve"> ICU beds</w:t>
      </w:r>
      <w:r w:rsidR="00B4061D">
        <w:rPr>
          <w:shd w:val="clear" w:color="auto" w:fill="FFFFFF"/>
          <w:lang w:val="en-US"/>
        </w:rPr>
        <w:t xml:space="preserve"> (37 per 100,000 population)</w:t>
      </w:r>
      <w:r w:rsidR="00B04826">
        <w:rPr>
          <w:shd w:val="clear" w:color="auto" w:fill="FFFFFF"/>
          <w:lang w:val="en-US"/>
        </w:rPr>
        <w:t>.</w:t>
      </w:r>
      <w:r w:rsidR="00B42B8E" w:rsidRPr="00B42B8E">
        <w:rPr>
          <w:rStyle w:val="FootnoteReference"/>
          <w:shd w:val="clear" w:color="auto" w:fill="FFFFFF"/>
          <w:lang w:val="en-US"/>
        </w:rPr>
        <w:t xml:space="preserve"> </w:t>
      </w:r>
      <w:r w:rsidR="00B42B8E">
        <w:rPr>
          <w:rStyle w:val="FootnoteReference"/>
          <w:shd w:val="clear" w:color="auto" w:fill="FFFFFF"/>
          <w:lang w:val="en-US"/>
        </w:rPr>
        <w:footnoteReference w:id="13"/>
      </w:r>
    </w:p>
    <w:p w14:paraId="2B846CF6" w14:textId="244D8A8E" w:rsidR="00796502" w:rsidRPr="00B42B8E" w:rsidRDefault="00B4061D" w:rsidP="00B04826">
      <w:pPr>
        <w:rPr>
          <w:shd w:val="clear" w:color="auto" w:fill="FFFFFF"/>
          <w:lang w:val="en-US"/>
        </w:rPr>
      </w:pPr>
      <w:r>
        <w:rPr>
          <w:shd w:val="clear" w:color="auto" w:fill="FFFFFF"/>
          <w:lang w:val="en-US"/>
        </w:rPr>
        <w:t xml:space="preserve">However, despite these capacities the Belgian system may not cope with the crises. </w:t>
      </w:r>
      <w:r w:rsidR="00796502" w:rsidRPr="00961B0C">
        <w:rPr>
          <w:shd w:val="clear" w:color="auto" w:fill="FFFFFF"/>
          <w:lang w:val="en-US"/>
        </w:rPr>
        <w:t xml:space="preserve">The modeling </w:t>
      </w:r>
      <w:r w:rsidR="00B04826">
        <w:rPr>
          <w:shd w:val="clear" w:color="auto" w:fill="FFFFFF"/>
          <w:lang w:val="en-US"/>
        </w:rPr>
        <w:t xml:space="preserve">exercise </w:t>
      </w:r>
      <w:r w:rsidR="00961B0C">
        <w:rPr>
          <w:shd w:val="clear" w:color="auto" w:fill="FFFFFF"/>
          <w:lang w:val="en-US"/>
        </w:rPr>
        <w:t xml:space="preserve">was </w:t>
      </w:r>
      <w:r w:rsidR="00796502" w:rsidRPr="00961B0C">
        <w:rPr>
          <w:shd w:val="clear" w:color="auto" w:fill="FFFFFF"/>
          <w:lang w:val="en-US"/>
        </w:rPr>
        <w:t xml:space="preserve">performed on March 29 </w:t>
      </w:r>
      <w:r w:rsidR="00C4159A" w:rsidRPr="00961B0C">
        <w:rPr>
          <w:shd w:val="clear" w:color="auto" w:fill="FFFFFF"/>
          <w:lang w:val="en-US"/>
        </w:rPr>
        <w:t>with the following assumptions: more than 80% of Belgians have stayed within their own commune (postal code) for the last two weeks, and that individual displacements of over 40 km have been reduced by 90%</w:t>
      </w:r>
      <w:r w:rsidR="00B04826">
        <w:rPr>
          <w:shd w:val="clear" w:color="auto" w:fill="FFFFFF"/>
          <w:lang w:val="en-US"/>
        </w:rPr>
        <w:t xml:space="preserve"> (current practice)</w:t>
      </w:r>
      <w:r w:rsidR="00C4159A" w:rsidRPr="00961B0C">
        <w:rPr>
          <w:shd w:val="clear" w:color="auto" w:fill="FFFFFF"/>
          <w:lang w:val="en-US"/>
        </w:rPr>
        <w:t xml:space="preserve">, around 5% of infected cases </w:t>
      </w:r>
      <w:r w:rsidR="00B42B8E">
        <w:rPr>
          <w:shd w:val="clear" w:color="auto" w:fill="FFFFFF"/>
          <w:lang w:val="en-US"/>
        </w:rPr>
        <w:t xml:space="preserve">(new) </w:t>
      </w:r>
      <w:r w:rsidR="00B04826">
        <w:rPr>
          <w:shd w:val="clear" w:color="auto" w:fill="FFFFFF"/>
          <w:lang w:val="en-US"/>
        </w:rPr>
        <w:t>will be</w:t>
      </w:r>
      <w:r w:rsidR="00C4159A" w:rsidRPr="00961B0C">
        <w:rPr>
          <w:shd w:val="clear" w:color="auto" w:fill="FFFFFF"/>
          <w:lang w:val="en-US"/>
        </w:rPr>
        <w:t xml:space="preserve"> hospitalized, </w:t>
      </w:r>
      <w:r w:rsidR="00961B0C" w:rsidRPr="00961B0C">
        <w:rPr>
          <w:shd w:val="clear" w:color="auto" w:fill="FFFFFF"/>
          <w:lang w:val="en-US"/>
        </w:rPr>
        <w:t>and 15% or 20% of hospitalized patients require intensive care</w:t>
      </w:r>
      <w:r w:rsidR="00961B0C">
        <w:rPr>
          <w:shd w:val="clear" w:color="auto" w:fill="FFFFFF"/>
          <w:lang w:val="en-US"/>
        </w:rPr>
        <w:t xml:space="preserve">, </w:t>
      </w:r>
      <w:r w:rsidR="00961B0C" w:rsidRPr="00961B0C">
        <w:rPr>
          <w:shd w:val="clear" w:color="auto" w:fill="FFFFFF"/>
          <w:lang w:val="en-US"/>
        </w:rPr>
        <w:t>mortality of hospitalized</w:t>
      </w:r>
      <w:r w:rsidR="00961B0C">
        <w:rPr>
          <w:shd w:val="clear" w:color="auto" w:fill="FFFFFF"/>
          <w:lang w:val="en-US"/>
        </w:rPr>
        <w:t xml:space="preserve"> </w:t>
      </w:r>
      <w:r w:rsidR="00B04826">
        <w:rPr>
          <w:shd w:val="clear" w:color="auto" w:fill="FFFFFF"/>
          <w:lang w:val="en-US"/>
        </w:rPr>
        <w:t>cases</w:t>
      </w:r>
      <w:r w:rsidR="00961B0C" w:rsidRPr="00961B0C">
        <w:rPr>
          <w:shd w:val="clear" w:color="auto" w:fill="FFFFFF"/>
          <w:lang w:val="en-US"/>
        </w:rPr>
        <w:t xml:space="preserve"> </w:t>
      </w:r>
      <w:r w:rsidR="00B04826">
        <w:rPr>
          <w:shd w:val="clear" w:color="auto" w:fill="FFFFFF"/>
          <w:lang w:val="en-US"/>
        </w:rPr>
        <w:t xml:space="preserve">is </w:t>
      </w:r>
      <w:r w:rsidR="00961B0C" w:rsidRPr="00961B0C">
        <w:rPr>
          <w:shd w:val="clear" w:color="auto" w:fill="FFFFFF"/>
          <w:lang w:val="en-US"/>
        </w:rPr>
        <w:t>15%</w:t>
      </w:r>
      <w:r w:rsidR="00961B0C">
        <w:rPr>
          <w:shd w:val="clear" w:color="auto" w:fill="FFFFFF"/>
          <w:lang w:val="en-US"/>
        </w:rPr>
        <w:t xml:space="preserve"> and</w:t>
      </w:r>
      <w:r w:rsidR="00961B0C" w:rsidRPr="00961B0C">
        <w:rPr>
          <w:shd w:val="clear" w:color="auto" w:fill="FFFFFF"/>
          <w:lang w:val="en-US"/>
        </w:rPr>
        <w:t xml:space="preserve"> 5 days from hospitalization to death</w:t>
      </w:r>
      <w:r w:rsidR="00961B0C">
        <w:rPr>
          <w:shd w:val="clear" w:color="auto" w:fill="FFFFFF"/>
          <w:lang w:val="en-US"/>
        </w:rPr>
        <w:t>.</w:t>
      </w:r>
      <w:r w:rsidR="00B04826">
        <w:rPr>
          <w:shd w:val="clear" w:color="auto" w:fill="FFFFFF"/>
          <w:lang w:val="en-US"/>
        </w:rPr>
        <w:t xml:space="preserve"> </w:t>
      </w:r>
      <w:r w:rsidR="00961B0C" w:rsidRPr="00B42B8E">
        <w:rPr>
          <w:shd w:val="clear" w:color="auto" w:fill="FFFFFF"/>
          <w:lang w:val="en-US"/>
        </w:rPr>
        <w:t>The modeling p</w:t>
      </w:r>
      <w:r w:rsidR="00796502" w:rsidRPr="00B42B8E">
        <w:rPr>
          <w:shd w:val="clear" w:color="auto" w:fill="FFFFFF"/>
          <w:lang w:val="en-US"/>
        </w:rPr>
        <w:t>redicted peak in number of ICU patients is expected around on April 15th, with the number of ICU patients exceeding the capacity of the Belgian healthcare system of 2650 beds.</w:t>
      </w:r>
      <w:r w:rsidR="00B42B8E">
        <w:rPr>
          <w:rStyle w:val="FootnoteReference"/>
          <w:shd w:val="clear" w:color="auto" w:fill="FFFFFF"/>
          <w:lang w:val="en-US"/>
        </w:rPr>
        <w:footnoteReference w:id="14"/>
      </w:r>
      <w:r w:rsidR="00796502" w:rsidRPr="00B42B8E">
        <w:rPr>
          <w:shd w:val="clear" w:color="auto" w:fill="FFFFFF"/>
          <w:lang w:val="en-US"/>
        </w:rPr>
        <w:t xml:space="preserve"> </w:t>
      </w:r>
    </w:p>
    <w:p w14:paraId="1A73298A" w14:textId="3EA4DBE3" w:rsidR="00FA432A" w:rsidRDefault="00873ADA" w:rsidP="00FA432A">
      <w:pPr>
        <w:rPr>
          <w:shd w:val="clear" w:color="auto" w:fill="FFFFFF"/>
          <w:lang w:val="en-US"/>
        </w:rPr>
      </w:pPr>
      <w:r w:rsidRPr="00F055F3">
        <w:rPr>
          <w:rFonts w:ascii="Sylfaen" w:hAnsi="Sylfaen"/>
          <w:noProof/>
        </w:rPr>
        <w:lastRenderedPageBreak/>
        <w:drawing>
          <wp:anchor distT="0" distB="0" distL="114300" distR="114300" simplePos="0" relativeHeight="251658240" behindDoc="1" locked="0" layoutInCell="1" allowOverlap="1" wp14:anchorId="5AA990B7" wp14:editId="13C14DB9">
            <wp:simplePos x="0" y="0"/>
            <wp:positionH relativeFrom="column">
              <wp:posOffset>2821305</wp:posOffset>
            </wp:positionH>
            <wp:positionV relativeFrom="paragraph">
              <wp:posOffset>306070</wp:posOffset>
            </wp:positionV>
            <wp:extent cx="2771140" cy="2002790"/>
            <wp:effectExtent l="0" t="0" r="0" b="3810"/>
            <wp:wrapTight wrapText="bothSides">
              <wp:wrapPolygon edited="0">
                <wp:start x="0" y="0"/>
                <wp:lineTo x="0" y="21504"/>
                <wp:lineTo x="21481" y="21504"/>
                <wp:lineTo x="21481" y="0"/>
                <wp:lineTo x="0" y="0"/>
              </wp:wrapPolygon>
            </wp:wrapTight>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140" cy="2002790"/>
                    </a:xfrm>
                    <a:prstGeom prst="rect">
                      <a:avLst/>
                    </a:prstGeom>
                  </pic:spPr>
                </pic:pic>
              </a:graphicData>
            </a:graphic>
            <wp14:sizeRelH relativeFrom="page">
              <wp14:pctWidth>0</wp14:pctWidth>
            </wp14:sizeRelH>
            <wp14:sizeRelV relativeFrom="page">
              <wp14:pctHeight>0</wp14:pctHeight>
            </wp14:sizeRelV>
          </wp:anchor>
        </w:drawing>
      </w:r>
      <w:r w:rsidRPr="00FA432A">
        <w:rPr>
          <w:rFonts w:ascii="Sylfaen" w:hAnsi="Sylfaen"/>
          <w:noProof/>
        </w:rPr>
        <w:drawing>
          <wp:anchor distT="0" distB="0" distL="114300" distR="114300" simplePos="0" relativeHeight="251668480" behindDoc="1" locked="0" layoutInCell="1" allowOverlap="1" wp14:anchorId="61B789FA" wp14:editId="1F80E40B">
            <wp:simplePos x="0" y="0"/>
            <wp:positionH relativeFrom="column">
              <wp:posOffset>22266</wp:posOffset>
            </wp:positionH>
            <wp:positionV relativeFrom="paragraph">
              <wp:posOffset>306316</wp:posOffset>
            </wp:positionV>
            <wp:extent cx="2771775" cy="2033270"/>
            <wp:effectExtent l="0" t="0" r="0" b="0"/>
            <wp:wrapTight wrapText="bothSides">
              <wp:wrapPolygon edited="0">
                <wp:start x="0" y="0"/>
                <wp:lineTo x="0" y="21452"/>
                <wp:lineTo x="21476" y="21452"/>
                <wp:lineTo x="21476" y="0"/>
                <wp:lineTo x="0" y="0"/>
              </wp:wrapPolygon>
            </wp:wrapTight>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2033270"/>
                    </a:xfrm>
                    <a:prstGeom prst="rect">
                      <a:avLst/>
                    </a:prstGeom>
                  </pic:spPr>
                </pic:pic>
              </a:graphicData>
            </a:graphic>
            <wp14:sizeRelH relativeFrom="page">
              <wp14:pctWidth>0</wp14:pctWidth>
            </wp14:sizeRelH>
            <wp14:sizeRelV relativeFrom="page">
              <wp14:pctHeight>0</wp14:pctHeight>
            </wp14:sizeRelV>
          </wp:anchor>
        </w:drawing>
      </w:r>
      <w:r w:rsidR="00796502">
        <w:rPr>
          <w:shd w:val="clear" w:color="auto" w:fill="FFFFFF"/>
          <w:lang w:val="en-US"/>
        </w:rPr>
        <w:t xml:space="preserve"> </w:t>
      </w:r>
    </w:p>
    <w:p w14:paraId="1AEBD3C7" w14:textId="0D63D435" w:rsidR="00873ADA" w:rsidRDefault="00873ADA" w:rsidP="00FA432A"/>
    <w:p w14:paraId="0AADBBDD" w14:textId="77777777" w:rsidR="00873ADA" w:rsidRDefault="00873ADA" w:rsidP="003E7BBB">
      <w:pPr>
        <w:pStyle w:val="Heading3"/>
        <w:rPr>
          <w:lang w:val="en-US"/>
        </w:rPr>
      </w:pPr>
    </w:p>
    <w:p w14:paraId="5340B9F4" w14:textId="7EEDFA71" w:rsidR="00B357C6" w:rsidRDefault="00B357C6" w:rsidP="003E7BBB">
      <w:pPr>
        <w:pStyle w:val="Heading3"/>
        <w:rPr>
          <w:lang w:val="en-US"/>
        </w:rPr>
      </w:pPr>
      <w:r>
        <w:rPr>
          <w:lang w:val="en-US"/>
        </w:rPr>
        <w:t>Netherlands</w:t>
      </w:r>
    </w:p>
    <w:p w14:paraId="5A0067C0" w14:textId="33327B74" w:rsidR="00B4061D" w:rsidRPr="00B4061D" w:rsidRDefault="00B4061D" w:rsidP="00B357C6">
      <w:pPr>
        <w:rPr>
          <w:shd w:val="clear" w:color="auto" w:fill="FFFFFF"/>
          <w:lang w:val="en-US"/>
        </w:rPr>
      </w:pPr>
      <w:r>
        <w:rPr>
          <w:shd w:val="clear" w:color="auto" w:fill="FFFFFF"/>
          <w:lang w:val="en-US"/>
        </w:rPr>
        <w:t>Netherlands epidemic (as per confirmed cases) is moderate in the Europe (91.2 per 100,000 population), however confirmed death rate per capita is forth highest after Italy, Spain</w:t>
      </w:r>
      <w:r w:rsidR="000B46DF">
        <w:rPr>
          <w:shd w:val="clear" w:color="auto" w:fill="FFFFFF"/>
          <w:lang w:val="en-US"/>
        </w:rPr>
        <w:t xml:space="preserve"> and Belgium (86.6 per 1 mln population). As the testing rate is one of the lowest among other European </w:t>
      </w:r>
      <w:r w:rsidR="00FB3DC6">
        <w:rPr>
          <w:shd w:val="clear" w:color="auto" w:fill="FFFFFF"/>
          <w:lang w:val="en-US"/>
        </w:rPr>
        <w:t>countries,</w:t>
      </w:r>
      <w:r w:rsidR="000B46DF">
        <w:rPr>
          <w:shd w:val="clear" w:color="auto" w:fill="FFFFFF"/>
          <w:lang w:val="en-US"/>
        </w:rPr>
        <w:t xml:space="preserve"> we can assume that real infection spread is much higher.  </w:t>
      </w:r>
    </w:p>
    <w:p w14:paraId="4B4810D2" w14:textId="5A9907C6" w:rsidR="00B357C6" w:rsidRDefault="00B357C6" w:rsidP="00B357C6">
      <w:pPr>
        <w:rPr>
          <w:shd w:val="clear" w:color="auto" w:fill="FFFFFF"/>
          <w:lang w:val="en-US"/>
        </w:rPr>
      </w:pPr>
      <w:r>
        <w:rPr>
          <w:shd w:val="clear" w:color="auto" w:fill="FFFFFF"/>
        </w:rPr>
        <w:t>As of the 3d of April, 6,286 patients infected by the 2019n-CoV virus were admitted to Dutch hospitals</w:t>
      </w:r>
      <w:r w:rsidR="00492DC4">
        <w:rPr>
          <w:shd w:val="clear" w:color="auto" w:fill="FFFFFF"/>
          <w:lang w:val="en-US"/>
        </w:rPr>
        <w:t xml:space="preserve"> which is 40% of all confirmed cases. </w:t>
      </w:r>
    </w:p>
    <w:p w14:paraId="405B0996" w14:textId="7DCF9C57" w:rsidR="00492DC4" w:rsidRPr="00492DC4" w:rsidRDefault="00492DC4" w:rsidP="00492DC4">
      <w:pPr>
        <w:rPr>
          <w:shd w:val="clear" w:color="auto" w:fill="FFFFFF"/>
          <w:lang w:val="en-US"/>
        </w:rPr>
      </w:pPr>
      <w:r w:rsidRPr="00492DC4">
        <w:rPr>
          <w:shd w:val="clear" w:color="auto" w:fill="FFFFFF"/>
          <w:lang w:val="en-US"/>
        </w:rPr>
        <w:t>To date, the ICUs have treated 1,817 Covid-19 patients</w:t>
      </w:r>
      <w:r>
        <w:rPr>
          <w:shd w:val="clear" w:color="auto" w:fill="FFFFFF"/>
          <w:lang w:val="en-US"/>
        </w:rPr>
        <w:t xml:space="preserve"> (29% of hospitalized)</w:t>
      </w:r>
      <w:r w:rsidRPr="00492DC4">
        <w:rPr>
          <w:shd w:val="clear" w:color="auto" w:fill="FFFFFF"/>
          <w:lang w:val="en-US"/>
        </w:rPr>
        <w:t xml:space="preserve"> of which 272 have died</w:t>
      </w:r>
      <w:r>
        <w:rPr>
          <w:shd w:val="clear" w:color="auto" w:fill="FFFFFF"/>
          <w:lang w:val="en-US"/>
        </w:rPr>
        <w:t xml:space="preserve"> (4.3% of hospitalized and 15% of ICU admissions)</w:t>
      </w:r>
      <w:r w:rsidRPr="00492DC4">
        <w:rPr>
          <w:shd w:val="clear" w:color="auto" w:fill="FFFFFF"/>
          <w:lang w:val="en-US"/>
        </w:rPr>
        <w:t>. </w:t>
      </w:r>
      <w:r>
        <w:rPr>
          <w:rStyle w:val="FootnoteReference"/>
          <w:shd w:val="clear" w:color="auto" w:fill="FFFFFF"/>
          <w:lang w:val="en-US"/>
        </w:rPr>
        <w:footnoteReference w:id="15"/>
      </w:r>
    </w:p>
    <w:p w14:paraId="0FCD106B" w14:textId="42641134" w:rsidR="00492DC4" w:rsidRPr="00492DC4" w:rsidRDefault="00492DC4" w:rsidP="00B357C6">
      <w:pPr>
        <w:rPr>
          <w:shd w:val="clear" w:color="auto" w:fill="FFFFFF"/>
          <w:lang w:val="en-US"/>
        </w:rPr>
      </w:pPr>
    </w:p>
    <w:p w14:paraId="2628DDE8" w14:textId="671FBB8B" w:rsidR="000B46DF" w:rsidRDefault="00492DC4" w:rsidP="00B357C6">
      <w:pPr>
        <w:rPr>
          <w:shd w:val="clear" w:color="auto" w:fill="FFFFFF"/>
        </w:rPr>
      </w:pPr>
      <w:r w:rsidRPr="00B357C6">
        <w:rPr>
          <w:rFonts w:ascii="Sylfaen" w:hAnsi="Sylfaen"/>
          <w:noProof/>
        </w:rPr>
        <w:drawing>
          <wp:anchor distT="0" distB="0" distL="114300" distR="114300" simplePos="0" relativeHeight="251661312" behindDoc="1" locked="0" layoutInCell="1" allowOverlap="1" wp14:anchorId="65CF6B35" wp14:editId="5EDF9D87">
            <wp:simplePos x="0" y="0"/>
            <wp:positionH relativeFrom="column">
              <wp:posOffset>2901950</wp:posOffset>
            </wp:positionH>
            <wp:positionV relativeFrom="paragraph">
              <wp:posOffset>167415</wp:posOffset>
            </wp:positionV>
            <wp:extent cx="2907030" cy="2150110"/>
            <wp:effectExtent l="0" t="0" r="1270" b="0"/>
            <wp:wrapTight wrapText="bothSides">
              <wp:wrapPolygon edited="0">
                <wp:start x="0" y="0"/>
                <wp:lineTo x="0" y="21434"/>
                <wp:lineTo x="21515" y="21434"/>
                <wp:lineTo x="21515" y="0"/>
                <wp:lineTo x="0" y="0"/>
              </wp:wrapPolygon>
            </wp:wrapTight>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7030" cy="2150110"/>
                    </a:xfrm>
                    <a:prstGeom prst="rect">
                      <a:avLst/>
                    </a:prstGeom>
                  </pic:spPr>
                </pic:pic>
              </a:graphicData>
            </a:graphic>
            <wp14:sizeRelH relativeFrom="page">
              <wp14:pctWidth>0</wp14:pctWidth>
            </wp14:sizeRelH>
            <wp14:sizeRelV relativeFrom="page">
              <wp14:pctHeight>0</wp14:pctHeight>
            </wp14:sizeRelV>
          </wp:anchor>
        </w:drawing>
      </w:r>
      <w:r w:rsidRPr="00B357C6">
        <w:rPr>
          <w:rFonts w:ascii="Sylfaen" w:hAnsi="Sylfaen"/>
          <w:noProof/>
        </w:rPr>
        <w:drawing>
          <wp:anchor distT="0" distB="0" distL="114300" distR="114300" simplePos="0" relativeHeight="251660288" behindDoc="1" locked="0" layoutInCell="1" allowOverlap="1" wp14:anchorId="31BA2B92" wp14:editId="57C46D99">
            <wp:simplePos x="0" y="0"/>
            <wp:positionH relativeFrom="column">
              <wp:posOffset>-107950</wp:posOffset>
            </wp:positionH>
            <wp:positionV relativeFrom="paragraph">
              <wp:posOffset>185276</wp:posOffset>
            </wp:positionV>
            <wp:extent cx="2917190" cy="2116455"/>
            <wp:effectExtent l="0" t="0" r="3810" b="4445"/>
            <wp:wrapTight wrapText="bothSides">
              <wp:wrapPolygon edited="0">
                <wp:start x="0" y="0"/>
                <wp:lineTo x="0" y="21516"/>
                <wp:lineTo x="21534" y="21516"/>
                <wp:lineTo x="21534" y="0"/>
                <wp:lineTo x="0" y="0"/>
              </wp:wrapPolygon>
            </wp:wrapTight>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7190" cy="2116455"/>
                    </a:xfrm>
                    <a:prstGeom prst="rect">
                      <a:avLst/>
                    </a:prstGeom>
                  </pic:spPr>
                </pic:pic>
              </a:graphicData>
            </a:graphic>
            <wp14:sizeRelH relativeFrom="page">
              <wp14:pctWidth>0</wp14:pctWidth>
            </wp14:sizeRelH>
            <wp14:sizeRelV relativeFrom="page">
              <wp14:pctHeight>0</wp14:pctHeight>
            </wp14:sizeRelV>
          </wp:anchor>
        </w:drawing>
      </w:r>
    </w:p>
    <w:p w14:paraId="7B6BA1C9" w14:textId="77777777" w:rsidR="00B4061D" w:rsidRDefault="00B4061D" w:rsidP="00B357C6">
      <w:pPr>
        <w:rPr>
          <w:shd w:val="clear" w:color="auto" w:fill="FFFFFF"/>
        </w:rPr>
      </w:pPr>
    </w:p>
    <w:p w14:paraId="7090F1CF" w14:textId="55FFA507" w:rsidR="00B357C6" w:rsidRPr="00B357C6" w:rsidRDefault="00B357C6" w:rsidP="00B357C6"/>
    <w:p w14:paraId="264B876D" w14:textId="77777777" w:rsidR="00873ADA" w:rsidRDefault="00873ADA">
      <w:pPr>
        <w:spacing w:after="0"/>
        <w:rPr>
          <w:rFonts w:eastAsiaTheme="majorEastAsia" w:cstheme="majorBidi"/>
          <w:b/>
          <w:color w:val="2F5496" w:themeColor="accent1" w:themeShade="BF"/>
          <w:sz w:val="26"/>
          <w:szCs w:val="26"/>
          <w:lang w:val="en-US"/>
        </w:rPr>
      </w:pPr>
      <w:r>
        <w:rPr>
          <w:lang w:val="en-US"/>
        </w:rPr>
        <w:br w:type="page"/>
      </w:r>
    </w:p>
    <w:p w14:paraId="053DC427" w14:textId="31E5C090" w:rsidR="00F055F3" w:rsidRDefault="001312E1" w:rsidP="001312E1">
      <w:pPr>
        <w:pStyle w:val="Heading2"/>
        <w:rPr>
          <w:lang w:val="en-US"/>
        </w:rPr>
      </w:pPr>
      <w:r>
        <w:rPr>
          <w:lang w:val="en-US"/>
        </w:rPr>
        <w:lastRenderedPageBreak/>
        <w:t>Additional figures</w:t>
      </w:r>
    </w:p>
    <w:p w14:paraId="38943AB5" w14:textId="221E00E9" w:rsidR="00873ADA" w:rsidRPr="00873ADA" w:rsidRDefault="00873ADA" w:rsidP="00873ADA">
      <w:pPr>
        <w:rPr>
          <w:i/>
          <w:iCs/>
          <w:color w:val="44546A" w:themeColor="text2"/>
          <w:sz w:val="18"/>
          <w:szCs w:val="18"/>
          <w:lang w:val="en-US"/>
        </w:rPr>
      </w:pPr>
      <w:bookmarkStart w:id="1" w:name="_Ref37011464"/>
      <w:r w:rsidRPr="001312E1">
        <w:rPr>
          <w:i/>
          <w:iCs/>
          <w:color w:val="44546A" w:themeColor="text2"/>
          <w:sz w:val="18"/>
          <w:szCs w:val="18"/>
        </w:rPr>
        <w:t xml:space="preserve">Figure </w:t>
      </w:r>
      <w:r w:rsidRPr="001312E1">
        <w:rPr>
          <w:i/>
          <w:iCs/>
          <w:color w:val="44546A" w:themeColor="text2"/>
          <w:sz w:val="18"/>
          <w:szCs w:val="18"/>
        </w:rPr>
        <w:fldChar w:fldCharType="begin"/>
      </w:r>
      <w:r w:rsidRPr="001312E1">
        <w:rPr>
          <w:i/>
          <w:iCs/>
          <w:color w:val="44546A" w:themeColor="text2"/>
          <w:sz w:val="18"/>
          <w:szCs w:val="18"/>
        </w:rPr>
        <w:instrText xml:space="preserve"> SEQ Figure \* ARABIC </w:instrText>
      </w:r>
      <w:r w:rsidRPr="001312E1">
        <w:rPr>
          <w:i/>
          <w:iCs/>
          <w:color w:val="44546A" w:themeColor="text2"/>
          <w:sz w:val="18"/>
          <w:szCs w:val="18"/>
        </w:rPr>
        <w:fldChar w:fldCharType="separate"/>
      </w:r>
      <w:r w:rsidR="00FB3DC6">
        <w:rPr>
          <w:i/>
          <w:iCs/>
          <w:noProof/>
          <w:color w:val="44546A" w:themeColor="text2"/>
          <w:sz w:val="18"/>
          <w:szCs w:val="18"/>
        </w:rPr>
        <w:t>4</w:t>
      </w:r>
      <w:r w:rsidRPr="001312E1">
        <w:rPr>
          <w:i/>
          <w:iCs/>
          <w:color w:val="44546A" w:themeColor="text2"/>
          <w:sz w:val="18"/>
          <w:szCs w:val="18"/>
        </w:rPr>
        <w:fldChar w:fldCharType="end"/>
      </w:r>
      <w:bookmarkEnd w:id="1"/>
      <w:r w:rsidRPr="001312E1">
        <w:rPr>
          <w:i/>
          <w:iCs/>
          <w:color w:val="44546A" w:themeColor="text2"/>
          <w:sz w:val="18"/>
          <w:szCs w:val="18"/>
        </w:rPr>
        <w:t>. COV</w:t>
      </w:r>
      <w:r>
        <w:rPr>
          <w:i/>
          <w:iCs/>
          <w:color w:val="44546A" w:themeColor="text2"/>
          <w:sz w:val="18"/>
          <w:szCs w:val="18"/>
          <w:lang w:val="en-US"/>
        </w:rPr>
        <w:t>ID-19 cumulative incidence per 100,000 population and testing rate per 1 mln population in selected countries as of April 3 2020</w:t>
      </w:r>
      <w:r w:rsidR="00D27F9A">
        <w:rPr>
          <w:i/>
          <w:iCs/>
          <w:color w:val="44546A" w:themeColor="text2"/>
          <w:sz w:val="18"/>
          <w:szCs w:val="18"/>
          <w:lang w:val="en-US"/>
        </w:rPr>
        <w:t xml:space="preserve"> </w:t>
      </w:r>
      <w:r w:rsidR="00D27F9A">
        <w:rPr>
          <w:rStyle w:val="FootnoteReference"/>
          <w:i/>
          <w:iCs/>
          <w:color w:val="44546A" w:themeColor="text2"/>
          <w:sz w:val="18"/>
          <w:szCs w:val="18"/>
          <w:lang w:val="en-US"/>
        </w:rPr>
        <w:footnoteReference w:id="16"/>
      </w:r>
      <w:r w:rsidR="00D27F9A">
        <w:rPr>
          <w:i/>
          <w:iCs/>
          <w:color w:val="44546A" w:themeColor="text2"/>
          <w:sz w:val="18"/>
          <w:szCs w:val="18"/>
          <w:vertAlign w:val="superscript"/>
          <w:lang w:val="en-US"/>
        </w:rPr>
        <w:t>,</w:t>
      </w:r>
      <w:r w:rsidR="00D27F9A">
        <w:rPr>
          <w:rStyle w:val="FootnoteReference"/>
          <w:i/>
          <w:iCs/>
          <w:color w:val="44546A" w:themeColor="text2"/>
          <w:sz w:val="18"/>
          <w:szCs w:val="18"/>
          <w:lang w:val="en-US"/>
        </w:rPr>
        <w:footnoteReference w:id="17"/>
      </w:r>
    </w:p>
    <w:p w14:paraId="576E2BD4" w14:textId="75E896AB" w:rsidR="00873ADA" w:rsidRDefault="00873ADA" w:rsidP="001312E1">
      <w:pPr>
        <w:rPr>
          <w:i/>
          <w:iCs/>
          <w:color w:val="44546A" w:themeColor="text2"/>
          <w:sz w:val="18"/>
          <w:szCs w:val="18"/>
          <w:lang w:val="en-US"/>
        </w:rPr>
      </w:pPr>
      <w:r>
        <w:rPr>
          <w:noProof/>
        </w:rPr>
        <w:drawing>
          <wp:inline distT="0" distB="0" distL="0" distR="0" wp14:anchorId="76E91208" wp14:editId="25276CAA">
            <wp:extent cx="5727700" cy="3045542"/>
            <wp:effectExtent l="0" t="0" r="0" b="2540"/>
            <wp:docPr id="13" name="Chart 13">
              <a:extLst xmlns:a="http://schemas.openxmlformats.org/drawingml/2006/main">
                <a:ext uri="{FF2B5EF4-FFF2-40B4-BE49-F238E27FC236}">
                  <a16:creationId xmlns:a16="http://schemas.microsoft.com/office/drawing/2014/main" id="{57DA6463-9EA9-6E42-93A5-D8240565B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AFAB24" w14:textId="77777777" w:rsidR="00873ADA" w:rsidRPr="00873ADA" w:rsidRDefault="00873ADA" w:rsidP="001312E1">
      <w:pPr>
        <w:rPr>
          <w:i/>
          <w:iCs/>
          <w:color w:val="44546A" w:themeColor="text2"/>
          <w:sz w:val="18"/>
          <w:szCs w:val="18"/>
          <w:lang w:val="en-US"/>
        </w:rPr>
      </w:pPr>
    </w:p>
    <w:p w14:paraId="0A59511E" w14:textId="77FC33D9" w:rsidR="001312E1" w:rsidRPr="00873ADA" w:rsidRDefault="001312E1" w:rsidP="001312E1">
      <w:pPr>
        <w:rPr>
          <w:i/>
          <w:iCs/>
          <w:color w:val="44546A" w:themeColor="text2"/>
          <w:sz w:val="18"/>
          <w:szCs w:val="18"/>
          <w:lang w:val="en-US"/>
        </w:rPr>
      </w:pPr>
      <w:bookmarkStart w:id="2" w:name="_Ref37013804"/>
      <w:r w:rsidRPr="001312E1">
        <w:rPr>
          <w:i/>
          <w:iCs/>
          <w:color w:val="44546A" w:themeColor="text2"/>
          <w:sz w:val="18"/>
          <w:szCs w:val="18"/>
        </w:rPr>
        <w:t xml:space="preserve">Figure </w:t>
      </w:r>
      <w:r w:rsidRPr="001312E1">
        <w:rPr>
          <w:i/>
          <w:iCs/>
          <w:color w:val="44546A" w:themeColor="text2"/>
          <w:sz w:val="18"/>
          <w:szCs w:val="18"/>
        </w:rPr>
        <w:fldChar w:fldCharType="begin"/>
      </w:r>
      <w:r w:rsidRPr="001312E1">
        <w:rPr>
          <w:i/>
          <w:iCs/>
          <w:color w:val="44546A" w:themeColor="text2"/>
          <w:sz w:val="18"/>
          <w:szCs w:val="18"/>
        </w:rPr>
        <w:instrText xml:space="preserve"> SEQ Figure \* ARABIC </w:instrText>
      </w:r>
      <w:r w:rsidRPr="001312E1">
        <w:rPr>
          <w:i/>
          <w:iCs/>
          <w:color w:val="44546A" w:themeColor="text2"/>
          <w:sz w:val="18"/>
          <w:szCs w:val="18"/>
        </w:rPr>
        <w:fldChar w:fldCharType="separate"/>
      </w:r>
      <w:r w:rsidR="00FB3DC6">
        <w:rPr>
          <w:i/>
          <w:iCs/>
          <w:noProof/>
          <w:color w:val="44546A" w:themeColor="text2"/>
          <w:sz w:val="18"/>
          <w:szCs w:val="18"/>
        </w:rPr>
        <w:t>5</w:t>
      </w:r>
      <w:r w:rsidRPr="001312E1">
        <w:rPr>
          <w:i/>
          <w:iCs/>
          <w:color w:val="44546A" w:themeColor="text2"/>
          <w:sz w:val="18"/>
          <w:szCs w:val="18"/>
        </w:rPr>
        <w:fldChar w:fldCharType="end"/>
      </w:r>
      <w:bookmarkEnd w:id="2"/>
      <w:r w:rsidRPr="001312E1">
        <w:rPr>
          <w:i/>
          <w:iCs/>
          <w:color w:val="44546A" w:themeColor="text2"/>
          <w:sz w:val="18"/>
          <w:szCs w:val="18"/>
        </w:rPr>
        <w:t>. COV</w:t>
      </w:r>
      <w:r w:rsidR="00873ADA">
        <w:rPr>
          <w:i/>
          <w:iCs/>
          <w:color w:val="44546A" w:themeColor="text2"/>
          <w:sz w:val="18"/>
          <w:szCs w:val="18"/>
          <w:lang w:val="en-US"/>
        </w:rPr>
        <w:t>ID-19 cumulative incidence per 100,000 population and confirmed deaths per 1 mln population in selected countries as of April 3 2020</w:t>
      </w:r>
    </w:p>
    <w:p w14:paraId="312EB3EE" w14:textId="29D4DDC2" w:rsidR="001312E1" w:rsidRDefault="001312E1">
      <w:pPr>
        <w:rPr>
          <w:rFonts w:ascii="Sylfaen" w:hAnsi="Sylfaen"/>
          <w:lang w:val="en-US"/>
        </w:rPr>
      </w:pPr>
    </w:p>
    <w:p w14:paraId="664C1671" w14:textId="1005EB62" w:rsidR="001312E1" w:rsidRPr="001312E1" w:rsidRDefault="001312E1">
      <w:pPr>
        <w:rPr>
          <w:rFonts w:ascii="Sylfaen" w:hAnsi="Sylfaen"/>
          <w:lang w:val="en-US"/>
        </w:rPr>
      </w:pPr>
      <w:r>
        <w:rPr>
          <w:noProof/>
        </w:rPr>
        <w:drawing>
          <wp:inline distT="0" distB="0" distL="0" distR="0" wp14:anchorId="4E23CB85" wp14:editId="339BCFA9">
            <wp:extent cx="5727700" cy="3147695"/>
            <wp:effectExtent l="0" t="0" r="0" b="1905"/>
            <wp:docPr id="11" name="Chart 11">
              <a:extLst xmlns:a="http://schemas.openxmlformats.org/drawingml/2006/main">
                <a:ext uri="{FF2B5EF4-FFF2-40B4-BE49-F238E27FC236}">
                  <a16:creationId xmlns:a16="http://schemas.microsoft.com/office/drawing/2014/main" id="{FE19BB26-6AC3-4C47-A79F-9C9A6A196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1312E1" w:rsidRPr="001312E1" w:rsidSect="003D73C8">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D9E41" w14:textId="77777777" w:rsidR="00B7002D" w:rsidRDefault="00B7002D" w:rsidP="007F70B4">
      <w:pPr>
        <w:spacing w:after="0"/>
      </w:pPr>
      <w:r>
        <w:separator/>
      </w:r>
    </w:p>
  </w:endnote>
  <w:endnote w:type="continuationSeparator" w:id="0">
    <w:p w14:paraId="1786D12D" w14:textId="77777777" w:rsidR="00B7002D" w:rsidRDefault="00B7002D" w:rsidP="007F70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5687266"/>
      <w:docPartObj>
        <w:docPartGallery w:val="Page Numbers (Bottom of Page)"/>
        <w:docPartUnique/>
      </w:docPartObj>
    </w:sdtPr>
    <w:sdtEndPr>
      <w:rPr>
        <w:rStyle w:val="PageNumber"/>
      </w:rPr>
    </w:sdtEndPr>
    <w:sdtContent>
      <w:p w14:paraId="21A6D716" w14:textId="532BAC20" w:rsidR="00DF1AA7" w:rsidRDefault="00DF1AA7" w:rsidP="00DF1A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42E061" w14:textId="77777777" w:rsidR="00DF1AA7" w:rsidRDefault="00DF1AA7" w:rsidP="003E7B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6763950"/>
      <w:docPartObj>
        <w:docPartGallery w:val="Page Numbers (Bottom of Page)"/>
        <w:docPartUnique/>
      </w:docPartObj>
    </w:sdtPr>
    <w:sdtEndPr>
      <w:rPr>
        <w:rStyle w:val="PageNumber"/>
      </w:rPr>
    </w:sdtEndPr>
    <w:sdtContent>
      <w:p w14:paraId="105714B3" w14:textId="7D35A4D9" w:rsidR="00DF1AA7" w:rsidRDefault="00DF1AA7" w:rsidP="00DF1A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714454" w14:textId="77777777" w:rsidR="00DF1AA7" w:rsidRDefault="00DF1AA7" w:rsidP="003E7B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DA221" w14:textId="77777777" w:rsidR="00B7002D" w:rsidRDefault="00B7002D" w:rsidP="007F70B4">
      <w:pPr>
        <w:spacing w:after="0"/>
      </w:pPr>
      <w:r>
        <w:separator/>
      </w:r>
    </w:p>
  </w:footnote>
  <w:footnote w:type="continuationSeparator" w:id="0">
    <w:p w14:paraId="378F0501" w14:textId="77777777" w:rsidR="00B7002D" w:rsidRDefault="00B7002D" w:rsidP="007F70B4">
      <w:pPr>
        <w:spacing w:after="0"/>
      </w:pPr>
      <w:r>
        <w:continuationSeparator/>
      </w:r>
    </w:p>
  </w:footnote>
  <w:footnote w:id="1">
    <w:p w14:paraId="5E087B84" w14:textId="6E4E10F2" w:rsidR="00DF1AA7" w:rsidRPr="00B3398C" w:rsidRDefault="00DF1AA7" w:rsidP="00DF1AA7">
      <w:pPr>
        <w:pStyle w:val="FootnoteText"/>
        <w:spacing w:after="0"/>
        <w:rPr>
          <w:lang w:val="en-US"/>
        </w:rPr>
      </w:pPr>
      <w:r>
        <w:rPr>
          <w:rStyle w:val="FootnoteReference"/>
        </w:rPr>
        <w:footnoteRef/>
      </w:r>
      <w:r>
        <w:t xml:space="preserve"> </w:t>
      </w:r>
      <w:r w:rsidRPr="00B3398C">
        <w:t>https://link.springer.com/article/10.1007/s00134-012-2627-8</w:t>
      </w:r>
    </w:p>
  </w:footnote>
  <w:footnote w:id="2">
    <w:p w14:paraId="1074DF51" w14:textId="2981A19B" w:rsidR="00DF1AA7" w:rsidRPr="00A63290" w:rsidRDefault="00DF1AA7" w:rsidP="00DF1AA7">
      <w:pPr>
        <w:pStyle w:val="FootnoteText"/>
        <w:spacing w:after="0"/>
      </w:pPr>
      <w:r>
        <w:rPr>
          <w:rStyle w:val="FootnoteReference"/>
        </w:rPr>
        <w:footnoteRef/>
      </w:r>
      <w:r>
        <w:t xml:space="preserve"> </w:t>
      </w:r>
      <w:r w:rsidRPr="00A63290">
        <w:rPr>
          <w:sz w:val="18"/>
          <w:szCs w:val="18"/>
          <w:lang w:val="en-US"/>
        </w:rPr>
        <w:t xml:space="preserve">The sources for each country in </w:t>
      </w:r>
      <w:r w:rsidRPr="00A63290">
        <w:rPr>
          <w:rFonts w:ascii="Sylfaen" w:hAnsi="Sylfaen"/>
          <w:sz w:val="18"/>
          <w:szCs w:val="18"/>
          <w:lang w:val="en-US"/>
        </w:rPr>
        <w:t>indicated in the supporting excel file</w:t>
      </w:r>
    </w:p>
  </w:footnote>
  <w:footnote w:id="3">
    <w:p w14:paraId="2A5B9DAA" w14:textId="4C85F041" w:rsidR="00DF1AA7" w:rsidRPr="00DB4BAA" w:rsidRDefault="00DF1AA7" w:rsidP="00DF1AA7">
      <w:pPr>
        <w:pStyle w:val="FootnoteText"/>
        <w:spacing w:after="0"/>
      </w:pPr>
      <w:r>
        <w:rPr>
          <w:rStyle w:val="FootnoteReference"/>
        </w:rPr>
        <w:footnoteRef/>
      </w:r>
      <w:r>
        <w:t xml:space="preserve"> </w:t>
      </w:r>
      <w:r w:rsidRPr="00DB4BAA">
        <w:rPr>
          <w:sz w:val="18"/>
          <w:szCs w:val="18"/>
        </w:rPr>
        <w:t>https://www.cdc.gov/nchs/nvss/vsrr/COVID19/index.htm</w:t>
      </w:r>
    </w:p>
  </w:footnote>
  <w:footnote w:id="4">
    <w:p w14:paraId="361B799C" w14:textId="551A7E90" w:rsidR="00DF1AA7" w:rsidRPr="00EC4FF3" w:rsidRDefault="00DF1AA7">
      <w:pPr>
        <w:pStyle w:val="FootnoteText"/>
      </w:pPr>
      <w:r>
        <w:rPr>
          <w:rStyle w:val="FootnoteReference"/>
        </w:rPr>
        <w:footnoteRef/>
      </w:r>
      <w:r>
        <w:t xml:space="preserve"> </w:t>
      </w:r>
      <w:hyperlink r:id="rId1" w:history="1">
        <w:r w:rsidRPr="004C4E35">
          <w:rPr>
            <w:rStyle w:val="Hyperlink"/>
          </w:rPr>
          <w:t>https://data.oecd.org/health.htm</w:t>
        </w:r>
      </w:hyperlink>
      <w:r w:rsidRPr="00EC4FF3">
        <w:t xml:space="preserve">; </w:t>
      </w:r>
    </w:p>
  </w:footnote>
  <w:footnote w:id="5">
    <w:p w14:paraId="32C8CBC3" w14:textId="77777777" w:rsidR="00DF1AA7" w:rsidRPr="008C3E00" w:rsidRDefault="00DF1AA7" w:rsidP="00DF1AA7">
      <w:pPr>
        <w:autoSpaceDE w:val="0"/>
        <w:autoSpaceDN w:val="0"/>
        <w:adjustRightInd w:val="0"/>
        <w:spacing w:after="0"/>
      </w:pPr>
      <w:r>
        <w:rPr>
          <w:rStyle w:val="FootnoteReference"/>
        </w:rPr>
        <w:footnoteRef/>
      </w:r>
      <w:r>
        <w:t xml:space="preserve"> </w:t>
      </w:r>
      <w:r w:rsidRPr="003E7BBB">
        <w:rPr>
          <w:rFonts w:eastAsiaTheme="minorHAnsi"/>
          <w:sz w:val="16"/>
          <w:szCs w:val="16"/>
          <w:lang w:val="en-US"/>
        </w:rPr>
        <w:t xml:space="preserve">RAND health care. </w:t>
      </w:r>
      <w:r w:rsidRPr="008C3E00">
        <w:rPr>
          <w:rFonts w:eastAsiaTheme="minorHAnsi"/>
          <w:sz w:val="16"/>
          <w:szCs w:val="16"/>
          <w:lang w:val="en-US"/>
        </w:rPr>
        <w:t>Critical Care Surge Response Strategies for</w:t>
      </w:r>
      <w:r>
        <w:rPr>
          <w:rFonts w:eastAsiaTheme="minorHAnsi"/>
          <w:sz w:val="16"/>
          <w:szCs w:val="16"/>
          <w:lang w:val="en-US"/>
        </w:rPr>
        <w:t xml:space="preserve"> </w:t>
      </w:r>
      <w:r w:rsidRPr="008C3E00">
        <w:rPr>
          <w:rFonts w:eastAsiaTheme="minorHAnsi"/>
          <w:sz w:val="16"/>
          <w:szCs w:val="16"/>
          <w:lang w:val="en-US"/>
        </w:rPr>
        <w:t>the 2020 COVID-19 Outbreak in the</w:t>
      </w:r>
      <w:r>
        <w:rPr>
          <w:rFonts w:eastAsiaTheme="minorHAnsi"/>
          <w:sz w:val="16"/>
          <w:szCs w:val="16"/>
          <w:lang w:val="en-US"/>
        </w:rPr>
        <w:t xml:space="preserve"> </w:t>
      </w:r>
      <w:r w:rsidRPr="008C3E00">
        <w:rPr>
          <w:rFonts w:eastAsiaTheme="minorHAnsi"/>
          <w:sz w:val="16"/>
          <w:szCs w:val="16"/>
          <w:lang w:val="en-US"/>
        </w:rPr>
        <w:t>United States</w:t>
      </w:r>
      <w:r>
        <w:rPr>
          <w:rFonts w:eastAsiaTheme="minorHAnsi"/>
          <w:sz w:val="16"/>
          <w:szCs w:val="16"/>
          <w:lang w:val="en-US"/>
        </w:rPr>
        <w:t>. April 2020</w:t>
      </w:r>
    </w:p>
  </w:footnote>
  <w:footnote w:id="6">
    <w:p w14:paraId="1D5FAD54" w14:textId="392E4C13" w:rsidR="00DF1AA7" w:rsidRPr="00FB3DC6" w:rsidRDefault="00DF1AA7" w:rsidP="00DF1AA7">
      <w:pPr>
        <w:pStyle w:val="FootnoteText"/>
        <w:spacing w:after="0"/>
        <w:rPr>
          <w:sz w:val="16"/>
          <w:szCs w:val="16"/>
        </w:rPr>
      </w:pPr>
      <w:r w:rsidRPr="00FB3DC6">
        <w:rPr>
          <w:rStyle w:val="FootnoteReference"/>
          <w:sz w:val="18"/>
          <w:szCs w:val="18"/>
        </w:rPr>
        <w:footnoteRef/>
      </w:r>
      <w:r w:rsidRPr="00FB3DC6">
        <w:rPr>
          <w:sz w:val="18"/>
          <w:szCs w:val="18"/>
        </w:rPr>
        <w:t xml:space="preserve"> </w:t>
      </w:r>
      <w:r w:rsidRPr="00FB3DC6">
        <w:rPr>
          <w:sz w:val="16"/>
          <w:szCs w:val="16"/>
        </w:rPr>
        <w:t>https://www.newsinenglish.no/2020/04/03/updates-here-as-corona-rages-on/</w:t>
      </w:r>
    </w:p>
  </w:footnote>
  <w:footnote w:id="7">
    <w:p w14:paraId="5B2B4A58" w14:textId="7B60EE10" w:rsidR="00DF1AA7" w:rsidRPr="00FB3DC6" w:rsidRDefault="00DF1AA7" w:rsidP="00DF1AA7">
      <w:pPr>
        <w:pStyle w:val="FootnoteText"/>
        <w:spacing w:after="0"/>
        <w:rPr>
          <w:sz w:val="16"/>
          <w:szCs w:val="16"/>
        </w:rPr>
      </w:pPr>
      <w:r w:rsidRPr="00FB3DC6">
        <w:rPr>
          <w:rStyle w:val="FootnoteReference"/>
          <w:sz w:val="16"/>
          <w:szCs w:val="16"/>
        </w:rPr>
        <w:footnoteRef/>
      </w:r>
      <w:r w:rsidRPr="00FB3DC6">
        <w:rPr>
          <w:sz w:val="16"/>
          <w:szCs w:val="16"/>
        </w:rPr>
        <w:t xml:space="preserve"> </w:t>
      </w:r>
      <w:r w:rsidRPr="00FB3DC6">
        <w:rPr>
          <w:sz w:val="16"/>
          <w:szCs w:val="16"/>
        </w:rPr>
        <w:t>https://link.springer.com/article/10.1007/s00134-012-2627-8</w:t>
      </w:r>
    </w:p>
  </w:footnote>
  <w:footnote w:id="8">
    <w:p w14:paraId="2B2B2C33" w14:textId="1BC6DABC" w:rsidR="00484026" w:rsidRPr="00FB3DC6" w:rsidRDefault="00484026" w:rsidP="00484026">
      <w:pPr>
        <w:spacing w:after="0"/>
        <w:rPr>
          <w:sz w:val="16"/>
          <w:szCs w:val="16"/>
        </w:rPr>
      </w:pPr>
      <w:r w:rsidRPr="00FB3DC6">
        <w:rPr>
          <w:rStyle w:val="FootnoteReference"/>
          <w:sz w:val="16"/>
          <w:szCs w:val="16"/>
        </w:rPr>
        <w:footnoteRef/>
      </w:r>
      <w:r w:rsidRPr="00FB3DC6">
        <w:rPr>
          <w:sz w:val="16"/>
          <w:szCs w:val="16"/>
        </w:rPr>
        <w:t xml:space="preserve"> </w:t>
      </w:r>
      <w:r w:rsidRPr="00FB3DC6">
        <w:rPr>
          <w:sz w:val="16"/>
          <w:szCs w:val="16"/>
        </w:rPr>
        <w:t>Gram, Michael Hjøllund (12 March 2020). </w:t>
      </w:r>
      <w:hyperlink r:id="rId2" w:history="1">
        <w:r w:rsidRPr="00FB3DC6">
          <w:rPr>
            <w:sz w:val="16"/>
            <w:szCs w:val="16"/>
          </w:rPr>
          <w:t>"Sundhedsstyrelsen skifter strategi: Ikke alle corona-symptomer skal testes"</w:t>
        </w:r>
      </w:hyperlink>
      <w:r w:rsidRPr="00FB3DC6">
        <w:rPr>
          <w:sz w:val="16"/>
          <w:szCs w:val="16"/>
        </w:rPr>
        <w:t>. JP</w:t>
      </w:r>
    </w:p>
  </w:footnote>
  <w:footnote w:id="9">
    <w:p w14:paraId="59573375" w14:textId="31DEC136" w:rsidR="00DF1AA7" w:rsidRPr="00FB3DC6" w:rsidRDefault="00DF1AA7" w:rsidP="00DF1AA7">
      <w:pPr>
        <w:pStyle w:val="FootnoteText"/>
        <w:spacing w:after="0"/>
        <w:rPr>
          <w:sz w:val="16"/>
          <w:szCs w:val="16"/>
        </w:rPr>
      </w:pPr>
      <w:r w:rsidRPr="00FB3DC6">
        <w:rPr>
          <w:rStyle w:val="FootnoteReference"/>
          <w:sz w:val="16"/>
          <w:szCs w:val="16"/>
        </w:rPr>
        <w:footnoteRef/>
      </w:r>
      <w:r w:rsidRPr="00FB3DC6">
        <w:rPr>
          <w:sz w:val="16"/>
          <w:szCs w:val="16"/>
        </w:rPr>
        <w:t xml:space="preserve"> </w:t>
      </w:r>
      <w:r w:rsidRPr="00FB3DC6">
        <w:rPr>
          <w:sz w:val="16"/>
          <w:szCs w:val="16"/>
        </w:rPr>
        <w:t>https://www.sst.dk/da/corona-eng/COVID-19-update_-statistics-and-charts</w:t>
      </w:r>
    </w:p>
  </w:footnote>
  <w:footnote w:id="10">
    <w:p w14:paraId="55649D67" w14:textId="4CFB09A2" w:rsidR="00DF1AA7" w:rsidRPr="003532E3" w:rsidRDefault="00DF1AA7" w:rsidP="00DF1AA7">
      <w:pPr>
        <w:pStyle w:val="FootnoteText"/>
        <w:spacing w:after="0"/>
      </w:pPr>
      <w:r w:rsidRPr="00FB3DC6">
        <w:rPr>
          <w:rStyle w:val="FootnoteReference"/>
          <w:sz w:val="16"/>
          <w:szCs w:val="16"/>
        </w:rPr>
        <w:footnoteRef/>
      </w:r>
      <w:r w:rsidRPr="00FB3DC6">
        <w:rPr>
          <w:sz w:val="16"/>
          <w:szCs w:val="16"/>
        </w:rPr>
        <w:t xml:space="preserve"> </w:t>
      </w:r>
      <w:r w:rsidRPr="00FB3DC6">
        <w:rPr>
          <w:sz w:val="16"/>
          <w:szCs w:val="16"/>
        </w:rPr>
        <w:t>https://link.springer.com/article/10.1007/s00134-012-2627-8</w:t>
      </w:r>
    </w:p>
  </w:footnote>
  <w:footnote w:id="11">
    <w:p w14:paraId="3EFB5D00" w14:textId="3E8DE1D6" w:rsidR="00DF1AA7" w:rsidRPr="003532E3" w:rsidRDefault="00DF1AA7" w:rsidP="00DF1AA7">
      <w:pPr>
        <w:pStyle w:val="FootnoteText"/>
        <w:spacing w:after="0"/>
      </w:pPr>
      <w:r>
        <w:rPr>
          <w:rStyle w:val="FootnoteReference"/>
        </w:rPr>
        <w:footnoteRef/>
      </w:r>
      <w:r>
        <w:t xml:space="preserve"> </w:t>
      </w:r>
      <w:r w:rsidRPr="00C52308">
        <w:t>https://www.garda.com/crisis24/news-alerts/322476/norway-new-coronavirus-containment-measures-implemented-march-12-update-3</w:t>
      </w:r>
    </w:p>
  </w:footnote>
  <w:footnote w:id="12">
    <w:p w14:paraId="66F16F86" w14:textId="4AD023F8" w:rsidR="00DF1AA7" w:rsidRPr="003532E3" w:rsidRDefault="00DF1AA7" w:rsidP="00DF1AA7">
      <w:pPr>
        <w:pStyle w:val="FootnoteText"/>
        <w:spacing w:after="0"/>
      </w:pPr>
      <w:r>
        <w:rPr>
          <w:rStyle w:val="FootnoteReference"/>
        </w:rPr>
        <w:footnoteRef/>
      </w:r>
      <w:r>
        <w:t xml:space="preserve"> </w:t>
      </w:r>
      <w:r w:rsidRPr="00C52308">
        <w:t>https://www.scandinaviastandard.com/covid-19-whats-happening-in-denmark/</w:t>
      </w:r>
    </w:p>
  </w:footnote>
  <w:footnote w:id="13">
    <w:p w14:paraId="716B4426" w14:textId="77777777" w:rsidR="00DF1AA7" w:rsidRPr="003532E3" w:rsidRDefault="00DF1AA7" w:rsidP="00DF1AA7">
      <w:pPr>
        <w:pStyle w:val="FootnoteText"/>
        <w:spacing w:after="0"/>
      </w:pPr>
      <w:r>
        <w:rPr>
          <w:rStyle w:val="FootnoteReference"/>
        </w:rPr>
        <w:footnoteRef/>
      </w:r>
      <w:r>
        <w:t xml:space="preserve"> </w:t>
      </w:r>
      <w:r w:rsidRPr="00796502">
        <w:t>https://www.info-coronavirus.be/en/news/help-our-hospitals-and-gps-to-beat-the-covid19-virus/</w:t>
      </w:r>
    </w:p>
  </w:footnote>
  <w:footnote w:id="14">
    <w:p w14:paraId="713F26CB" w14:textId="0ADBDEED" w:rsidR="00DF1AA7" w:rsidRPr="00B42B8E" w:rsidRDefault="00DF1AA7" w:rsidP="00DF1AA7">
      <w:pPr>
        <w:pStyle w:val="FootnoteText"/>
        <w:spacing w:after="0"/>
      </w:pPr>
      <w:r>
        <w:rPr>
          <w:rStyle w:val="FootnoteReference"/>
        </w:rPr>
        <w:footnoteRef/>
      </w:r>
      <w:r>
        <w:t xml:space="preserve"> </w:t>
      </w:r>
      <w:r w:rsidRPr="00B42B8E">
        <w:t>https://www.medrxiv.org/content/10.1101/2020.03.29.20046730v1.full.pdf</w:t>
      </w:r>
    </w:p>
  </w:footnote>
  <w:footnote w:id="15">
    <w:p w14:paraId="20ADA9BF" w14:textId="171D33B2" w:rsidR="00DF1AA7" w:rsidRPr="00492DC4" w:rsidRDefault="00DF1AA7">
      <w:pPr>
        <w:pStyle w:val="FootnoteText"/>
      </w:pPr>
      <w:r>
        <w:rPr>
          <w:rStyle w:val="FootnoteReference"/>
        </w:rPr>
        <w:footnoteRef/>
      </w:r>
      <w:r>
        <w:t xml:space="preserve"> </w:t>
      </w:r>
      <w:r w:rsidRPr="00492DC4">
        <w:t>https://nltimes.nl/2020/04/05/covid-19-new-reported-hospitalizations-fatalities-fall-death-toll-stands-1766</w:t>
      </w:r>
    </w:p>
  </w:footnote>
  <w:footnote w:id="16">
    <w:p w14:paraId="655C77B4" w14:textId="2702665F" w:rsidR="00D27F9A" w:rsidRPr="00D27F9A" w:rsidRDefault="00D27F9A">
      <w:pPr>
        <w:pStyle w:val="FootnoteText"/>
        <w:rPr>
          <w:sz w:val="18"/>
          <w:szCs w:val="18"/>
        </w:rPr>
      </w:pPr>
      <w:r>
        <w:rPr>
          <w:rStyle w:val="FootnoteReference"/>
        </w:rPr>
        <w:footnoteRef/>
      </w:r>
      <w:r>
        <w:t xml:space="preserve"> </w:t>
      </w:r>
      <w:r w:rsidRPr="00D27F9A">
        <w:rPr>
          <w:sz w:val="18"/>
          <w:szCs w:val="18"/>
        </w:rPr>
        <w:t>https://ourworldindata.org/coronavirus</w:t>
      </w:r>
    </w:p>
  </w:footnote>
  <w:footnote w:id="17">
    <w:p w14:paraId="152E32D7" w14:textId="574FD0E1" w:rsidR="00D27F9A" w:rsidRPr="00D27F9A" w:rsidRDefault="00D27F9A">
      <w:pPr>
        <w:pStyle w:val="FootnoteText"/>
      </w:pPr>
      <w:r w:rsidRPr="00D27F9A">
        <w:rPr>
          <w:rStyle w:val="FootnoteReference"/>
          <w:sz w:val="18"/>
          <w:szCs w:val="18"/>
        </w:rPr>
        <w:footnoteRef/>
      </w:r>
      <w:r w:rsidRPr="00D27F9A">
        <w:rPr>
          <w:sz w:val="18"/>
          <w:szCs w:val="18"/>
        </w:rPr>
        <w:t xml:space="preserve"> </w:t>
      </w:r>
      <w:r w:rsidRPr="00D27F9A">
        <w:rPr>
          <w:sz w:val="18"/>
          <w:szCs w:val="18"/>
        </w:rPr>
        <w:t>https://www.worldometers.info/coronavirus/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939"/>
    <w:rsid w:val="000B46DF"/>
    <w:rsid w:val="0012158B"/>
    <w:rsid w:val="0012186B"/>
    <w:rsid w:val="001312E1"/>
    <w:rsid w:val="001D72BF"/>
    <w:rsid w:val="002A697D"/>
    <w:rsid w:val="003532E3"/>
    <w:rsid w:val="003A7F34"/>
    <w:rsid w:val="003D73C8"/>
    <w:rsid w:val="003E7BBB"/>
    <w:rsid w:val="00484026"/>
    <w:rsid w:val="00490746"/>
    <w:rsid w:val="00492DC4"/>
    <w:rsid w:val="005D7B30"/>
    <w:rsid w:val="005F472B"/>
    <w:rsid w:val="006F1BF2"/>
    <w:rsid w:val="007847B9"/>
    <w:rsid w:val="00796502"/>
    <w:rsid w:val="007F70B4"/>
    <w:rsid w:val="00825F27"/>
    <w:rsid w:val="00873ADA"/>
    <w:rsid w:val="00890AC0"/>
    <w:rsid w:val="00893284"/>
    <w:rsid w:val="008C3E00"/>
    <w:rsid w:val="008D2BB6"/>
    <w:rsid w:val="008F67A7"/>
    <w:rsid w:val="00914939"/>
    <w:rsid w:val="00961B0C"/>
    <w:rsid w:val="009F5B61"/>
    <w:rsid w:val="00A63290"/>
    <w:rsid w:val="00B02169"/>
    <w:rsid w:val="00B04826"/>
    <w:rsid w:val="00B103D3"/>
    <w:rsid w:val="00B3398C"/>
    <w:rsid w:val="00B357C6"/>
    <w:rsid w:val="00B4061D"/>
    <w:rsid w:val="00B42B8E"/>
    <w:rsid w:val="00B7002D"/>
    <w:rsid w:val="00B76934"/>
    <w:rsid w:val="00C4159A"/>
    <w:rsid w:val="00C52308"/>
    <w:rsid w:val="00CC2CBA"/>
    <w:rsid w:val="00D27F9A"/>
    <w:rsid w:val="00D475E5"/>
    <w:rsid w:val="00DB4BAA"/>
    <w:rsid w:val="00DE16D9"/>
    <w:rsid w:val="00DF1AA7"/>
    <w:rsid w:val="00E038EE"/>
    <w:rsid w:val="00E05973"/>
    <w:rsid w:val="00EC4FF3"/>
    <w:rsid w:val="00F020B8"/>
    <w:rsid w:val="00F055F3"/>
    <w:rsid w:val="00F94D53"/>
    <w:rsid w:val="00FA432A"/>
    <w:rsid w:val="00FB3DC6"/>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96EF"/>
  <w15:chartTrackingRefBased/>
  <w15:docId w15:val="{2DDC0919-C699-7C48-A55E-99F4A194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502"/>
    <w:pPr>
      <w:spacing w:after="80"/>
    </w:pPr>
    <w:rPr>
      <w:rFonts w:ascii="Times New Roman" w:eastAsia="Times New Roman" w:hAnsi="Times New Roman" w:cs="Times New Roman"/>
      <w:sz w:val="22"/>
    </w:rPr>
  </w:style>
  <w:style w:type="paragraph" w:styleId="Heading1">
    <w:name w:val="heading 1"/>
    <w:basedOn w:val="Normal"/>
    <w:next w:val="Normal"/>
    <w:link w:val="Heading1Char"/>
    <w:uiPriority w:val="9"/>
    <w:qFormat/>
    <w:rsid w:val="0012158B"/>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432A"/>
    <w:pPr>
      <w:keepNext/>
      <w:keepLines/>
      <w:spacing w:before="4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3E7BBB"/>
    <w:pPr>
      <w:keepNext/>
      <w:keepLines/>
      <w:spacing w:before="40"/>
      <w:outlineLvl w:val="2"/>
    </w:pPr>
    <w:rPr>
      <w:rFonts w:eastAsiaTheme="majorEastAsia" w:cstheme="majorBidi"/>
      <w:b/>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934"/>
    <w:rPr>
      <w:color w:val="0000FF"/>
      <w:u w:val="single"/>
    </w:rPr>
  </w:style>
  <w:style w:type="character" w:customStyle="1" w:styleId="apple-converted-space">
    <w:name w:val="apple-converted-space"/>
    <w:basedOn w:val="DefaultParagraphFont"/>
    <w:rsid w:val="00B76934"/>
  </w:style>
  <w:style w:type="character" w:customStyle="1" w:styleId="Heading2Char">
    <w:name w:val="Heading 2 Char"/>
    <w:basedOn w:val="DefaultParagraphFont"/>
    <w:link w:val="Heading2"/>
    <w:uiPriority w:val="9"/>
    <w:rsid w:val="00FA432A"/>
    <w:rPr>
      <w:rFonts w:ascii="Times New Roman" w:eastAsiaTheme="majorEastAsia" w:hAnsi="Times New Roman" w:cstheme="majorBidi"/>
      <w:b/>
      <w:color w:val="2F5496" w:themeColor="accent1" w:themeShade="BF"/>
      <w:sz w:val="26"/>
      <w:szCs w:val="26"/>
    </w:rPr>
  </w:style>
  <w:style w:type="paragraph" w:styleId="FootnoteText">
    <w:name w:val="footnote text"/>
    <w:basedOn w:val="Normal"/>
    <w:link w:val="FootnoteTextChar"/>
    <w:uiPriority w:val="99"/>
    <w:semiHidden/>
    <w:unhideWhenUsed/>
    <w:rsid w:val="007F70B4"/>
    <w:rPr>
      <w:sz w:val="20"/>
      <w:szCs w:val="20"/>
    </w:rPr>
  </w:style>
  <w:style w:type="character" w:customStyle="1" w:styleId="FootnoteTextChar">
    <w:name w:val="Footnote Text Char"/>
    <w:basedOn w:val="DefaultParagraphFont"/>
    <w:link w:val="FootnoteText"/>
    <w:uiPriority w:val="99"/>
    <w:semiHidden/>
    <w:rsid w:val="007F70B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F70B4"/>
    <w:rPr>
      <w:vertAlign w:val="superscript"/>
    </w:rPr>
  </w:style>
  <w:style w:type="character" w:customStyle="1" w:styleId="Heading1Char">
    <w:name w:val="Heading 1 Char"/>
    <w:basedOn w:val="DefaultParagraphFont"/>
    <w:link w:val="Heading1"/>
    <w:uiPriority w:val="9"/>
    <w:rsid w:val="0012158B"/>
    <w:rPr>
      <w:rFonts w:ascii="Times New Roman" w:eastAsiaTheme="majorEastAsia" w:hAnsi="Times New Roman" w:cstheme="majorBidi"/>
      <w:color w:val="2F5496" w:themeColor="accent1" w:themeShade="BF"/>
      <w:sz w:val="32"/>
      <w:szCs w:val="32"/>
    </w:rPr>
  </w:style>
  <w:style w:type="paragraph" w:styleId="Caption">
    <w:name w:val="caption"/>
    <w:basedOn w:val="Normal"/>
    <w:next w:val="Normal"/>
    <w:uiPriority w:val="35"/>
    <w:unhideWhenUsed/>
    <w:qFormat/>
    <w:rsid w:val="00B3398C"/>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EC4FF3"/>
    <w:rPr>
      <w:color w:val="605E5C"/>
      <w:shd w:val="clear" w:color="auto" w:fill="E1DFDD"/>
    </w:rPr>
  </w:style>
  <w:style w:type="character" w:customStyle="1" w:styleId="Heading3Char">
    <w:name w:val="Heading 3 Char"/>
    <w:basedOn w:val="DefaultParagraphFont"/>
    <w:link w:val="Heading3"/>
    <w:uiPriority w:val="9"/>
    <w:rsid w:val="003E7BBB"/>
    <w:rPr>
      <w:rFonts w:ascii="Times New Roman" w:eastAsiaTheme="majorEastAsia" w:hAnsi="Times New Roman" w:cstheme="majorBidi"/>
      <w:b/>
      <w:color w:val="1F3763" w:themeColor="accent1" w:themeShade="7F"/>
    </w:rPr>
  </w:style>
  <w:style w:type="paragraph" w:styleId="Footer">
    <w:name w:val="footer"/>
    <w:basedOn w:val="Normal"/>
    <w:link w:val="FooterChar"/>
    <w:uiPriority w:val="99"/>
    <w:unhideWhenUsed/>
    <w:rsid w:val="003E7BBB"/>
    <w:pPr>
      <w:tabs>
        <w:tab w:val="center" w:pos="4680"/>
        <w:tab w:val="right" w:pos="9360"/>
      </w:tabs>
    </w:pPr>
  </w:style>
  <w:style w:type="character" w:customStyle="1" w:styleId="FooterChar">
    <w:name w:val="Footer Char"/>
    <w:basedOn w:val="DefaultParagraphFont"/>
    <w:link w:val="Footer"/>
    <w:uiPriority w:val="99"/>
    <w:rsid w:val="003E7BBB"/>
    <w:rPr>
      <w:rFonts w:ascii="Times New Roman" w:eastAsia="Times New Roman" w:hAnsi="Times New Roman" w:cs="Times New Roman"/>
      <w:sz w:val="22"/>
    </w:rPr>
  </w:style>
  <w:style w:type="character" w:styleId="PageNumber">
    <w:name w:val="page number"/>
    <w:basedOn w:val="DefaultParagraphFont"/>
    <w:uiPriority w:val="99"/>
    <w:semiHidden/>
    <w:unhideWhenUsed/>
    <w:rsid w:val="003E7BBB"/>
  </w:style>
  <w:style w:type="paragraph" w:styleId="NormalWeb">
    <w:name w:val="Normal (Web)"/>
    <w:basedOn w:val="Normal"/>
    <w:uiPriority w:val="99"/>
    <w:semiHidden/>
    <w:unhideWhenUsed/>
    <w:rsid w:val="00796502"/>
    <w:pPr>
      <w:spacing w:before="100" w:beforeAutospacing="1" w:after="100" w:afterAutospacing="1"/>
    </w:pPr>
    <w:rPr>
      <w:sz w:val="24"/>
    </w:rPr>
  </w:style>
  <w:style w:type="character" w:customStyle="1" w:styleId="reference-accessdate">
    <w:name w:val="reference-accessdate"/>
    <w:basedOn w:val="DefaultParagraphFont"/>
    <w:rsid w:val="00484026"/>
  </w:style>
  <w:style w:type="character" w:customStyle="1" w:styleId="nowrap">
    <w:name w:val="nowrap"/>
    <w:basedOn w:val="DefaultParagraphFont"/>
    <w:rsid w:val="0048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03178">
      <w:bodyDiv w:val="1"/>
      <w:marLeft w:val="0"/>
      <w:marRight w:val="0"/>
      <w:marTop w:val="0"/>
      <w:marBottom w:val="0"/>
      <w:divBdr>
        <w:top w:val="none" w:sz="0" w:space="0" w:color="auto"/>
        <w:left w:val="none" w:sz="0" w:space="0" w:color="auto"/>
        <w:bottom w:val="none" w:sz="0" w:space="0" w:color="auto"/>
        <w:right w:val="none" w:sz="0" w:space="0" w:color="auto"/>
      </w:divBdr>
    </w:div>
    <w:div w:id="74279568">
      <w:bodyDiv w:val="1"/>
      <w:marLeft w:val="0"/>
      <w:marRight w:val="0"/>
      <w:marTop w:val="0"/>
      <w:marBottom w:val="0"/>
      <w:divBdr>
        <w:top w:val="none" w:sz="0" w:space="0" w:color="auto"/>
        <w:left w:val="none" w:sz="0" w:space="0" w:color="auto"/>
        <w:bottom w:val="none" w:sz="0" w:space="0" w:color="auto"/>
        <w:right w:val="none" w:sz="0" w:space="0" w:color="auto"/>
      </w:divBdr>
    </w:div>
    <w:div w:id="75439606">
      <w:bodyDiv w:val="1"/>
      <w:marLeft w:val="0"/>
      <w:marRight w:val="0"/>
      <w:marTop w:val="0"/>
      <w:marBottom w:val="0"/>
      <w:divBdr>
        <w:top w:val="none" w:sz="0" w:space="0" w:color="auto"/>
        <w:left w:val="none" w:sz="0" w:space="0" w:color="auto"/>
        <w:bottom w:val="none" w:sz="0" w:space="0" w:color="auto"/>
        <w:right w:val="none" w:sz="0" w:space="0" w:color="auto"/>
      </w:divBdr>
      <w:divsChild>
        <w:div w:id="1569995243">
          <w:marLeft w:val="0"/>
          <w:marRight w:val="0"/>
          <w:marTop w:val="0"/>
          <w:marBottom w:val="0"/>
          <w:divBdr>
            <w:top w:val="none" w:sz="0" w:space="0" w:color="auto"/>
            <w:left w:val="none" w:sz="0" w:space="0" w:color="auto"/>
            <w:bottom w:val="none" w:sz="0" w:space="0" w:color="auto"/>
            <w:right w:val="none" w:sz="0" w:space="0" w:color="auto"/>
          </w:divBdr>
          <w:divsChild>
            <w:div w:id="1577549241">
              <w:marLeft w:val="0"/>
              <w:marRight w:val="0"/>
              <w:marTop w:val="0"/>
              <w:marBottom w:val="0"/>
              <w:divBdr>
                <w:top w:val="none" w:sz="0" w:space="0" w:color="auto"/>
                <w:left w:val="none" w:sz="0" w:space="0" w:color="auto"/>
                <w:bottom w:val="none" w:sz="0" w:space="0" w:color="auto"/>
                <w:right w:val="none" w:sz="0" w:space="0" w:color="auto"/>
              </w:divBdr>
              <w:divsChild>
                <w:div w:id="20477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5671">
      <w:bodyDiv w:val="1"/>
      <w:marLeft w:val="0"/>
      <w:marRight w:val="0"/>
      <w:marTop w:val="0"/>
      <w:marBottom w:val="0"/>
      <w:divBdr>
        <w:top w:val="none" w:sz="0" w:space="0" w:color="auto"/>
        <w:left w:val="none" w:sz="0" w:space="0" w:color="auto"/>
        <w:bottom w:val="none" w:sz="0" w:space="0" w:color="auto"/>
        <w:right w:val="none" w:sz="0" w:space="0" w:color="auto"/>
      </w:divBdr>
      <w:divsChild>
        <w:div w:id="264311346">
          <w:marLeft w:val="0"/>
          <w:marRight w:val="0"/>
          <w:marTop w:val="0"/>
          <w:marBottom w:val="0"/>
          <w:divBdr>
            <w:top w:val="none" w:sz="0" w:space="0" w:color="auto"/>
            <w:left w:val="none" w:sz="0" w:space="0" w:color="auto"/>
            <w:bottom w:val="none" w:sz="0" w:space="0" w:color="auto"/>
            <w:right w:val="none" w:sz="0" w:space="0" w:color="auto"/>
          </w:divBdr>
          <w:divsChild>
            <w:div w:id="883903607">
              <w:marLeft w:val="0"/>
              <w:marRight w:val="0"/>
              <w:marTop w:val="0"/>
              <w:marBottom w:val="0"/>
              <w:divBdr>
                <w:top w:val="none" w:sz="0" w:space="0" w:color="auto"/>
                <w:left w:val="none" w:sz="0" w:space="0" w:color="auto"/>
                <w:bottom w:val="none" w:sz="0" w:space="0" w:color="auto"/>
                <w:right w:val="none" w:sz="0" w:space="0" w:color="auto"/>
              </w:divBdr>
              <w:divsChild>
                <w:div w:id="6228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9198">
      <w:bodyDiv w:val="1"/>
      <w:marLeft w:val="0"/>
      <w:marRight w:val="0"/>
      <w:marTop w:val="0"/>
      <w:marBottom w:val="0"/>
      <w:divBdr>
        <w:top w:val="none" w:sz="0" w:space="0" w:color="auto"/>
        <w:left w:val="none" w:sz="0" w:space="0" w:color="auto"/>
        <w:bottom w:val="none" w:sz="0" w:space="0" w:color="auto"/>
        <w:right w:val="none" w:sz="0" w:space="0" w:color="auto"/>
      </w:divBdr>
    </w:div>
    <w:div w:id="600529955">
      <w:bodyDiv w:val="1"/>
      <w:marLeft w:val="0"/>
      <w:marRight w:val="0"/>
      <w:marTop w:val="0"/>
      <w:marBottom w:val="0"/>
      <w:divBdr>
        <w:top w:val="none" w:sz="0" w:space="0" w:color="auto"/>
        <w:left w:val="none" w:sz="0" w:space="0" w:color="auto"/>
        <w:bottom w:val="none" w:sz="0" w:space="0" w:color="auto"/>
        <w:right w:val="none" w:sz="0" w:space="0" w:color="auto"/>
      </w:divBdr>
    </w:div>
    <w:div w:id="649407772">
      <w:bodyDiv w:val="1"/>
      <w:marLeft w:val="0"/>
      <w:marRight w:val="0"/>
      <w:marTop w:val="0"/>
      <w:marBottom w:val="0"/>
      <w:divBdr>
        <w:top w:val="none" w:sz="0" w:space="0" w:color="auto"/>
        <w:left w:val="none" w:sz="0" w:space="0" w:color="auto"/>
        <w:bottom w:val="none" w:sz="0" w:space="0" w:color="auto"/>
        <w:right w:val="none" w:sz="0" w:space="0" w:color="auto"/>
      </w:divBdr>
    </w:div>
    <w:div w:id="696004416">
      <w:bodyDiv w:val="1"/>
      <w:marLeft w:val="0"/>
      <w:marRight w:val="0"/>
      <w:marTop w:val="0"/>
      <w:marBottom w:val="0"/>
      <w:divBdr>
        <w:top w:val="none" w:sz="0" w:space="0" w:color="auto"/>
        <w:left w:val="none" w:sz="0" w:space="0" w:color="auto"/>
        <w:bottom w:val="none" w:sz="0" w:space="0" w:color="auto"/>
        <w:right w:val="none" w:sz="0" w:space="0" w:color="auto"/>
      </w:divBdr>
    </w:div>
    <w:div w:id="752122321">
      <w:bodyDiv w:val="1"/>
      <w:marLeft w:val="0"/>
      <w:marRight w:val="0"/>
      <w:marTop w:val="0"/>
      <w:marBottom w:val="0"/>
      <w:divBdr>
        <w:top w:val="none" w:sz="0" w:space="0" w:color="auto"/>
        <w:left w:val="none" w:sz="0" w:space="0" w:color="auto"/>
        <w:bottom w:val="none" w:sz="0" w:space="0" w:color="auto"/>
        <w:right w:val="none" w:sz="0" w:space="0" w:color="auto"/>
      </w:divBdr>
    </w:div>
    <w:div w:id="789740510">
      <w:bodyDiv w:val="1"/>
      <w:marLeft w:val="0"/>
      <w:marRight w:val="0"/>
      <w:marTop w:val="0"/>
      <w:marBottom w:val="0"/>
      <w:divBdr>
        <w:top w:val="none" w:sz="0" w:space="0" w:color="auto"/>
        <w:left w:val="none" w:sz="0" w:space="0" w:color="auto"/>
        <w:bottom w:val="none" w:sz="0" w:space="0" w:color="auto"/>
        <w:right w:val="none" w:sz="0" w:space="0" w:color="auto"/>
      </w:divBdr>
    </w:div>
    <w:div w:id="972783338">
      <w:bodyDiv w:val="1"/>
      <w:marLeft w:val="0"/>
      <w:marRight w:val="0"/>
      <w:marTop w:val="0"/>
      <w:marBottom w:val="0"/>
      <w:divBdr>
        <w:top w:val="none" w:sz="0" w:space="0" w:color="auto"/>
        <w:left w:val="none" w:sz="0" w:space="0" w:color="auto"/>
        <w:bottom w:val="none" w:sz="0" w:space="0" w:color="auto"/>
        <w:right w:val="none" w:sz="0" w:space="0" w:color="auto"/>
      </w:divBdr>
    </w:div>
    <w:div w:id="1136725062">
      <w:bodyDiv w:val="1"/>
      <w:marLeft w:val="0"/>
      <w:marRight w:val="0"/>
      <w:marTop w:val="0"/>
      <w:marBottom w:val="0"/>
      <w:divBdr>
        <w:top w:val="none" w:sz="0" w:space="0" w:color="auto"/>
        <w:left w:val="none" w:sz="0" w:space="0" w:color="auto"/>
        <w:bottom w:val="none" w:sz="0" w:space="0" w:color="auto"/>
        <w:right w:val="none" w:sz="0" w:space="0" w:color="auto"/>
      </w:divBdr>
      <w:divsChild>
        <w:div w:id="1402362074">
          <w:marLeft w:val="0"/>
          <w:marRight w:val="0"/>
          <w:marTop w:val="0"/>
          <w:marBottom w:val="0"/>
          <w:divBdr>
            <w:top w:val="none" w:sz="0" w:space="0" w:color="auto"/>
            <w:left w:val="none" w:sz="0" w:space="0" w:color="auto"/>
            <w:bottom w:val="none" w:sz="0" w:space="0" w:color="auto"/>
            <w:right w:val="none" w:sz="0" w:space="0" w:color="auto"/>
          </w:divBdr>
          <w:divsChild>
            <w:div w:id="1789083664">
              <w:marLeft w:val="0"/>
              <w:marRight w:val="0"/>
              <w:marTop w:val="0"/>
              <w:marBottom w:val="0"/>
              <w:divBdr>
                <w:top w:val="none" w:sz="0" w:space="0" w:color="auto"/>
                <w:left w:val="none" w:sz="0" w:space="0" w:color="auto"/>
                <w:bottom w:val="none" w:sz="0" w:space="0" w:color="auto"/>
                <w:right w:val="none" w:sz="0" w:space="0" w:color="auto"/>
              </w:divBdr>
              <w:divsChild>
                <w:div w:id="19957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3755">
      <w:bodyDiv w:val="1"/>
      <w:marLeft w:val="0"/>
      <w:marRight w:val="0"/>
      <w:marTop w:val="0"/>
      <w:marBottom w:val="0"/>
      <w:divBdr>
        <w:top w:val="none" w:sz="0" w:space="0" w:color="auto"/>
        <w:left w:val="none" w:sz="0" w:space="0" w:color="auto"/>
        <w:bottom w:val="none" w:sz="0" w:space="0" w:color="auto"/>
        <w:right w:val="none" w:sz="0" w:space="0" w:color="auto"/>
      </w:divBdr>
      <w:divsChild>
        <w:div w:id="1475367720">
          <w:marLeft w:val="0"/>
          <w:marRight w:val="0"/>
          <w:marTop w:val="0"/>
          <w:marBottom w:val="0"/>
          <w:divBdr>
            <w:top w:val="none" w:sz="0" w:space="0" w:color="auto"/>
            <w:left w:val="none" w:sz="0" w:space="0" w:color="auto"/>
            <w:bottom w:val="none" w:sz="0" w:space="0" w:color="auto"/>
            <w:right w:val="none" w:sz="0" w:space="0" w:color="auto"/>
          </w:divBdr>
          <w:divsChild>
            <w:div w:id="1560090221">
              <w:marLeft w:val="0"/>
              <w:marRight w:val="0"/>
              <w:marTop w:val="0"/>
              <w:marBottom w:val="0"/>
              <w:divBdr>
                <w:top w:val="none" w:sz="0" w:space="0" w:color="auto"/>
                <w:left w:val="none" w:sz="0" w:space="0" w:color="auto"/>
                <w:bottom w:val="none" w:sz="0" w:space="0" w:color="auto"/>
                <w:right w:val="none" w:sz="0" w:space="0" w:color="auto"/>
              </w:divBdr>
              <w:divsChild>
                <w:div w:id="6560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70578">
      <w:bodyDiv w:val="1"/>
      <w:marLeft w:val="0"/>
      <w:marRight w:val="0"/>
      <w:marTop w:val="0"/>
      <w:marBottom w:val="0"/>
      <w:divBdr>
        <w:top w:val="none" w:sz="0" w:space="0" w:color="auto"/>
        <w:left w:val="none" w:sz="0" w:space="0" w:color="auto"/>
        <w:bottom w:val="none" w:sz="0" w:space="0" w:color="auto"/>
        <w:right w:val="none" w:sz="0" w:space="0" w:color="auto"/>
      </w:divBdr>
    </w:div>
    <w:div w:id="1649359432">
      <w:bodyDiv w:val="1"/>
      <w:marLeft w:val="0"/>
      <w:marRight w:val="0"/>
      <w:marTop w:val="0"/>
      <w:marBottom w:val="0"/>
      <w:divBdr>
        <w:top w:val="none" w:sz="0" w:space="0" w:color="auto"/>
        <w:left w:val="none" w:sz="0" w:space="0" w:color="auto"/>
        <w:bottom w:val="none" w:sz="0" w:space="0" w:color="auto"/>
        <w:right w:val="none" w:sz="0" w:space="0" w:color="auto"/>
      </w:divBdr>
    </w:div>
    <w:div w:id="1658605208">
      <w:bodyDiv w:val="1"/>
      <w:marLeft w:val="0"/>
      <w:marRight w:val="0"/>
      <w:marTop w:val="0"/>
      <w:marBottom w:val="0"/>
      <w:divBdr>
        <w:top w:val="none" w:sz="0" w:space="0" w:color="auto"/>
        <w:left w:val="none" w:sz="0" w:space="0" w:color="auto"/>
        <w:bottom w:val="none" w:sz="0" w:space="0" w:color="auto"/>
        <w:right w:val="none" w:sz="0" w:space="0" w:color="auto"/>
      </w:divBdr>
    </w:div>
    <w:div w:id="1896509118">
      <w:bodyDiv w:val="1"/>
      <w:marLeft w:val="0"/>
      <w:marRight w:val="0"/>
      <w:marTop w:val="0"/>
      <w:marBottom w:val="0"/>
      <w:divBdr>
        <w:top w:val="none" w:sz="0" w:space="0" w:color="auto"/>
        <w:left w:val="none" w:sz="0" w:space="0" w:color="auto"/>
        <w:bottom w:val="none" w:sz="0" w:space="0" w:color="auto"/>
        <w:right w:val="none" w:sz="0" w:space="0" w:color="auto"/>
      </w:divBdr>
    </w:div>
    <w:div w:id="1936748457">
      <w:bodyDiv w:val="1"/>
      <w:marLeft w:val="0"/>
      <w:marRight w:val="0"/>
      <w:marTop w:val="0"/>
      <w:marBottom w:val="0"/>
      <w:divBdr>
        <w:top w:val="none" w:sz="0" w:space="0" w:color="auto"/>
        <w:left w:val="none" w:sz="0" w:space="0" w:color="auto"/>
        <w:bottom w:val="none" w:sz="0" w:space="0" w:color="auto"/>
        <w:right w:val="none" w:sz="0" w:space="0" w:color="auto"/>
      </w:divBdr>
    </w:div>
    <w:div w:id="1997877490">
      <w:bodyDiv w:val="1"/>
      <w:marLeft w:val="0"/>
      <w:marRight w:val="0"/>
      <w:marTop w:val="0"/>
      <w:marBottom w:val="0"/>
      <w:divBdr>
        <w:top w:val="none" w:sz="0" w:space="0" w:color="auto"/>
        <w:left w:val="none" w:sz="0" w:space="0" w:color="auto"/>
        <w:bottom w:val="none" w:sz="0" w:space="0" w:color="auto"/>
        <w:right w:val="none" w:sz="0" w:space="0" w:color="auto"/>
      </w:divBdr>
    </w:div>
    <w:div w:id="2037805468">
      <w:bodyDiv w:val="1"/>
      <w:marLeft w:val="0"/>
      <w:marRight w:val="0"/>
      <w:marTop w:val="0"/>
      <w:marBottom w:val="0"/>
      <w:divBdr>
        <w:top w:val="none" w:sz="0" w:space="0" w:color="auto"/>
        <w:left w:val="none" w:sz="0" w:space="0" w:color="auto"/>
        <w:bottom w:val="none" w:sz="0" w:space="0" w:color="auto"/>
        <w:right w:val="none" w:sz="0" w:space="0" w:color="auto"/>
      </w:divBdr>
      <w:divsChild>
        <w:div w:id="216207464">
          <w:marLeft w:val="0"/>
          <w:marRight w:val="0"/>
          <w:marTop w:val="0"/>
          <w:marBottom w:val="0"/>
          <w:divBdr>
            <w:top w:val="none" w:sz="0" w:space="0" w:color="auto"/>
            <w:left w:val="none" w:sz="0" w:space="0" w:color="auto"/>
            <w:bottom w:val="none" w:sz="0" w:space="0" w:color="auto"/>
            <w:right w:val="none" w:sz="0" w:space="0" w:color="auto"/>
          </w:divBdr>
          <w:divsChild>
            <w:div w:id="1240406168">
              <w:marLeft w:val="0"/>
              <w:marRight w:val="0"/>
              <w:marTop w:val="0"/>
              <w:marBottom w:val="0"/>
              <w:divBdr>
                <w:top w:val="none" w:sz="0" w:space="0" w:color="auto"/>
                <w:left w:val="none" w:sz="0" w:space="0" w:color="auto"/>
                <w:bottom w:val="none" w:sz="0" w:space="0" w:color="auto"/>
                <w:right w:val="none" w:sz="0" w:space="0" w:color="auto"/>
              </w:divBdr>
              <w:divsChild>
                <w:div w:id="9524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7475">
      <w:bodyDiv w:val="1"/>
      <w:marLeft w:val="0"/>
      <w:marRight w:val="0"/>
      <w:marTop w:val="0"/>
      <w:marBottom w:val="0"/>
      <w:divBdr>
        <w:top w:val="none" w:sz="0" w:space="0" w:color="auto"/>
        <w:left w:val="none" w:sz="0" w:space="0" w:color="auto"/>
        <w:bottom w:val="none" w:sz="0" w:space="0" w:color="auto"/>
        <w:right w:val="none" w:sz="0" w:space="0" w:color="auto"/>
      </w:divBdr>
    </w:div>
    <w:div w:id="213046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4.tiff"/><Relationship Id="rId17" Type="http://schemas.openxmlformats.org/officeDocument/2006/relationships/chart" Target="charts/chart5.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6.tiff"/></Relationships>
</file>

<file path=word/_rels/footnotes.xml.rels><?xml version="1.0" encoding="UTF-8" standalone="yes"?>
<Relationships xmlns="http://schemas.openxmlformats.org/package/2006/relationships"><Relationship Id="rId2" Type="http://schemas.openxmlformats.org/officeDocument/2006/relationships/hyperlink" Target="https://jyllands-posten.dk/indland/ECE12003712/sundhedsstyrelsen-skifter-strategi-ikke-alle-coronasymptomer-skal-testes/" TargetMode="External"/><Relationship Id="rId1" Type="http://schemas.openxmlformats.org/officeDocument/2006/relationships/hyperlink" Target="https://data.oecd.org/health.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vdity.chikovani/Desktop/Covid-19%20Working/Surge%20capacit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vdity.chikovani/Desktop/Covid-19%20Working/Surge%20capac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vdity.chikovani/Desktop/Covid-19%20Working/Surge%20capacit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vdity.chikovani/Desktop/Covid-19%20Working/Surge%20capacit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vdity.chikovani/Desktop/Covid-19%20Working/Surge%20capacit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57067960811304E-2"/>
          <c:y val="4.1439065737427012E-2"/>
          <c:w val="0.83701856702576694"/>
          <c:h val="0.63832564817135662"/>
        </c:manualLayout>
      </c:layout>
      <c:barChart>
        <c:barDir val="col"/>
        <c:grouping val="clustered"/>
        <c:varyColors val="0"/>
        <c:ser>
          <c:idx val="0"/>
          <c:order val="0"/>
          <c:tx>
            <c:strRef>
              <c:f>Graphs!$C$1</c:f>
              <c:strCache>
                <c:ptCount val="1"/>
                <c:pt idx="0">
                  <c:v>Total ICU beds/ 100,000 population </c:v>
                </c:pt>
              </c:strCache>
            </c:strRef>
          </c:tx>
          <c:spPr>
            <a:solidFill>
              <a:schemeClr val="accent1"/>
            </a:solidFill>
            <a:ln>
              <a:noFill/>
            </a:ln>
            <a:effectLst/>
          </c:spPr>
          <c:invertIfNegative val="0"/>
          <c:cat>
            <c:strRef>
              <c:f>Graphs!$A$2:$A$28</c:f>
              <c:strCache>
                <c:ptCount val="27"/>
                <c:pt idx="0">
                  <c:v>Germany</c:v>
                </c:pt>
                <c:pt idx="1">
                  <c:v>Belgium</c:v>
                </c:pt>
                <c:pt idx="2">
                  <c:v>Austria</c:v>
                </c:pt>
                <c:pt idx="3">
                  <c:v>USA</c:v>
                </c:pt>
                <c:pt idx="4">
                  <c:v>Lithuania</c:v>
                </c:pt>
                <c:pt idx="5">
                  <c:v>Estonia</c:v>
                </c:pt>
                <c:pt idx="6">
                  <c:v>Canada</c:v>
                </c:pt>
                <c:pt idx="7">
                  <c:v>Hungary</c:v>
                </c:pt>
                <c:pt idx="8">
                  <c:v>Czech Rep</c:v>
                </c:pt>
                <c:pt idx="9">
                  <c:v>Switzerland</c:v>
                </c:pt>
                <c:pt idx="10">
                  <c:v>France</c:v>
                </c:pt>
                <c:pt idx="11">
                  <c:v>Spain</c:v>
                </c:pt>
                <c:pt idx="12">
                  <c:v>Latvia</c:v>
                </c:pt>
                <c:pt idx="13">
                  <c:v>Australia</c:v>
                </c:pt>
                <c:pt idx="14">
                  <c:v>Slovakia</c:v>
                </c:pt>
                <c:pt idx="15">
                  <c:v>Iceland</c:v>
                </c:pt>
                <c:pt idx="16">
                  <c:v>Italy</c:v>
                </c:pt>
                <c:pt idx="17">
                  <c:v>Norway</c:v>
                </c:pt>
                <c:pt idx="18">
                  <c:v>Japan</c:v>
                </c:pt>
                <c:pt idx="19">
                  <c:v>Poland</c:v>
                </c:pt>
                <c:pt idx="20">
                  <c:v>Denmark</c:v>
                </c:pt>
                <c:pt idx="21">
                  <c:v>UK</c:v>
                </c:pt>
                <c:pt idx="22">
                  <c:v>Irland</c:v>
                </c:pt>
                <c:pt idx="23">
                  <c:v>Netherlands</c:v>
                </c:pt>
                <c:pt idx="24">
                  <c:v>Slovenia</c:v>
                </c:pt>
                <c:pt idx="25">
                  <c:v>Sweden</c:v>
                </c:pt>
                <c:pt idx="26">
                  <c:v>Portugal</c:v>
                </c:pt>
              </c:strCache>
            </c:strRef>
          </c:cat>
          <c:val>
            <c:numRef>
              <c:f>Graphs!$C$2:$C$28</c:f>
              <c:numCache>
                <c:formatCode>General</c:formatCode>
                <c:ptCount val="27"/>
                <c:pt idx="0">
                  <c:v>33.700000000000003</c:v>
                </c:pt>
                <c:pt idx="1">
                  <c:v>26.9</c:v>
                </c:pt>
                <c:pt idx="2">
                  <c:v>24.8</c:v>
                </c:pt>
                <c:pt idx="3">
                  <c:v>17.8</c:v>
                </c:pt>
                <c:pt idx="4">
                  <c:v>15.5</c:v>
                </c:pt>
                <c:pt idx="5">
                  <c:v>14.6</c:v>
                </c:pt>
                <c:pt idx="6">
                  <c:v>14</c:v>
                </c:pt>
                <c:pt idx="7">
                  <c:v>13.8</c:v>
                </c:pt>
                <c:pt idx="8">
                  <c:v>11.6</c:v>
                </c:pt>
                <c:pt idx="9">
                  <c:v>11</c:v>
                </c:pt>
                <c:pt idx="10">
                  <c:v>9.6999999999999993</c:v>
                </c:pt>
                <c:pt idx="11">
                  <c:v>9.6999999999999993</c:v>
                </c:pt>
                <c:pt idx="12">
                  <c:v>9.6999999999999993</c:v>
                </c:pt>
                <c:pt idx="13">
                  <c:v>9.3000000000000007</c:v>
                </c:pt>
                <c:pt idx="14">
                  <c:v>9.1999999999999993</c:v>
                </c:pt>
                <c:pt idx="15">
                  <c:v>9.1</c:v>
                </c:pt>
                <c:pt idx="16" formatCode="0.0">
                  <c:v>8.606165751740221</c:v>
                </c:pt>
                <c:pt idx="17">
                  <c:v>8</c:v>
                </c:pt>
                <c:pt idx="18">
                  <c:v>7.3</c:v>
                </c:pt>
                <c:pt idx="19">
                  <c:v>6.9</c:v>
                </c:pt>
                <c:pt idx="20">
                  <c:v>6.7</c:v>
                </c:pt>
                <c:pt idx="21">
                  <c:v>6.6</c:v>
                </c:pt>
                <c:pt idx="22">
                  <c:v>6.5</c:v>
                </c:pt>
                <c:pt idx="23">
                  <c:v>6.4</c:v>
                </c:pt>
                <c:pt idx="24">
                  <c:v>6.4</c:v>
                </c:pt>
                <c:pt idx="25">
                  <c:v>5.8</c:v>
                </c:pt>
                <c:pt idx="26">
                  <c:v>4.2</c:v>
                </c:pt>
              </c:numCache>
            </c:numRef>
          </c:val>
          <c:extLst>
            <c:ext xmlns:c16="http://schemas.microsoft.com/office/drawing/2014/chart" uri="{C3380CC4-5D6E-409C-BE32-E72D297353CC}">
              <c16:uniqueId val="{00000000-1BD7-1947-A5B6-28F247F1A204}"/>
            </c:ext>
          </c:extLst>
        </c:ser>
        <c:ser>
          <c:idx val="1"/>
          <c:order val="1"/>
          <c:tx>
            <c:strRef>
              <c:f>Graphs!$D$1</c:f>
              <c:strCache>
                <c:ptCount val="1"/>
                <c:pt idx="0">
                  <c:v>Total ICU beds/100,000 population after surge</c:v>
                </c:pt>
              </c:strCache>
            </c:strRef>
          </c:tx>
          <c:spPr>
            <a:solidFill>
              <a:schemeClr val="accent2"/>
            </a:solidFill>
            <a:ln>
              <a:noFill/>
            </a:ln>
            <a:effectLst/>
          </c:spPr>
          <c:invertIfNegative val="0"/>
          <c:cat>
            <c:strRef>
              <c:f>Graphs!$A$2:$A$28</c:f>
              <c:strCache>
                <c:ptCount val="27"/>
                <c:pt idx="0">
                  <c:v>Germany</c:v>
                </c:pt>
                <c:pt idx="1">
                  <c:v>Belgium</c:v>
                </c:pt>
                <c:pt idx="2">
                  <c:v>Austria</c:v>
                </c:pt>
                <c:pt idx="3">
                  <c:v>USA</c:v>
                </c:pt>
                <c:pt idx="4">
                  <c:v>Lithuania</c:v>
                </c:pt>
                <c:pt idx="5">
                  <c:v>Estonia</c:v>
                </c:pt>
                <c:pt idx="6">
                  <c:v>Canada</c:v>
                </c:pt>
                <c:pt idx="7">
                  <c:v>Hungary</c:v>
                </c:pt>
                <c:pt idx="8">
                  <c:v>Czech Rep</c:v>
                </c:pt>
                <c:pt idx="9">
                  <c:v>Switzerland</c:v>
                </c:pt>
                <c:pt idx="10">
                  <c:v>France</c:v>
                </c:pt>
                <c:pt idx="11">
                  <c:v>Spain</c:v>
                </c:pt>
                <c:pt idx="12">
                  <c:v>Latvia</c:v>
                </c:pt>
                <c:pt idx="13">
                  <c:v>Australia</c:v>
                </c:pt>
                <c:pt idx="14">
                  <c:v>Slovakia</c:v>
                </c:pt>
                <c:pt idx="15">
                  <c:v>Iceland</c:v>
                </c:pt>
                <c:pt idx="16">
                  <c:v>Italy</c:v>
                </c:pt>
                <c:pt idx="17">
                  <c:v>Norway</c:v>
                </c:pt>
                <c:pt idx="18">
                  <c:v>Japan</c:v>
                </c:pt>
                <c:pt idx="19">
                  <c:v>Poland</c:v>
                </c:pt>
                <c:pt idx="20">
                  <c:v>Denmark</c:v>
                </c:pt>
                <c:pt idx="21">
                  <c:v>UK</c:v>
                </c:pt>
                <c:pt idx="22">
                  <c:v>Irland</c:v>
                </c:pt>
                <c:pt idx="23">
                  <c:v>Netherlands</c:v>
                </c:pt>
                <c:pt idx="24">
                  <c:v>Slovenia</c:v>
                </c:pt>
                <c:pt idx="25">
                  <c:v>Sweden</c:v>
                </c:pt>
                <c:pt idx="26">
                  <c:v>Portugal</c:v>
                </c:pt>
              </c:strCache>
            </c:strRef>
          </c:cat>
          <c:val>
            <c:numRef>
              <c:f>Graphs!$D$2:$D$28</c:f>
              <c:numCache>
                <c:formatCode>General</c:formatCode>
                <c:ptCount val="27"/>
                <c:pt idx="1">
                  <c:v>37.700000000000003</c:v>
                </c:pt>
                <c:pt idx="13">
                  <c:v>25.9</c:v>
                </c:pt>
                <c:pt idx="21" formatCode="0.0">
                  <c:v>12.2</c:v>
                </c:pt>
              </c:numCache>
            </c:numRef>
          </c:val>
          <c:extLst>
            <c:ext xmlns:c16="http://schemas.microsoft.com/office/drawing/2014/chart" uri="{C3380CC4-5D6E-409C-BE32-E72D297353CC}">
              <c16:uniqueId val="{00000001-1BD7-1947-A5B6-28F247F1A204}"/>
            </c:ext>
          </c:extLst>
        </c:ser>
        <c:ser>
          <c:idx val="2"/>
          <c:order val="2"/>
          <c:tx>
            <c:strRef>
              <c:f>Graphs!$E$1</c:f>
              <c:strCache>
                <c:ptCount val="1"/>
                <c:pt idx="0">
                  <c:v>Ventilators (all type)/100,000 population</c:v>
                </c:pt>
              </c:strCache>
            </c:strRef>
          </c:tx>
          <c:spPr>
            <a:solidFill>
              <a:schemeClr val="accent3"/>
            </a:solidFill>
            <a:ln>
              <a:noFill/>
            </a:ln>
            <a:effectLst/>
          </c:spPr>
          <c:invertIfNegative val="0"/>
          <c:cat>
            <c:strRef>
              <c:f>Graphs!$A$2:$A$28</c:f>
              <c:strCache>
                <c:ptCount val="27"/>
                <c:pt idx="0">
                  <c:v>Germany</c:v>
                </c:pt>
                <c:pt idx="1">
                  <c:v>Belgium</c:v>
                </c:pt>
                <c:pt idx="2">
                  <c:v>Austria</c:v>
                </c:pt>
                <c:pt idx="3">
                  <c:v>USA</c:v>
                </c:pt>
                <c:pt idx="4">
                  <c:v>Lithuania</c:v>
                </c:pt>
                <c:pt idx="5">
                  <c:v>Estonia</c:v>
                </c:pt>
                <c:pt idx="6">
                  <c:v>Canada</c:v>
                </c:pt>
                <c:pt idx="7">
                  <c:v>Hungary</c:v>
                </c:pt>
                <c:pt idx="8">
                  <c:v>Czech Rep</c:v>
                </c:pt>
                <c:pt idx="9">
                  <c:v>Switzerland</c:v>
                </c:pt>
                <c:pt idx="10">
                  <c:v>France</c:v>
                </c:pt>
                <c:pt idx="11">
                  <c:v>Spain</c:v>
                </c:pt>
                <c:pt idx="12">
                  <c:v>Latvia</c:v>
                </c:pt>
                <c:pt idx="13">
                  <c:v>Australia</c:v>
                </c:pt>
                <c:pt idx="14">
                  <c:v>Slovakia</c:v>
                </c:pt>
                <c:pt idx="15">
                  <c:v>Iceland</c:v>
                </c:pt>
                <c:pt idx="16">
                  <c:v>Italy</c:v>
                </c:pt>
                <c:pt idx="17">
                  <c:v>Norway</c:v>
                </c:pt>
                <c:pt idx="18">
                  <c:v>Japan</c:v>
                </c:pt>
                <c:pt idx="19">
                  <c:v>Poland</c:v>
                </c:pt>
                <c:pt idx="20">
                  <c:v>Denmark</c:v>
                </c:pt>
                <c:pt idx="21">
                  <c:v>UK</c:v>
                </c:pt>
                <c:pt idx="22">
                  <c:v>Irland</c:v>
                </c:pt>
                <c:pt idx="23">
                  <c:v>Netherlands</c:v>
                </c:pt>
                <c:pt idx="24">
                  <c:v>Slovenia</c:v>
                </c:pt>
                <c:pt idx="25">
                  <c:v>Sweden</c:v>
                </c:pt>
                <c:pt idx="26">
                  <c:v>Portugal</c:v>
                </c:pt>
              </c:strCache>
            </c:strRef>
          </c:cat>
          <c:val>
            <c:numRef>
              <c:f>Graphs!$E$2:$E$28</c:f>
              <c:numCache>
                <c:formatCode>General</c:formatCode>
                <c:ptCount val="27"/>
                <c:pt idx="0" formatCode="0.0">
                  <c:v>30.15</c:v>
                </c:pt>
                <c:pt idx="2" formatCode="0.0">
                  <c:v>21.92</c:v>
                </c:pt>
                <c:pt idx="3" formatCode="0.0">
                  <c:v>7.5802165566393143</c:v>
                </c:pt>
                <c:pt idx="4" formatCode="0.0">
                  <c:v>21.416784548218285</c:v>
                </c:pt>
                <c:pt idx="6" formatCode="0.0">
                  <c:v>20.91</c:v>
                </c:pt>
                <c:pt idx="10" formatCode="0.0">
                  <c:v>7.47</c:v>
                </c:pt>
                <c:pt idx="13" formatCode="0.0">
                  <c:v>18.77</c:v>
                </c:pt>
                <c:pt idx="16" formatCode="0.0">
                  <c:v>8.3000000000000007</c:v>
                </c:pt>
                <c:pt idx="17" formatCode="0.0">
                  <c:v>15.06</c:v>
                </c:pt>
                <c:pt idx="18" formatCode="0.0">
                  <c:v>25.77</c:v>
                </c:pt>
                <c:pt idx="21" formatCode="0.0">
                  <c:v>12.04</c:v>
                </c:pt>
              </c:numCache>
            </c:numRef>
          </c:val>
          <c:extLst>
            <c:ext xmlns:c16="http://schemas.microsoft.com/office/drawing/2014/chart" uri="{C3380CC4-5D6E-409C-BE32-E72D297353CC}">
              <c16:uniqueId val="{00000002-1BD7-1947-A5B6-28F247F1A204}"/>
            </c:ext>
          </c:extLst>
        </c:ser>
        <c:dLbls>
          <c:showLegendKey val="0"/>
          <c:showVal val="0"/>
          <c:showCatName val="0"/>
          <c:showSerName val="0"/>
          <c:showPercent val="0"/>
          <c:showBubbleSize val="0"/>
        </c:dLbls>
        <c:gapWidth val="97"/>
        <c:axId val="447625167"/>
        <c:axId val="447626799"/>
      </c:barChart>
      <c:lineChart>
        <c:grouping val="standard"/>
        <c:varyColors val="0"/>
        <c:ser>
          <c:idx val="3"/>
          <c:order val="3"/>
          <c:tx>
            <c:strRef>
              <c:f>Graphs!#REF!</c:f>
              <c:strCache>
                <c:ptCount val="1"/>
                <c:pt idx="0">
                  <c:v>#REF!</c:v>
                </c:pt>
              </c:strCache>
            </c:strRef>
          </c:tx>
          <c:spPr>
            <a:ln w="28575" cap="rnd">
              <a:solidFill>
                <a:schemeClr val="accent4"/>
              </a:solidFill>
              <a:round/>
            </a:ln>
            <a:effectLst/>
          </c:spPr>
          <c:marker>
            <c:symbol val="none"/>
          </c:marker>
          <c:cat>
            <c:strRef>
              <c:f>Graphs!$A$2:$A$28</c:f>
              <c:strCache>
                <c:ptCount val="27"/>
                <c:pt idx="0">
                  <c:v>Germany</c:v>
                </c:pt>
                <c:pt idx="1">
                  <c:v>Belgium</c:v>
                </c:pt>
                <c:pt idx="2">
                  <c:v>Austria</c:v>
                </c:pt>
                <c:pt idx="3">
                  <c:v>USA</c:v>
                </c:pt>
                <c:pt idx="4">
                  <c:v>Lithuania</c:v>
                </c:pt>
                <c:pt idx="5">
                  <c:v>Estonia</c:v>
                </c:pt>
                <c:pt idx="6">
                  <c:v>Canada</c:v>
                </c:pt>
                <c:pt idx="7">
                  <c:v>Hungary</c:v>
                </c:pt>
                <c:pt idx="8">
                  <c:v>Czech Rep</c:v>
                </c:pt>
                <c:pt idx="9">
                  <c:v>Switzerland</c:v>
                </c:pt>
                <c:pt idx="10">
                  <c:v>France</c:v>
                </c:pt>
                <c:pt idx="11">
                  <c:v>Spain</c:v>
                </c:pt>
                <c:pt idx="12">
                  <c:v>Latvia</c:v>
                </c:pt>
                <c:pt idx="13">
                  <c:v>Australia</c:v>
                </c:pt>
                <c:pt idx="14">
                  <c:v>Slovakia</c:v>
                </c:pt>
                <c:pt idx="15">
                  <c:v>Iceland</c:v>
                </c:pt>
                <c:pt idx="16">
                  <c:v>Italy</c:v>
                </c:pt>
                <c:pt idx="17">
                  <c:v>Norway</c:v>
                </c:pt>
                <c:pt idx="18">
                  <c:v>Japan</c:v>
                </c:pt>
                <c:pt idx="19">
                  <c:v>Poland</c:v>
                </c:pt>
                <c:pt idx="20">
                  <c:v>Denmark</c:v>
                </c:pt>
                <c:pt idx="21">
                  <c:v>UK</c:v>
                </c:pt>
                <c:pt idx="22">
                  <c:v>Irland</c:v>
                </c:pt>
                <c:pt idx="23">
                  <c:v>Netherlands</c:v>
                </c:pt>
                <c:pt idx="24">
                  <c:v>Slovenia</c:v>
                </c:pt>
                <c:pt idx="25">
                  <c:v>Sweden</c:v>
                </c:pt>
                <c:pt idx="26">
                  <c:v>Portugal</c:v>
                </c:pt>
              </c:strCache>
            </c:strRef>
          </c:cat>
          <c:val>
            <c:numRef>
              <c:f>Graphs!#REF!</c:f>
              <c:numCache>
                <c:formatCode>General</c:formatCode>
                <c:ptCount val="1"/>
                <c:pt idx="0">
                  <c:v>1</c:v>
                </c:pt>
              </c:numCache>
            </c:numRef>
          </c:val>
          <c:smooth val="0"/>
          <c:extLst>
            <c:ext xmlns:c16="http://schemas.microsoft.com/office/drawing/2014/chart" uri="{C3380CC4-5D6E-409C-BE32-E72D297353CC}">
              <c16:uniqueId val="{00000003-1BD7-1947-A5B6-28F247F1A204}"/>
            </c:ext>
          </c:extLst>
        </c:ser>
        <c:dLbls>
          <c:showLegendKey val="0"/>
          <c:showVal val="0"/>
          <c:showCatName val="0"/>
          <c:showSerName val="0"/>
          <c:showPercent val="0"/>
          <c:showBubbleSize val="0"/>
        </c:dLbls>
        <c:marker val="1"/>
        <c:smooth val="0"/>
        <c:axId val="447625167"/>
        <c:axId val="447626799"/>
      </c:lineChart>
      <c:lineChart>
        <c:grouping val="standard"/>
        <c:varyColors val="0"/>
        <c:ser>
          <c:idx val="4"/>
          <c:order val="4"/>
          <c:tx>
            <c:strRef>
              <c:f>Graphs!$F$1</c:f>
              <c:strCache>
                <c:ptCount val="1"/>
                <c:pt idx="0">
                  <c:v>COVID-19 total confirmed death/ 1 mln population</c:v>
                </c:pt>
              </c:strCache>
            </c:strRef>
          </c:tx>
          <c:spPr>
            <a:ln w="28575" cap="rnd">
              <a:noFill/>
              <a:round/>
            </a:ln>
            <a:effectLst/>
          </c:spPr>
          <c:marker>
            <c:symbol val="square"/>
            <c:size val="7"/>
            <c:spPr>
              <a:solidFill>
                <a:srgbClr val="C00000"/>
              </a:solidFill>
              <a:ln w="9525">
                <a:noFill/>
              </a:ln>
              <a:effectLst/>
            </c:spPr>
          </c:marker>
          <c:cat>
            <c:strRef>
              <c:f>Graphs!$A$2:$A$28</c:f>
              <c:strCache>
                <c:ptCount val="27"/>
                <c:pt idx="0">
                  <c:v>Germany</c:v>
                </c:pt>
                <c:pt idx="1">
                  <c:v>Belgium</c:v>
                </c:pt>
                <c:pt idx="2">
                  <c:v>Austria</c:v>
                </c:pt>
                <c:pt idx="3">
                  <c:v>USA</c:v>
                </c:pt>
                <c:pt idx="4">
                  <c:v>Lithuania</c:v>
                </c:pt>
                <c:pt idx="5">
                  <c:v>Estonia</c:v>
                </c:pt>
                <c:pt idx="6">
                  <c:v>Canada</c:v>
                </c:pt>
                <c:pt idx="7">
                  <c:v>Hungary</c:v>
                </c:pt>
                <c:pt idx="8">
                  <c:v>Czech Rep</c:v>
                </c:pt>
                <c:pt idx="9">
                  <c:v>Switzerland</c:v>
                </c:pt>
                <c:pt idx="10">
                  <c:v>France</c:v>
                </c:pt>
                <c:pt idx="11">
                  <c:v>Spain</c:v>
                </c:pt>
                <c:pt idx="12">
                  <c:v>Latvia</c:v>
                </c:pt>
                <c:pt idx="13">
                  <c:v>Australia</c:v>
                </c:pt>
                <c:pt idx="14">
                  <c:v>Slovakia</c:v>
                </c:pt>
                <c:pt idx="15">
                  <c:v>Iceland</c:v>
                </c:pt>
                <c:pt idx="16">
                  <c:v>Italy</c:v>
                </c:pt>
                <c:pt idx="17">
                  <c:v>Norway</c:v>
                </c:pt>
                <c:pt idx="18">
                  <c:v>Japan</c:v>
                </c:pt>
                <c:pt idx="19">
                  <c:v>Poland</c:v>
                </c:pt>
                <c:pt idx="20">
                  <c:v>Denmark</c:v>
                </c:pt>
                <c:pt idx="21">
                  <c:v>UK</c:v>
                </c:pt>
                <c:pt idx="22">
                  <c:v>Irland</c:v>
                </c:pt>
                <c:pt idx="23">
                  <c:v>Netherlands</c:v>
                </c:pt>
                <c:pt idx="24">
                  <c:v>Slovenia</c:v>
                </c:pt>
                <c:pt idx="25">
                  <c:v>Sweden</c:v>
                </c:pt>
                <c:pt idx="26">
                  <c:v>Portugal</c:v>
                </c:pt>
              </c:strCache>
            </c:strRef>
          </c:cat>
          <c:val>
            <c:numRef>
              <c:f>Graphs!$F$2:$F$28</c:f>
              <c:numCache>
                <c:formatCode>0.00</c:formatCode>
                <c:ptCount val="27"/>
                <c:pt idx="0">
                  <c:v>12.138363740213</c:v>
                </c:pt>
                <c:pt idx="1">
                  <c:v>98.622767139135604</c:v>
                </c:pt>
                <c:pt idx="2">
                  <c:v>18.653402025226502</c:v>
                </c:pt>
                <c:pt idx="3">
                  <c:v>21.622183583323402</c:v>
                </c:pt>
                <c:pt idx="4">
                  <c:v>3.3060389208942</c:v>
                </c:pt>
                <c:pt idx="5">
                  <c:v>9.0460966469889001</c:v>
                </c:pt>
                <c:pt idx="6">
                  <c:v>4.95467177458882</c:v>
                </c:pt>
                <c:pt idx="7">
                  <c:v>3.3125093811300799</c:v>
                </c:pt>
                <c:pt idx="8">
                  <c:v>4.9491165453448298</c:v>
                </c:pt>
                <c:pt idx="9">
                  <c:v>70.135966717421894</c:v>
                </c:pt>
                <c:pt idx="10">
                  <c:v>68.98</c:v>
                </c:pt>
                <c:pt idx="11">
                  <c:v>233.879815034111</c:v>
                </c:pt>
                <c:pt idx="12">
                  <c:v>0.53016591011991299</c:v>
                </c:pt>
                <c:pt idx="13">
                  <c:v>1.1764760784569901</c:v>
                </c:pt>
                <c:pt idx="14">
                  <c:v>0</c:v>
                </c:pt>
                <c:pt idx="15">
                  <c:v>11.7216117216117</c:v>
                </c:pt>
                <c:pt idx="16">
                  <c:v>242.814358838109</c:v>
                </c:pt>
                <c:pt idx="17">
                  <c:v>8.1162213382099502</c:v>
                </c:pt>
                <c:pt idx="18">
                  <c:v>0.54555607494953695</c:v>
                </c:pt>
                <c:pt idx="19">
                  <c:v>1.8759938969426699</c:v>
                </c:pt>
                <c:pt idx="20">
                  <c:v>23.997777702197201</c:v>
                </c:pt>
                <c:pt idx="21">
                  <c:v>53.103729599403103</c:v>
                </c:pt>
                <c:pt idx="22">
                  <c:v>11.7216117216117</c:v>
                </c:pt>
                <c:pt idx="23">
                  <c:v>86.782084699431394</c:v>
                </c:pt>
                <c:pt idx="24">
                  <c:v>9.6203242818909001</c:v>
                </c:pt>
                <c:pt idx="25">
                  <c:v>32.972680203618701</c:v>
                </c:pt>
                <c:pt idx="26">
                  <c:v>24.125435790201699</c:v>
                </c:pt>
              </c:numCache>
            </c:numRef>
          </c:val>
          <c:smooth val="0"/>
          <c:extLst>
            <c:ext xmlns:c16="http://schemas.microsoft.com/office/drawing/2014/chart" uri="{C3380CC4-5D6E-409C-BE32-E72D297353CC}">
              <c16:uniqueId val="{00000004-1BD7-1947-A5B6-28F247F1A204}"/>
            </c:ext>
          </c:extLst>
        </c:ser>
        <c:dLbls>
          <c:showLegendKey val="0"/>
          <c:showVal val="0"/>
          <c:showCatName val="0"/>
          <c:showSerName val="0"/>
          <c:showPercent val="0"/>
          <c:showBubbleSize val="0"/>
        </c:dLbls>
        <c:marker val="1"/>
        <c:smooth val="0"/>
        <c:axId val="891551183"/>
        <c:axId val="447043727"/>
      </c:lineChart>
      <c:catAx>
        <c:axId val="44762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crossAx val="447626799"/>
        <c:crosses val="autoZero"/>
        <c:auto val="1"/>
        <c:lblAlgn val="ctr"/>
        <c:lblOffset val="100"/>
        <c:noMultiLvlLbl val="0"/>
      </c:catAx>
      <c:valAx>
        <c:axId val="447626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ICU beds, Ventilators, per</a:t>
                </a:r>
                <a:r>
                  <a:rPr lang="en-US" sz="800" baseline="0"/>
                  <a:t> 100,000 population</a:t>
                </a:r>
                <a:endParaRPr lang="en-US"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447625167"/>
        <c:crosses val="autoZero"/>
        <c:crossBetween val="between"/>
      </c:valAx>
      <c:valAx>
        <c:axId val="447043727"/>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Cumulative confirmed deaths per 1 mln populaiton</a:t>
                </a:r>
                <a:endParaRPr lang="en-US" sz="800">
                  <a:effectLst/>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crossAx val="891551183"/>
        <c:crosses val="max"/>
        <c:crossBetween val="between"/>
      </c:valAx>
      <c:catAx>
        <c:axId val="891551183"/>
        <c:scaling>
          <c:orientation val="minMax"/>
        </c:scaling>
        <c:delete val="1"/>
        <c:axPos val="b"/>
        <c:numFmt formatCode="General" sourceLinked="1"/>
        <c:majorTickMark val="out"/>
        <c:minorTickMark val="none"/>
        <c:tickLblPos val="nextTo"/>
        <c:crossAx val="447043727"/>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52914782547965E-2"/>
          <c:y val="5.3671627226152721E-2"/>
          <c:w val="0.92894338041447699"/>
          <c:h val="0.61245012707151547"/>
        </c:manualLayout>
      </c:layout>
      <c:barChart>
        <c:barDir val="col"/>
        <c:grouping val="clustered"/>
        <c:varyColors val="0"/>
        <c:ser>
          <c:idx val="0"/>
          <c:order val="0"/>
          <c:tx>
            <c:strRef>
              <c:f>Graphs!$D$33</c:f>
              <c:strCache>
                <c:ptCount val="1"/>
                <c:pt idx="0">
                  <c:v>Physicians (all) per 1000 population</c:v>
                </c:pt>
              </c:strCache>
            </c:strRef>
          </c:tx>
          <c:spPr>
            <a:solidFill>
              <a:schemeClr val="accent1"/>
            </a:solidFill>
            <a:ln>
              <a:noFill/>
            </a:ln>
            <a:effectLst/>
          </c:spPr>
          <c:invertIfNegative val="0"/>
          <c:cat>
            <c:strRef>
              <c:f>Graphs!$A$34:$A$60</c:f>
              <c:strCache>
                <c:ptCount val="27"/>
                <c:pt idx="0">
                  <c:v>Norway</c:v>
                </c:pt>
                <c:pt idx="1">
                  <c:v>Switzerland</c:v>
                </c:pt>
                <c:pt idx="2">
                  <c:v>Iceland</c:v>
                </c:pt>
                <c:pt idx="3">
                  <c:v>Germany</c:v>
                </c:pt>
                <c:pt idx="4">
                  <c:v>Irland</c:v>
                </c:pt>
                <c:pt idx="5">
                  <c:v>USA</c:v>
                </c:pt>
                <c:pt idx="6">
                  <c:v>Australia</c:v>
                </c:pt>
                <c:pt idx="7">
                  <c:v>Japan</c:v>
                </c:pt>
                <c:pt idx="8">
                  <c:v>Belgium</c:v>
                </c:pt>
                <c:pt idx="9">
                  <c:v>Sweden</c:v>
                </c:pt>
                <c:pt idx="10">
                  <c:v>France</c:v>
                </c:pt>
                <c:pt idx="11">
                  <c:v>Netherlands</c:v>
                </c:pt>
                <c:pt idx="12">
                  <c:v>Canada</c:v>
                </c:pt>
                <c:pt idx="13">
                  <c:v>Denmark</c:v>
                </c:pt>
                <c:pt idx="14">
                  <c:v>Slovenia</c:v>
                </c:pt>
                <c:pt idx="15">
                  <c:v>Czech Rep</c:v>
                </c:pt>
                <c:pt idx="16">
                  <c:v>UK</c:v>
                </c:pt>
                <c:pt idx="17">
                  <c:v>Lithuania</c:v>
                </c:pt>
                <c:pt idx="18">
                  <c:v>Austria</c:v>
                </c:pt>
                <c:pt idx="19">
                  <c:v>Italy</c:v>
                </c:pt>
                <c:pt idx="20">
                  <c:v>Portugal</c:v>
                </c:pt>
                <c:pt idx="21">
                  <c:v>Hungary</c:v>
                </c:pt>
                <c:pt idx="22">
                  <c:v>Estonia</c:v>
                </c:pt>
                <c:pt idx="23">
                  <c:v>Spain</c:v>
                </c:pt>
                <c:pt idx="24">
                  <c:v>Slovakia</c:v>
                </c:pt>
                <c:pt idx="25">
                  <c:v>Poland</c:v>
                </c:pt>
                <c:pt idx="26">
                  <c:v>Latvia</c:v>
                </c:pt>
              </c:strCache>
            </c:strRef>
          </c:cat>
          <c:val>
            <c:numRef>
              <c:f>Graphs!$D$34:$D$60</c:f>
              <c:numCache>
                <c:formatCode>General</c:formatCode>
                <c:ptCount val="27"/>
                <c:pt idx="1">
                  <c:v>4.3</c:v>
                </c:pt>
                <c:pt idx="3">
                  <c:v>4.3</c:v>
                </c:pt>
                <c:pt idx="5" formatCode="#,##0">
                  <c:v>2.6</c:v>
                </c:pt>
                <c:pt idx="6" formatCode="_(* #,##0_);_(* \(#,##0\);_(* &quot;-&quot;??_);_(@_)">
                  <c:v>3.7</c:v>
                </c:pt>
                <c:pt idx="7">
                  <c:v>2.4</c:v>
                </c:pt>
                <c:pt idx="8">
                  <c:v>3.1</c:v>
                </c:pt>
                <c:pt idx="9">
                  <c:v>4.0999999999999996</c:v>
                </c:pt>
                <c:pt idx="10">
                  <c:v>3.2</c:v>
                </c:pt>
                <c:pt idx="11">
                  <c:v>3.6</c:v>
                </c:pt>
                <c:pt idx="12">
                  <c:v>2.7</c:v>
                </c:pt>
                <c:pt idx="16">
                  <c:v>2.8</c:v>
                </c:pt>
                <c:pt idx="18" formatCode="_(* #,##0.00_);_(* \(#,##0.00\);_(* &quot;-&quot;??_);_(@_)">
                  <c:v>5.2</c:v>
                </c:pt>
                <c:pt idx="19" formatCode="_(* #,##0_);_(* \(#,##0\);_(* &quot;-&quot;??_);_(@_)">
                  <c:v>4</c:v>
                </c:pt>
                <c:pt idx="23">
                  <c:v>3.9</c:v>
                </c:pt>
              </c:numCache>
            </c:numRef>
          </c:val>
          <c:extLst>
            <c:ext xmlns:c16="http://schemas.microsoft.com/office/drawing/2014/chart" uri="{C3380CC4-5D6E-409C-BE32-E72D297353CC}">
              <c16:uniqueId val="{00000000-0826-9E4C-8F4A-10CF269012FB}"/>
            </c:ext>
          </c:extLst>
        </c:ser>
        <c:ser>
          <c:idx val="1"/>
          <c:order val="1"/>
          <c:tx>
            <c:strRef>
              <c:f>Graphs!$E$33</c:f>
              <c:strCache>
                <c:ptCount val="1"/>
                <c:pt idx="0">
                  <c:v>Nurses (all licensed) per 1000 population</c:v>
                </c:pt>
              </c:strCache>
            </c:strRef>
          </c:tx>
          <c:spPr>
            <a:solidFill>
              <a:schemeClr val="accent2"/>
            </a:solidFill>
            <a:ln>
              <a:noFill/>
            </a:ln>
            <a:effectLst/>
          </c:spPr>
          <c:invertIfNegative val="0"/>
          <c:cat>
            <c:strRef>
              <c:f>Graphs!$A$34:$A$60</c:f>
              <c:strCache>
                <c:ptCount val="27"/>
                <c:pt idx="0">
                  <c:v>Norway</c:v>
                </c:pt>
                <c:pt idx="1">
                  <c:v>Switzerland</c:v>
                </c:pt>
                <c:pt idx="2">
                  <c:v>Iceland</c:v>
                </c:pt>
                <c:pt idx="3">
                  <c:v>Germany</c:v>
                </c:pt>
                <c:pt idx="4">
                  <c:v>Irland</c:v>
                </c:pt>
                <c:pt idx="5">
                  <c:v>USA</c:v>
                </c:pt>
                <c:pt idx="6">
                  <c:v>Australia</c:v>
                </c:pt>
                <c:pt idx="7">
                  <c:v>Japan</c:v>
                </c:pt>
                <c:pt idx="8">
                  <c:v>Belgium</c:v>
                </c:pt>
                <c:pt idx="9">
                  <c:v>Sweden</c:v>
                </c:pt>
                <c:pt idx="10">
                  <c:v>France</c:v>
                </c:pt>
                <c:pt idx="11">
                  <c:v>Netherlands</c:v>
                </c:pt>
                <c:pt idx="12">
                  <c:v>Canada</c:v>
                </c:pt>
                <c:pt idx="13">
                  <c:v>Denmark</c:v>
                </c:pt>
                <c:pt idx="14">
                  <c:v>Slovenia</c:v>
                </c:pt>
                <c:pt idx="15">
                  <c:v>Czech Rep</c:v>
                </c:pt>
                <c:pt idx="16">
                  <c:v>UK</c:v>
                </c:pt>
                <c:pt idx="17">
                  <c:v>Lithuania</c:v>
                </c:pt>
                <c:pt idx="18">
                  <c:v>Austria</c:v>
                </c:pt>
                <c:pt idx="19">
                  <c:v>Italy</c:v>
                </c:pt>
                <c:pt idx="20">
                  <c:v>Portugal</c:v>
                </c:pt>
                <c:pt idx="21">
                  <c:v>Hungary</c:v>
                </c:pt>
                <c:pt idx="22">
                  <c:v>Estonia</c:v>
                </c:pt>
                <c:pt idx="23">
                  <c:v>Spain</c:v>
                </c:pt>
                <c:pt idx="24">
                  <c:v>Slovakia</c:v>
                </c:pt>
                <c:pt idx="25">
                  <c:v>Poland</c:v>
                </c:pt>
                <c:pt idx="26">
                  <c:v>Latvia</c:v>
                </c:pt>
              </c:strCache>
            </c:strRef>
          </c:cat>
          <c:val>
            <c:numRef>
              <c:f>Graphs!$E$34:$E$60</c:f>
              <c:numCache>
                <c:formatCode>0.0</c:formatCode>
                <c:ptCount val="27"/>
                <c:pt idx="0">
                  <c:v>17.809999999999999</c:v>
                </c:pt>
                <c:pt idx="1">
                  <c:v>17.23</c:v>
                </c:pt>
                <c:pt idx="2">
                  <c:v>14.85</c:v>
                </c:pt>
                <c:pt idx="3">
                  <c:v>12.93</c:v>
                </c:pt>
                <c:pt idx="4">
                  <c:v>12.16</c:v>
                </c:pt>
                <c:pt idx="5">
                  <c:v>11.74</c:v>
                </c:pt>
                <c:pt idx="6">
                  <c:v>11.68</c:v>
                </c:pt>
                <c:pt idx="7">
                  <c:v>11.34</c:v>
                </c:pt>
                <c:pt idx="8">
                  <c:v>10.96</c:v>
                </c:pt>
                <c:pt idx="9">
                  <c:v>10.9</c:v>
                </c:pt>
                <c:pt idx="10">
                  <c:v>10.8</c:v>
                </c:pt>
                <c:pt idx="11">
                  <c:v>10.29</c:v>
                </c:pt>
                <c:pt idx="12">
                  <c:v>9.9600000000000009</c:v>
                </c:pt>
                <c:pt idx="13">
                  <c:v>9.9499999999999993</c:v>
                </c:pt>
                <c:pt idx="14">
                  <c:v>9.92</c:v>
                </c:pt>
                <c:pt idx="15">
                  <c:v>8.06</c:v>
                </c:pt>
                <c:pt idx="16">
                  <c:v>7.8</c:v>
                </c:pt>
                <c:pt idx="17">
                  <c:v>7.71</c:v>
                </c:pt>
                <c:pt idx="18">
                  <c:v>6.85</c:v>
                </c:pt>
                <c:pt idx="19">
                  <c:v>6.71</c:v>
                </c:pt>
                <c:pt idx="20">
                  <c:v>6.7</c:v>
                </c:pt>
                <c:pt idx="21">
                  <c:v>6.51</c:v>
                </c:pt>
                <c:pt idx="22">
                  <c:v>6.19</c:v>
                </c:pt>
                <c:pt idx="23">
                  <c:v>5.74</c:v>
                </c:pt>
                <c:pt idx="24">
                  <c:v>5.65</c:v>
                </c:pt>
                <c:pt idx="25">
                  <c:v>5.0999999999999996</c:v>
                </c:pt>
                <c:pt idx="26">
                  <c:v>4.57</c:v>
                </c:pt>
              </c:numCache>
            </c:numRef>
          </c:val>
          <c:extLst>
            <c:ext xmlns:c16="http://schemas.microsoft.com/office/drawing/2014/chart" uri="{C3380CC4-5D6E-409C-BE32-E72D297353CC}">
              <c16:uniqueId val="{00000001-0826-9E4C-8F4A-10CF269012FB}"/>
            </c:ext>
          </c:extLst>
        </c:ser>
        <c:ser>
          <c:idx val="2"/>
          <c:order val="2"/>
          <c:tx>
            <c:strRef>
              <c:f>Graphs!$F$33</c:f>
              <c:strCache>
                <c:ptCount val="1"/>
                <c:pt idx="0">
                  <c:v>Nurses practicing per 1000 population</c:v>
                </c:pt>
              </c:strCache>
            </c:strRef>
          </c:tx>
          <c:spPr>
            <a:solidFill>
              <a:schemeClr val="accent3"/>
            </a:solidFill>
            <a:ln>
              <a:noFill/>
            </a:ln>
            <a:effectLst/>
          </c:spPr>
          <c:invertIfNegative val="0"/>
          <c:cat>
            <c:strRef>
              <c:f>Graphs!$A$34:$A$60</c:f>
              <c:strCache>
                <c:ptCount val="27"/>
                <c:pt idx="0">
                  <c:v>Norway</c:v>
                </c:pt>
                <c:pt idx="1">
                  <c:v>Switzerland</c:v>
                </c:pt>
                <c:pt idx="2">
                  <c:v>Iceland</c:v>
                </c:pt>
                <c:pt idx="3">
                  <c:v>Germany</c:v>
                </c:pt>
                <c:pt idx="4">
                  <c:v>Irland</c:v>
                </c:pt>
                <c:pt idx="5">
                  <c:v>USA</c:v>
                </c:pt>
                <c:pt idx="6">
                  <c:v>Australia</c:v>
                </c:pt>
                <c:pt idx="7">
                  <c:v>Japan</c:v>
                </c:pt>
                <c:pt idx="8">
                  <c:v>Belgium</c:v>
                </c:pt>
                <c:pt idx="9">
                  <c:v>Sweden</c:v>
                </c:pt>
                <c:pt idx="10">
                  <c:v>France</c:v>
                </c:pt>
                <c:pt idx="11">
                  <c:v>Netherlands</c:v>
                </c:pt>
                <c:pt idx="12">
                  <c:v>Canada</c:v>
                </c:pt>
                <c:pt idx="13">
                  <c:v>Denmark</c:v>
                </c:pt>
                <c:pt idx="14">
                  <c:v>Slovenia</c:v>
                </c:pt>
                <c:pt idx="15">
                  <c:v>Czech Rep</c:v>
                </c:pt>
                <c:pt idx="16">
                  <c:v>UK</c:v>
                </c:pt>
                <c:pt idx="17">
                  <c:v>Lithuania</c:v>
                </c:pt>
                <c:pt idx="18">
                  <c:v>Austria</c:v>
                </c:pt>
                <c:pt idx="19">
                  <c:v>Italy</c:v>
                </c:pt>
                <c:pt idx="20">
                  <c:v>Portugal</c:v>
                </c:pt>
                <c:pt idx="21">
                  <c:v>Hungary</c:v>
                </c:pt>
                <c:pt idx="22">
                  <c:v>Estonia</c:v>
                </c:pt>
                <c:pt idx="23">
                  <c:v>Spain</c:v>
                </c:pt>
                <c:pt idx="24">
                  <c:v>Slovakia</c:v>
                </c:pt>
                <c:pt idx="25">
                  <c:v>Poland</c:v>
                </c:pt>
                <c:pt idx="26">
                  <c:v>Latvia</c:v>
                </c:pt>
              </c:strCache>
            </c:strRef>
          </c:cat>
          <c:val>
            <c:numRef>
              <c:f>Graphs!$F$34:$F$60</c:f>
              <c:numCache>
                <c:formatCode>General</c:formatCode>
                <c:ptCount val="27"/>
                <c:pt idx="0">
                  <c:v>17.670000000000002</c:v>
                </c:pt>
                <c:pt idx="1">
                  <c:v>11.31</c:v>
                </c:pt>
                <c:pt idx="2">
                  <c:v>9.0500000000000007</c:v>
                </c:pt>
                <c:pt idx="3">
                  <c:v>10.91</c:v>
                </c:pt>
                <c:pt idx="6" formatCode="_(* #,##0_);_(* \(#,##0\);_(* &quot;-&quot;??_);_(@_)">
                  <c:v>9.69</c:v>
                </c:pt>
                <c:pt idx="12">
                  <c:v>7.15</c:v>
                </c:pt>
                <c:pt idx="14">
                  <c:v>3.21</c:v>
                </c:pt>
                <c:pt idx="16">
                  <c:v>6.39</c:v>
                </c:pt>
                <c:pt idx="17">
                  <c:v>7.71</c:v>
                </c:pt>
                <c:pt idx="18" formatCode="_(* #,##0.00_);_(* \(#,##0.00\);_(* &quot;-&quot;??_);_(@_)">
                  <c:v>6.85</c:v>
                </c:pt>
                <c:pt idx="19">
                  <c:v>5.49</c:v>
                </c:pt>
                <c:pt idx="21">
                  <c:v>4.78</c:v>
                </c:pt>
                <c:pt idx="22">
                  <c:v>6.19</c:v>
                </c:pt>
                <c:pt idx="23">
                  <c:v>5.74</c:v>
                </c:pt>
                <c:pt idx="25">
                  <c:v>5.0999999999999996</c:v>
                </c:pt>
              </c:numCache>
            </c:numRef>
          </c:val>
          <c:extLst>
            <c:ext xmlns:c16="http://schemas.microsoft.com/office/drawing/2014/chart" uri="{C3380CC4-5D6E-409C-BE32-E72D297353CC}">
              <c16:uniqueId val="{00000002-0826-9E4C-8F4A-10CF269012FB}"/>
            </c:ext>
          </c:extLst>
        </c:ser>
        <c:dLbls>
          <c:showLegendKey val="0"/>
          <c:showVal val="0"/>
          <c:showCatName val="0"/>
          <c:showSerName val="0"/>
          <c:showPercent val="0"/>
          <c:showBubbleSize val="0"/>
        </c:dLbls>
        <c:gapWidth val="107"/>
        <c:axId val="910427279"/>
        <c:axId val="910935935"/>
      </c:barChart>
      <c:catAx>
        <c:axId val="91042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crossAx val="910935935"/>
        <c:crosses val="autoZero"/>
        <c:auto val="1"/>
        <c:lblAlgn val="ctr"/>
        <c:lblOffset val="100"/>
        <c:noMultiLvlLbl val="0"/>
      </c:catAx>
      <c:valAx>
        <c:axId val="910935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 1000 population</a:t>
                </a:r>
              </a:p>
            </c:rich>
          </c:tx>
          <c:layout>
            <c:manualLayout>
              <c:xMode val="edge"/>
              <c:yMode val="edge"/>
              <c:x val="0"/>
              <c:y val="0.1836218935672806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910427279"/>
        <c:crosses val="autoZero"/>
        <c:crossBetween val="between"/>
        <c:majorUnit val="4"/>
      </c:valAx>
      <c:spPr>
        <a:noFill/>
        <a:ln>
          <a:noFill/>
        </a:ln>
        <a:effectLst/>
      </c:spPr>
    </c:plotArea>
    <c:legend>
      <c:legendPos val="b"/>
      <c:layout>
        <c:manualLayout>
          <c:xMode val="edge"/>
          <c:yMode val="edge"/>
          <c:x val="1.8722698465352586E-2"/>
          <c:y val="0.87275021946969977"/>
          <c:w val="0.93249681372976934"/>
          <c:h val="9.884052135528510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9744274000842"/>
          <c:y val="7.3438379793899194E-2"/>
          <c:w val="0.76001081777305635"/>
          <c:h val="0.59821498476141111"/>
        </c:manualLayout>
      </c:layout>
      <c:barChart>
        <c:barDir val="col"/>
        <c:grouping val="clustered"/>
        <c:varyColors val="0"/>
        <c:ser>
          <c:idx val="1"/>
          <c:order val="1"/>
          <c:tx>
            <c:strRef>
              <c:f>Graphs!$V$33</c:f>
              <c:strCache>
                <c:ptCount val="1"/>
                <c:pt idx="0">
                  <c:v>COVID-19 cumulative incidence/100 000 population</c:v>
                </c:pt>
              </c:strCache>
            </c:strRef>
          </c:tx>
          <c:spPr>
            <a:solidFill>
              <a:schemeClr val="accent6">
                <a:lumMod val="60000"/>
                <a:lumOff val="40000"/>
              </a:schemeClr>
            </a:solidFill>
            <a:ln>
              <a:noFill/>
            </a:ln>
            <a:effectLst/>
          </c:spPr>
          <c:invertIfNegative val="0"/>
          <c:cat>
            <c:strRef>
              <c:f>Graphs!$T$34:$T$35</c:f>
              <c:strCache>
                <c:ptCount val="2"/>
                <c:pt idx="0">
                  <c:v>Denmark</c:v>
                </c:pt>
                <c:pt idx="1">
                  <c:v>Norway</c:v>
                </c:pt>
              </c:strCache>
            </c:strRef>
          </c:cat>
          <c:val>
            <c:numRef>
              <c:f>Graphs!$V$34:$V$35</c:f>
              <c:numCache>
                <c:formatCode>0.0</c:formatCode>
                <c:ptCount val="2"/>
                <c:pt idx="0">
                  <c:v>64.89</c:v>
                </c:pt>
                <c:pt idx="1">
                  <c:v>100.75</c:v>
                </c:pt>
              </c:numCache>
            </c:numRef>
          </c:val>
          <c:extLst>
            <c:ext xmlns:c16="http://schemas.microsoft.com/office/drawing/2014/chart" uri="{C3380CC4-5D6E-409C-BE32-E72D297353CC}">
              <c16:uniqueId val="{00000000-2230-6441-893D-C6E99BE97358}"/>
            </c:ext>
          </c:extLst>
        </c:ser>
        <c:dLbls>
          <c:showLegendKey val="0"/>
          <c:showVal val="0"/>
          <c:showCatName val="0"/>
          <c:showSerName val="0"/>
          <c:showPercent val="0"/>
          <c:showBubbleSize val="0"/>
        </c:dLbls>
        <c:gapWidth val="219"/>
        <c:axId val="488052079"/>
        <c:axId val="488095663"/>
      </c:barChart>
      <c:lineChart>
        <c:grouping val="standard"/>
        <c:varyColors val="0"/>
        <c:ser>
          <c:idx val="0"/>
          <c:order val="0"/>
          <c:tx>
            <c:strRef>
              <c:f>Graphs!$U$33</c:f>
              <c:strCache>
                <c:ptCount val="1"/>
                <c:pt idx="0">
                  <c:v>COVID-19 total confirmed death/ 1 mln population</c:v>
                </c:pt>
              </c:strCache>
            </c:strRef>
          </c:tx>
          <c:spPr>
            <a:ln w="28575" cap="rnd">
              <a:solidFill>
                <a:schemeClr val="accent1"/>
              </a:solidFill>
              <a:round/>
            </a:ln>
            <a:effectLst/>
          </c:spPr>
          <c:marker>
            <c:symbol val="square"/>
            <c:size val="15"/>
            <c:spPr>
              <a:solidFill>
                <a:srgbClr val="C00000"/>
              </a:solidFill>
              <a:ln w="9525">
                <a:solidFill>
                  <a:schemeClr val="accent1"/>
                </a:solidFill>
              </a:ln>
              <a:effectLst/>
            </c:spPr>
          </c:marker>
          <c:dPt>
            <c:idx val="1"/>
            <c:marker>
              <c:symbol val="square"/>
              <c:size val="15"/>
              <c:spPr>
                <a:solidFill>
                  <a:srgbClr val="C00000"/>
                </a:solidFill>
                <a:ln w="9525">
                  <a:solidFill>
                    <a:schemeClr val="accent1"/>
                  </a:solidFill>
                </a:ln>
                <a:effectLst/>
              </c:spPr>
            </c:marker>
            <c:bubble3D val="0"/>
            <c:spPr>
              <a:ln w="28575" cap="rnd">
                <a:noFill/>
                <a:round/>
              </a:ln>
              <a:effectLst/>
            </c:spPr>
            <c:extLst>
              <c:ext xmlns:c16="http://schemas.microsoft.com/office/drawing/2014/chart" uri="{C3380CC4-5D6E-409C-BE32-E72D297353CC}">
                <c16:uniqueId val="{00000002-2230-6441-893D-C6E99BE9735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Graphs!$T$34:$T$35</c:f>
              <c:strCache>
                <c:ptCount val="2"/>
                <c:pt idx="0">
                  <c:v>Denmark</c:v>
                </c:pt>
                <c:pt idx="1">
                  <c:v>Norway</c:v>
                </c:pt>
              </c:strCache>
            </c:strRef>
          </c:cat>
          <c:val>
            <c:numRef>
              <c:f>Graphs!$U$34:$U$35</c:f>
              <c:numCache>
                <c:formatCode>0.0</c:formatCode>
                <c:ptCount val="2"/>
                <c:pt idx="0">
                  <c:v>24</c:v>
                </c:pt>
                <c:pt idx="1">
                  <c:v>8.1199999999999992</c:v>
                </c:pt>
              </c:numCache>
            </c:numRef>
          </c:val>
          <c:smooth val="0"/>
          <c:extLst>
            <c:ext xmlns:c16="http://schemas.microsoft.com/office/drawing/2014/chart" uri="{C3380CC4-5D6E-409C-BE32-E72D297353CC}">
              <c16:uniqueId val="{00000003-2230-6441-893D-C6E99BE97358}"/>
            </c:ext>
          </c:extLst>
        </c:ser>
        <c:ser>
          <c:idx val="2"/>
          <c:order val="2"/>
          <c:tx>
            <c:strRef>
              <c:f>Graphs!$W$33</c:f>
              <c:strCache>
                <c:ptCount val="1"/>
                <c:pt idx="0">
                  <c:v>Highest time point number of hopitalised cases per 1 mln pop as of April 3</c:v>
                </c:pt>
              </c:strCache>
            </c:strRef>
          </c:tx>
          <c:spPr>
            <a:ln w="28575" cap="rnd">
              <a:noFill/>
              <a:round/>
            </a:ln>
            <a:effectLst/>
          </c:spPr>
          <c:marker>
            <c:symbol val="diamond"/>
            <c:size val="16"/>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Graphs!$T$34:$T$35</c:f>
              <c:strCache>
                <c:ptCount val="2"/>
                <c:pt idx="0">
                  <c:v>Denmark</c:v>
                </c:pt>
                <c:pt idx="1">
                  <c:v>Norway</c:v>
                </c:pt>
              </c:strCache>
            </c:strRef>
          </c:cat>
          <c:val>
            <c:numRef>
              <c:f>Graphs!$W$34:$W$35</c:f>
              <c:numCache>
                <c:formatCode>0.0</c:formatCode>
                <c:ptCount val="2"/>
                <c:pt idx="0">
                  <c:v>92.4</c:v>
                </c:pt>
                <c:pt idx="1">
                  <c:v>60.05</c:v>
                </c:pt>
              </c:numCache>
            </c:numRef>
          </c:val>
          <c:smooth val="0"/>
          <c:extLst>
            <c:ext xmlns:c16="http://schemas.microsoft.com/office/drawing/2014/chart" uri="{C3380CC4-5D6E-409C-BE32-E72D297353CC}">
              <c16:uniqueId val="{00000004-2230-6441-893D-C6E99BE97358}"/>
            </c:ext>
          </c:extLst>
        </c:ser>
        <c:dLbls>
          <c:showLegendKey val="0"/>
          <c:showVal val="0"/>
          <c:showCatName val="0"/>
          <c:showSerName val="0"/>
          <c:showPercent val="0"/>
          <c:showBubbleSize val="0"/>
        </c:dLbls>
        <c:marker val="1"/>
        <c:smooth val="0"/>
        <c:axId val="482435711"/>
        <c:axId val="482369919"/>
      </c:lineChart>
      <c:catAx>
        <c:axId val="48243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GE"/>
          </a:p>
        </c:txPr>
        <c:crossAx val="482369919"/>
        <c:crosses val="autoZero"/>
        <c:auto val="1"/>
        <c:lblAlgn val="ctr"/>
        <c:lblOffset val="100"/>
        <c:noMultiLvlLbl val="0"/>
      </c:catAx>
      <c:valAx>
        <c:axId val="482369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rPr>
                  <a:t>Hospitalised (highet number) and cumulative deaths per 1 mln population</a:t>
                </a:r>
                <a:r>
                  <a:rPr lang="en-US" sz="700" b="0" i="0" u="none" strike="noStrike" baseline="0"/>
                  <a:t> </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482435711"/>
        <c:crosses val="autoZero"/>
        <c:crossBetween val="between"/>
        <c:majorUnit val="20"/>
      </c:valAx>
      <c:valAx>
        <c:axId val="488095663"/>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Cumulative incidence per 100,000 populaiton</a:t>
                </a:r>
                <a:endParaRPr lang="en-US" sz="800">
                  <a:effectLst/>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488052079"/>
        <c:crosses val="max"/>
        <c:crossBetween val="between"/>
      </c:valAx>
      <c:catAx>
        <c:axId val="488052079"/>
        <c:scaling>
          <c:orientation val="minMax"/>
        </c:scaling>
        <c:delete val="1"/>
        <c:axPos val="b"/>
        <c:numFmt formatCode="General" sourceLinked="1"/>
        <c:majorTickMark val="out"/>
        <c:minorTickMark val="none"/>
        <c:tickLblPos val="nextTo"/>
        <c:crossAx val="488095663"/>
        <c:crosses val="autoZero"/>
        <c:auto val="1"/>
        <c:lblAlgn val="ctr"/>
        <c:lblOffset val="100"/>
        <c:noMultiLvlLbl val="0"/>
      </c:catAx>
      <c:spPr>
        <a:noFill/>
        <a:ln>
          <a:noFill/>
        </a:ln>
        <a:effectLst/>
      </c:spPr>
    </c:plotArea>
    <c:legend>
      <c:legendPos val="b"/>
      <c:layout>
        <c:manualLayout>
          <c:xMode val="edge"/>
          <c:yMode val="edge"/>
          <c:x val="6.4701619106420014E-2"/>
          <c:y val="0.7685199013890438"/>
          <c:w val="0.87059663183343783"/>
          <c:h val="0.213313322354368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9729210677934"/>
          <c:y val="4.4381682469235427E-2"/>
          <c:w val="0.82384691935680987"/>
          <c:h val="0.72562798394987948"/>
        </c:manualLayout>
      </c:layout>
      <c:barChart>
        <c:barDir val="col"/>
        <c:grouping val="clustered"/>
        <c:varyColors val="0"/>
        <c:ser>
          <c:idx val="1"/>
          <c:order val="1"/>
          <c:tx>
            <c:strRef>
              <c:f>Graphs!$AK$1</c:f>
              <c:strCache>
                <c:ptCount val="1"/>
                <c:pt idx="0">
                  <c:v>COVID-19 cumulative incidence/100 000 population</c:v>
                </c:pt>
              </c:strCache>
            </c:strRef>
          </c:tx>
          <c:spPr>
            <a:solidFill>
              <a:schemeClr val="accent6">
                <a:lumMod val="60000"/>
                <a:lumOff val="40000"/>
              </a:schemeClr>
            </a:solidFill>
            <a:ln>
              <a:noFill/>
            </a:ln>
            <a:effectLst/>
          </c:spPr>
          <c:invertIfNegative val="0"/>
          <c:cat>
            <c:strRef>
              <c:f>Graphs!$A$5:$A$31</c:f>
              <c:strCache>
                <c:ptCount val="24"/>
                <c:pt idx="0">
                  <c:v>USA</c:v>
                </c:pt>
                <c:pt idx="1">
                  <c:v>Lithuania</c:v>
                </c:pt>
                <c:pt idx="2">
                  <c:v>Estonia</c:v>
                </c:pt>
                <c:pt idx="3">
                  <c:v>Canada</c:v>
                </c:pt>
                <c:pt idx="4">
                  <c:v>Hungary</c:v>
                </c:pt>
                <c:pt idx="5">
                  <c:v>Czech Rep</c:v>
                </c:pt>
                <c:pt idx="6">
                  <c:v>Switzerland</c:v>
                </c:pt>
                <c:pt idx="7">
                  <c:v>France</c:v>
                </c:pt>
                <c:pt idx="8">
                  <c:v>Spain</c:v>
                </c:pt>
                <c:pt idx="9">
                  <c:v>Latvia</c:v>
                </c:pt>
                <c:pt idx="10">
                  <c:v>Australia</c:v>
                </c:pt>
                <c:pt idx="11">
                  <c:v>Slovakia</c:v>
                </c:pt>
                <c:pt idx="12">
                  <c:v>Iceland</c:v>
                </c:pt>
                <c:pt idx="13">
                  <c:v>Italy</c:v>
                </c:pt>
                <c:pt idx="14">
                  <c:v>Norway</c:v>
                </c:pt>
                <c:pt idx="15">
                  <c:v>Japan</c:v>
                </c:pt>
                <c:pt idx="16">
                  <c:v>Poland</c:v>
                </c:pt>
                <c:pt idx="17">
                  <c:v>Denmark</c:v>
                </c:pt>
                <c:pt idx="18">
                  <c:v>UK</c:v>
                </c:pt>
                <c:pt idx="19">
                  <c:v>Irland</c:v>
                </c:pt>
                <c:pt idx="20">
                  <c:v>Netherlands</c:v>
                </c:pt>
                <c:pt idx="21">
                  <c:v>Slovenia</c:v>
                </c:pt>
                <c:pt idx="22">
                  <c:v>Sweden</c:v>
                </c:pt>
                <c:pt idx="23">
                  <c:v>Portugal</c:v>
                </c:pt>
              </c:strCache>
            </c:strRef>
          </c:cat>
          <c:val>
            <c:numRef>
              <c:f>Graphs!$AK$2:$AK$28</c:f>
              <c:numCache>
                <c:formatCode>0</c:formatCode>
                <c:ptCount val="27"/>
                <c:pt idx="0">
                  <c:v>386.70681159666822</c:v>
                </c:pt>
                <c:pt idx="1">
                  <c:v>251.87748333416715</c:v>
                </c:pt>
                <c:pt idx="2">
                  <c:v>238.7176039072819</c:v>
                </c:pt>
                <c:pt idx="3">
                  <c:v>198.31750452572606</c:v>
                </c:pt>
                <c:pt idx="4">
                  <c:v>193.6666884843896</c:v>
                </c:pt>
                <c:pt idx="5">
                  <c:v>101.06333536190758</c:v>
                </c:pt>
                <c:pt idx="6">
                  <c:v>100.75</c:v>
                </c:pt>
                <c:pt idx="7">
                  <c:v>96.131574428262169</c:v>
                </c:pt>
                <c:pt idx="8">
                  <c:v>96.118648736499154</c:v>
                </c:pt>
                <c:pt idx="9">
                  <c:v>91.24503775674745</c:v>
                </c:pt>
                <c:pt idx="10">
                  <c:v>88.293248850664042</c:v>
                </c:pt>
                <c:pt idx="11">
                  <c:v>87.975845246514581</c:v>
                </c:pt>
                <c:pt idx="12">
                  <c:v>84.96108448250996</c:v>
                </c:pt>
                <c:pt idx="13">
                  <c:v>72.694154285588937</c:v>
                </c:pt>
                <c:pt idx="14">
                  <c:v>64.888219377104178</c:v>
                </c:pt>
                <c:pt idx="15">
                  <c:v>59.733387425561759</c:v>
                </c:pt>
                <c:pt idx="16">
                  <c:v>57.451168839574585</c:v>
                </c:pt>
                <c:pt idx="17">
                  <c:v>45.119683099442042</c:v>
                </c:pt>
                <c:pt idx="18">
                  <c:v>39.429987305237979</c:v>
                </c:pt>
                <c:pt idx="19">
                  <c:v>33.781267708249011</c:v>
                </c:pt>
                <c:pt idx="20">
                  <c:v>27.520568144460498</c:v>
                </c:pt>
                <c:pt idx="21">
                  <c:v>25.581552224245915</c:v>
                </c:pt>
                <c:pt idx="22">
                  <c:v>21.62962962962963</c:v>
                </c:pt>
                <c:pt idx="23">
                  <c:v>17.14777434189908</c:v>
                </c:pt>
                <c:pt idx="24">
                  <c:v>8.8068824575882747</c:v>
                </c:pt>
                <c:pt idx="25">
                  <c:v>6.9413161882140955</c:v>
                </c:pt>
                <c:pt idx="26">
                  <c:v>2.3212590952230308</c:v>
                </c:pt>
              </c:numCache>
            </c:numRef>
          </c:val>
          <c:extLst>
            <c:ext xmlns:c16="http://schemas.microsoft.com/office/drawing/2014/chart" uri="{C3380CC4-5D6E-409C-BE32-E72D297353CC}">
              <c16:uniqueId val="{00000000-5028-0440-8DF1-DE635B2319B0}"/>
            </c:ext>
          </c:extLst>
        </c:ser>
        <c:dLbls>
          <c:showLegendKey val="0"/>
          <c:showVal val="0"/>
          <c:showCatName val="0"/>
          <c:showSerName val="0"/>
          <c:showPercent val="0"/>
          <c:showBubbleSize val="0"/>
        </c:dLbls>
        <c:gapWidth val="97"/>
        <c:axId val="490329519"/>
        <c:axId val="900768191"/>
      </c:barChart>
      <c:lineChart>
        <c:grouping val="standard"/>
        <c:varyColors val="0"/>
        <c:ser>
          <c:idx val="0"/>
          <c:order val="0"/>
          <c:tx>
            <c:strRef>
              <c:f>Graphs!$AL$1</c:f>
              <c:strCache>
                <c:ptCount val="1"/>
                <c:pt idx="0">
                  <c:v>Testing / 1 mln population</c:v>
                </c:pt>
              </c:strCache>
            </c:strRef>
          </c:tx>
          <c:spPr>
            <a:ln w="25400" cap="rnd">
              <a:noFill/>
              <a:round/>
            </a:ln>
            <a:effectLst/>
          </c:spPr>
          <c:marker>
            <c:symbol val="triangle"/>
            <c:size val="11"/>
            <c:spPr>
              <a:solidFill>
                <a:schemeClr val="accent2">
                  <a:lumMod val="75000"/>
                </a:schemeClr>
              </a:solidFill>
              <a:ln w="9525">
                <a:noFill/>
              </a:ln>
              <a:effectLst/>
            </c:spPr>
          </c:marker>
          <c:cat>
            <c:strRef>
              <c:f>Graphs!$S$2:$S$28</c:f>
              <c:strCache>
                <c:ptCount val="27"/>
                <c:pt idx="0">
                  <c:v>Irland</c:v>
                </c:pt>
                <c:pt idx="1">
                  <c:v>Spain</c:v>
                </c:pt>
                <c:pt idx="2">
                  <c:v>Belgium</c:v>
                </c:pt>
                <c:pt idx="3">
                  <c:v>Italy</c:v>
                </c:pt>
                <c:pt idx="4">
                  <c:v>Switzerland</c:v>
                </c:pt>
                <c:pt idx="5">
                  <c:v>Austria</c:v>
                </c:pt>
                <c:pt idx="6">
                  <c:v>Norway</c:v>
                </c:pt>
                <c:pt idx="7">
                  <c:v>Portugal</c:v>
                </c:pt>
                <c:pt idx="8">
                  <c:v>Germany</c:v>
                </c:pt>
                <c:pt idx="9">
                  <c:v>Netherlands</c:v>
                </c:pt>
                <c:pt idx="10">
                  <c:v>France</c:v>
                </c:pt>
                <c:pt idx="11">
                  <c:v>Iceland</c:v>
                </c:pt>
                <c:pt idx="12">
                  <c:v>USA</c:v>
                </c:pt>
                <c:pt idx="13">
                  <c:v>Estonia</c:v>
                </c:pt>
                <c:pt idx="14">
                  <c:v>Denmark</c:v>
                </c:pt>
                <c:pt idx="15">
                  <c:v>Sweden</c:v>
                </c:pt>
                <c:pt idx="16">
                  <c:v>UK</c:v>
                </c:pt>
                <c:pt idx="17">
                  <c:v>Slovenia</c:v>
                </c:pt>
                <c:pt idx="18">
                  <c:v>Czech Rep</c:v>
                </c:pt>
                <c:pt idx="19">
                  <c:v>Canada</c:v>
                </c:pt>
                <c:pt idx="20">
                  <c:v>Lithuania</c:v>
                </c:pt>
                <c:pt idx="21">
                  <c:v>Latvia</c:v>
                </c:pt>
                <c:pt idx="22">
                  <c:v>Australia</c:v>
                </c:pt>
                <c:pt idx="23">
                  <c:v>Slovakia</c:v>
                </c:pt>
                <c:pt idx="24">
                  <c:v>Poland</c:v>
                </c:pt>
                <c:pt idx="25">
                  <c:v>Hungary</c:v>
                </c:pt>
                <c:pt idx="26">
                  <c:v>Japan</c:v>
                </c:pt>
              </c:strCache>
            </c:strRef>
          </c:cat>
          <c:val>
            <c:numRef>
              <c:f>Graphs!$AL$2:$AL$28</c:f>
              <c:numCache>
                <c:formatCode>_(* #,##0_);_(* \(#,##0\);_(* "-"??_);_(@_)</c:formatCode>
                <c:ptCount val="27"/>
                <c:pt idx="0">
                  <c:v>64665.470183085301</c:v>
                </c:pt>
                <c:pt idx="1">
                  <c:v>7593</c:v>
                </c:pt>
                <c:pt idx="2">
                  <c:v>5847.2602171502704</c:v>
                </c:pt>
                <c:pt idx="3">
                  <c:v>10482.450023357</c:v>
                </c:pt>
                <c:pt idx="4">
                  <c:v>17729</c:v>
                </c:pt>
                <c:pt idx="5">
                  <c:v>11857.379862244199</c:v>
                </c:pt>
                <c:pt idx="6">
                  <c:v>19528</c:v>
                </c:pt>
                <c:pt idx="7">
                  <c:v>7952</c:v>
                </c:pt>
                <c:pt idx="8">
                  <c:v>11127.392690492999</c:v>
                </c:pt>
                <c:pt idx="9">
                  <c:v>4389.3784665700696</c:v>
                </c:pt>
                <c:pt idx="10">
                  <c:v>3412.2036637664601</c:v>
                </c:pt>
                <c:pt idx="12">
                  <c:v>409.42392645112602</c:v>
                </c:pt>
                <c:pt idx="13">
                  <c:v>14679.072614160499</c:v>
                </c:pt>
                <c:pt idx="14">
                  <c:v>6887.9381727849895</c:v>
                </c:pt>
                <c:pt idx="15">
                  <c:v>3654</c:v>
                </c:pt>
                <c:pt idx="16">
                  <c:v>2580.9169686825499</c:v>
                </c:pt>
                <c:pt idx="18">
                  <c:v>7499</c:v>
                </c:pt>
                <c:pt idx="19">
                  <c:v>6832.7420495141296</c:v>
                </c:pt>
                <c:pt idx="20">
                  <c:v>6461.75009938727</c:v>
                </c:pt>
                <c:pt idx="22">
                  <c:v>11857.379862244199</c:v>
                </c:pt>
                <c:pt idx="23">
                  <c:v>2776</c:v>
                </c:pt>
                <c:pt idx="24">
                  <c:v>1926</c:v>
                </c:pt>
                <c:pt idx="25">
                  <c:v>2200</c:v>
                </c:pt>
                <c:pt idx="26">
                  <c:v>311.836817594205</c:v>
                </c:pt>
              </c:numCache>
            </c:numRef>
          </c:val>
          <c:smooth val="0"/>
          <c:extLst>
            <c:ext xmlns:c16="http://schemas.microsoft.com/office/drawing/2014/chart" uri="{C3380CC4-5D6E-409C-BE32-E72D297353CC}">
              <c16:uniqueId val="{00000001-5028-0440-8DF1-DE635B2319B0}"/>
            </c:ext>
          </c:extLst>
        </c:ser>
        <c:dLbls>
          <c:showLegendKey val="0"/>
          <c:showVal val="0"/>
          <c:showCatName val="0"/>
          <c:showSerName val="0"/>
          <c:showPercent val="0"/>
          <c:showBubbleSize val="0"/>
        </c:dLbls>
        <c:marker val="1"/>
        <c:smooth val="0"/>
        <c:axId val="447625167"/>
        <c:axId val="447626799"/>
      </c:lineChart>
      <c:catAx>
        <c:axId val="44762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E"/>
          </a:p>
        </c:txPr>
        <c:crossAx val="447626799"/>
        <c:crosses val="autoZero"/>
        <c:auto val="1"/>
        <c:lblAlgn val="ctr"/>
        <c:lblOffset val="100"/>
        <c:noMultiLvlLbl val="0"/>
      </c:catAx>
      <c:valAx>
        <c:axId val="447626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Confirmed death per 1 mln population</a:t>
                </a:r>
                <a:endParaRPr lang="en-US" sz="900"/>
              </a:p>
            </c:rich>
          </c:tx>
          <c:layout>
            <c:manualLayout>
              <c:xMode val="edge"/>
              <c:yMode val="edge"/>
              <c:x val="6.6518847006651885E-3"/>
              <c:y val="9.014755241533883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crossAx val="447625167"/>
        <c:crosses val="autoZero"/>
        <c:crossBetween val="between"/>
      </c:valAx>
      <c:valAx>
        <c:axId val="900768191"/>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Cumulative incidence per 100,000</a:t>
                </a:r>
                <a:r>
                  <a:rPr lang="en-US" sz="900" baseline="0"/>
                  <a:t> populaiton</a:t>
                </a:r>
                <a:endParaRPr lang="en-US" sz="900"/>
              </a:p>
            </c:rich>
          </c:tx>
          <c:layout>
            <c:manualLayout>
              <c:xMode val="edge"/>
              <c:yMode val="edge"/>
              <c:x val="0.9680232903259598"/>
              <c:y val="4.034698406294129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E"/>
          </a:p>
        </c:txPr>
        <c:crossAx val="490329519"/>
        <c:crosses val="max"/>
        <c:crossBetween val="between"/>
      </c:valAx>
      <c:catAx>
        <c:axId val="490329519"/>
        <c:scaling>
          <c:orientation val="minMax"/>
        </c:scaling>
        <c:delete val="1"/>
        <c:axPos val="b"/>
        <c:numFmt formatCode="General" sourceLinked="1"/>
        <c:majorTickMark val="out"/>
        <c:minorTickMark val="none"/>
        <c:tickLblPos val="nextTo"/>
        <c:crossAx val="9007681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Graphs!$U$1</c:f>
              <c:strCache>
                <c:ptCount val="1"/>
                <c:pt idx="0">
                  <c:v>COVID-19 cumulative incidence/100 000 population</c:v>
                </c:pt>
              </c:strCache>
            </c:strRef>
          </c:tx>
          <c:spPr>
            <a:solidFill>
              <a:schemeClr val="accent6">
                <a:lumMod val="60000"/>
                <a:lumOff val="40000"/>
              </a:schemeClr>
            </a:solidFill>
            <a:ln w="25400">
              <a:noFill/>
            </a:ln>
            <a:effectLst/>
          </c:spPr>
          <c:invertIfNegative val="0"/>
          <c:cat>
            <c:strRef>
              <c:f>Graphs!$A$5:$A$31</c:f>
              <c:strCache>
                <c:ptCount val="24"/>
                <c:pt idx="0">
                  <c:v>USA</c:v>
                </c:pt>
                <c:pt idx="1">
                  <c:v>Lithuania</c:v>
                </c:pt>
                <c:pt idx="2">
                  <c:v>Estonia</c:v>
                </c:pt>
                <c:pt idx="3">
                  <c:v>Canada</c:v>
                </c:pt>
                <c:pt idx="4">
                  <c:v>Hungary</c:v>
                </c:pt>
                <c:pt idx="5">
                  <c:v>Czech Rep</c:v>
                </c:pt>
                <c:pt idx="6">
                  <c:v>Switzerland</c:v>
                </c:pt>
                <c:pt idx="7">
                  <c:v>France</c:v>
                </c:pt>
                <c:pt idx="8">
                  <c:v>Spain</c:v>
                </c:pt>
                <c:pt idx="9">
                  <c:v>Latvia</c:v>
                </c:pt>
                <c:pt idx="10">
                  <c:v>Australia</c:v>
                </c:pt>
                <c:pt idx="11">
                  <c:v>Slovakia</c:v>
                </c:pt>
                <c:pt idx="12">
                  <c:v>Iceland</c:v>
                </c:pt>
                <c:pt idx="13">
                  <c:v>Italy</c:v>
                </c:pt>
                <c:pt idx="14">
                  <c:v>Norway</c:v>
                </c:pt>
                <c:pt idx="15">
                  <c:v>Japan</c:v>
                </c:pt>
                <c:pt idx="16">
                  <c:v>Poland</c:v>
                </c:pt>
                <c:pt idx="17">
                  <c:v>Denmark</c:v>
                </c:pt>
                <c:pt idx="18">
                  <c:v>UK</c:v>
                </c:pt>
                <c:pt idx="19">
                  <c:v>Irland</c:v>
                </c:pt>
                <c:pt idx="20">
                  <c:v>Netherlands</c:v>
                </c:pt>
                <c:pt idx="21">
                  <c:v>Slovenia</c:v>
                </c:pt>
                <c:pt idx="22">
                  <c:v>Sweden</c:v>
                </c:pt>
                <c:pt idx="23">
                  <c:v>Portugal</c:v>
                </c:pt>
              </c:strCache>
            </c:strRef>
          </c:cat>
          <c:val>
            <c:numRef>
              <c:f>Graphs!$U$2:$U$28</c:f>
              <c:numCache>
                <c:formatCode>0.0</c:formatCode>
                <c:ptCount val="27"/>
                <c:pt idx="0">
                  <c:v>386.70681159666822</c:v>
                </c:pt>
                <c:pt idx="1">
                  <c:v>251.87748333416715</c:v>
                </c:pt>
                <c:pt idx="2">
                  <c:v>238.7176039072819</c:v>
                </c:pt>
                <c:pt idx="3">
                  <c:v>198.31750452572606</c:v>
                </c:pt>
                <c:pt idx="4">
                  <c:v>193.6666884843896</c:v>
                </c:pt>
                <c:pt idx="5">
                  <c:v>101.06333536190758</c:v>
                </c:pt>
                <c:pt idx="6">
                  <c:v>100.75</c:v>
                </c:pt>
                <c:pt idx="7">
                  <c:v>96.131574428262169</c:v>
                </c:pt>
                <c:pt idx="8">
                  <c:v>96.118648736499154</c:v>
                </c:pt>
                <c:pt idx="9">
                  <c:v>91.24503775674745</c:v>
                </c:pt>
                <c:pt idx="10">
                  <c:v>88.293248850664042</c:v>
                </c:pt>
                <c:pt idx="11">
                  <c:v>87.975845246514581</c:v>
                </c:pt>
                <c:pt idx="12">
                  <c:v>84.96108448250996</c:v>
                </c:pt>
                <c:pt idx="13">
                  <c:v>72.694154285588937</c:v>
                </c:pt>
                <c:pt idx="14">
                  <c:v>64.888219377104178</c:v>
                </c:pt>
                <c:pt idx="15">
                  <c:v>59.733387425561759</c:v>
                </c:pt>
                <c:pt idx="16">
                  <c:v>57.451168839574585</c:v>
                </c:pt>
                <c:pt idx="17">
                  <c:v>45.119683099442042</c:v>
                </c:pt>
                <c:pt idx="18">
                  <c:v>39.429987305237979</c:v>
                </c:pt>
                <c:pt idx="19">
                  <c:v>33.781267708249011</c:v>
                </c:pt>
                <c:pt idx="20">
                  <c:v>27.520568144460498</c:v>
                </c:pt>
                <c:pt idx="21">
                  <c:v>25.581552224245915</c:v>
                </c:pt>
                <c:pt idx="22">
                  <c:v>21.62962962962963</c:v>
                </c:pt>
                <c:pt idx="23">
                  <c:v>17.14777434189908</c:v>
                </c:pt>
                <c:pt idx="24">
                  <c:v>8.8068824575882747</c:v>
                </c:pt>
                <c:pt idx="25">
                  <c:v>6.9413161882140955</c:v>
                </c:pt>
                <c:pt idx="26">
                  <c:v>2.3212590952230308</c:v>
                </c:pt>
              </c:numCache>
            </c:numRef>
          </c:val>
          <c:extLst>
            <c:ext xmlns:c16="http://schemas.microsoft.com/office/drawing/2014/chart" uri="{C3380CC4-5D6E-409C-BE32-E72D297353CC}">
              <c16:uniqueId val="{00000000-8A57-5F43-BA94-AC9D3A8ECD51}"/>
            </c:ext>
          </c:extLst>
        </c:ser>
        <c:dLbls>
          <c:showLegendKey val="0"/>
          <c:showVal val="0"/>
          <c:showCatName val="0"/>
          <c:showSerName val="0"/>
          <c:showPercent val="0"/>
          <c:showBubbleSize val="0"/>
        </c:dLbls>
        <c:gapWidth val="97"/>
        <c:axId val="490329519"/>
        <c:axId val="900768191"/>
      </c:barChart>
      <c:lineChart>
        <c:grouping val="standard"/>
        <c:varyColors val="0"/>
        <c:ser>
          <c:idx val="0"/>
          <c:order val="0"/>
          <c:tx>
            <c:strRef>
              <c:f>Graphs!$T$1</c:f>
              <c:strCache>
                <c:ptCount val="1"/>
                <c:pt idx="0">
                  <c:v>COVID-19 total confirmed deaths/ 1 mln population</c:v>
                </c:pt>
              </c:strCache>
            </c:strRef>
          </c:tx>
          <c:spPr>
            <a:ln w="28575" cap="rnd">
              <a:noFill/>
              <a:round/>
            </a:ln>
            <a:effectLst/>
          </c:spPr>
          <c:marker>
            <c:symbol val="square"/>
            <c:size val="7"/>
            <c:spPr>
              <a:solidFill>
                <a:srgbClr val="C00000"/>
              </a:solidFill>
              <a:ln w="9525">
                <a:noFill/>
              </a:ln>
              <a:effectLst/>
            </c:spPr>
          </c:marker>
          <c:cat>
            <c:strRef>
              <c:f>Graphs!$S$2:$S$28</c:f>
              <c:strCache>
                <c:ptCount val="27"/>
                <c:pt idx="0">
                  <c:v>Irland</c:v>
                </c:pt>
                <c:pt idx="1">
                  <c:v>Spain</c:v>
                </c:pt>
                <c:pt idx="2">
                  <c:v>Belgium</c:v>
                </c:pt>
                <c:pt idx="3">
                  <c:v>Italy</c:v>
                </c:pt>
                <c:pt idx="4">
                  <c:v>Switzerland</c:v>
                </c:pt>
                <c:pt idx="5">
                  <c:v>Austria</c:v>
                </c:pt>
                <c:pt idx="6">
                  <c:v>Norway</c:v>
                </c:pt>
                <c:pt idx="7">
                  <c:v>Portugal</c:v>
                </c:pt>
                <c:pt idx="8">
                  <c:v>Germany</c:v>
                </c:pt>
                <c:pt idx="9">
                  <c:v>Netherlands</c:v>
                </c:pt>
                <c:pt idx="10">
                  <c:v>France</c:v>
                </c:pt>
                <c:pt idx="11">
                  <c:v>Iceland</c:v>
                </c:pt>
                <c:pt idx="12">
                  <c:v>USA</c:v>
                </c:pt>
                <c:pt idx="13">
                  <c:v>Estonia</c:v>
                </c:pt>
                <c:pt idx="14">
                  <c:v>Denmark</c:v>
                </c:pt>
                <c:pt idx="15">
                  <c:v>Sweden</c:v>
                </c:pt>
                <c:pt idx="16">
                  <c:v>UK</c:v>
                </c:pt>
                <c:pt idx="17">
                  <c:v>Slovenia</c:v>
                </c:pt>
                <c:pt idx="18">
                  <c:v>Czech Rep</c:v>
                </c:pt>
                <c:pt idx="19">
                  <c:v>Canada</c:v>
                </c:pt>
                <c:pt idx="20">
                  <c:v>Lithuania</c:v>
                </c:pt>
                <c:pt idx="21">
                  <c:v>Latvia</c:v>
                </c:pt>
                <c:pt idx="22">
                  <c:v>Australia</c:v>
                </c:pt>
                <c:pt idx="23">
                  <c:v>Slovakia</c:v>
                </c:pt>
                <c:pt idx="24">
                  <c:v>Poland</c:v>
                </c:pt>
                <c:pt idx="25">
                  <c:v>Hungary</c:v>
                </c:pt>
                <c:pt idx="26">
                  <c:v>Japan</c:v>
                </c:pt>
              </c:strCache>
            </c:strRef>
          </c:cat>
          <c:val>
            <c:numRef>
              <c:f>Graphs!$T$2:$T$28</c:f>
              <c:numCache>
                <c:formatCode>0.0</c:formatCode>
                <c:ptCount val="27"/>
                <c:pt idx="0">
                  <c:v>11.7216117216117</c:v>
                </c:pt>
                <c:pt idx="1">
                  <c:v>233.879815034111</c:v>
                </c:pt>
                <c:pt idx="2">
                  <c:v>98.622767139135604</c:v>
                </c:pt>
                <c:pt idx="3">
                  <c:v>242.814358838109</c:v>
                </c:pt>
                <c:pt idx="4">
                  <c:v>70.135966717421894</c:v>
                </c:pt>
                <c:pt idx="5">
                  <c:v>18.653402025226502</c:v>
                </c:pt>
                <c:pt idx="6">
                  <c:v>8.1162213382099502</c:v>
                </c:pt>
                <c:pt idx="7">
                  <c:v>24.125435790201699</c:v>
                </c:pt>
                <c:pt idx="8">
                  <c:v>12.138363740213</c:v>
                </c:pt>
                <c:pt idx="9">
                  <c:v>86.782084699431394</c:v>
                </c:pt>
                <c:pt idx="10">
                  <c:v>68.98</c:v>
                </c:pt>
                <c:pt idx="11">
                  <c:v>11.7216117216117</c:v>
                </c:pt>
                <c:pt idx="12">
                  <c:v>21.622183583323402</c:v>
                </c:pt>
                <c:pt idx="13">
                  <c:v>9.0460966469889001</c:v>
                </c:pt>
                <c:pt idx="14">
                  <c:v>23.997777702197201</c:v>
                </c:pt>
                <c:pt idx="15">
                  <c:v>32.972680203618701</c:v>
                </c:pt>
                <c:pt idx="16">
                  <c:v>53.103729599403103</c:v>
                </c:pt>
                <c:pt idx="17">
                  <c:v>9.6203242818909001</c:v>
                </c:pt>
                <c:pt idx="18">
                  <c:v>4.9491165453448298</c:v>
                </c:pt>
                <c:pt idx="19">
                  <c:v>4.95467177458882</c:v>
                </c:pt>
                <c:pt idx="20">
                  <c:v>3.3060389208942</c:v>
                </c:pt>
                <c:pt idx="21">
                  <c:v>0.53016591011991299</c:v>
                </c:pt>
                <c:pt idx="22">
                  <c:v>1.1764760784569901</c:v>
                </c:pt>
                <c:pt idx="23">
                  <c:v>0</c:v>
                </c:pt>
                <c:pt idx="24">
                  <c:v>1.8759938969426699</c:v>
                </c:pt>
                <c:pt idx="25">
                  <c:v>3.3125093811300799</c:v>
                </c:pt>
                <c:pt idx="26">
                  <c:v>0.54555607494953695</c:v>
                </c:pt>
              </c:numCache>
            </c:numRef>
          </c:val>
          <c:smooth val="0"/>
          <c:extLst>
            <c:ext xmlns:c16="http://schemas.microsoft.com/office/drawing/2014/chart" uri="{C3380CC4-5D6E-409C-BE32-E72D297353CC}">
              <c16:uniqueId val="{00000001-8A57-5F43-BA94-AC9D3A8ECD51}"/>
            </c:ext>
          </c:extLst>
        </c:ser>
        <c:dLbls>
          <c:showLegendKey val="0"/>
          <c:showVal val="0"/>
          <c:showCatName val="0"/>
          <c:showSerName val="0"/>
          <c:showPercent val="0"/>
          <c:showBubbleSize val="0"/>
        </c:dLbls>
        <c:marker val="1"/>
        <c:smooth val="0"/>
        <c:axId val="447625167"/>
        <c:axId val="447626799"/>
      </c:lineChart>
      <c:catAx>
        <c:axId val="44762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E"/>
          </a:p>
        </c:txPr>
        <c:crossAx val="447626799"/>
        <c:crosses val="autoZero"/>
        <c:auto val="1"/>
        <c:lblAlgn val="ctr"/>
        <c:lblOffset val="100"/>
        <c:noMultiLvlLbl val="0"/>
      </c:catAx>
      <c:valAx>
        <c:axId val="447626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Confirmed death per 1 mln population</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447625167"/>
        <c:crosses val="autoZero"/>
        <c:crossBetween val="between"/>
      </c:valAx>
      <c:valAx>
        <c:axId val="900768191"/>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Cumulative incidence per 100,000</a:t>
                </a:r>
                <a:r>
                  <a:rPr lang="en-US" sz="900" baseline="0"/>
                  <a:t> populaiton</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crossAx val="490329519"/>
        <c:crosses val="max"/>
        <c:crossBetween val="between"/>
      </c:valAx>
      <c:catAx>
        <c:axId val="490329519"/>
        <c:scaling>
          <c:orientation val="minMax"/>
        </c:scaling>
        <c:delete val="1"/>
        <c:axPos val="b"/>
        <c:numFmt formatCode="General" sourceLinked="1"/>
        <c:majorTickMark val="out"/>
        <c:minorTickMark val="none"/>
        <c:tickLblPos val="nextTo"/>
        <c:crossAx val="9007681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6</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Ivdity Chikovani</dc:creator>
  <cp:keywords/>
  <dc:description/>
  <cp:lastModifiedBy>Ivdity Chikovani</cp:lastModifiedBy>
  <cp:revision>11</cp:revision>
  <dcterms:created xsi:type="dcterms:W3CDTF">2020-04-04T14:57:00Z</dcterms:created>
  <dcterms:modified xsi:type="dcterms:W3CDTF">2020-04-05T17:23:00Z</dcterms:modified>
</cp:coreProperties>
</file>