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9A" w:rsidRPr="00C4009A" w:rsidRDefault="00C4009A" w:rsidP="00C4009A">
      <w:pPr>
        <w:shd w:val="clear" w:color="auto" w:fill="FFFFFF"/>
        <w:spacing w:after="0"/>
        <w:jc w:val="center"/>
        <w:rPr>
          <w:rFonts w:ascii="Sylfaen" w:hAnsi="Sylfaen" w:cs="Calibri"/>
          <w:b/>
          <w:color w:val="212121"/>
          <w:lang w:val="ka-GE"/>
        </w:rPr>
      </w:pPr>
      <w:r w:rsidRPr="00C4009A">
        <w:rPr>
          <w:rFonts w:ascii="Sylfaen" w:hAnsi="Sylfaen" w:cs="Calibri"/>
          <w:b/>
          <w:color w:val="212121"/>
          <w:lang w:val="ka-GE"/>
        </w:rPr>
        <w:t xml:space="preserve">საქართველოს </w:t>
      </w:r>
      <w:r w:rsidR="00F176C4">
        <w:rPr>
          <w:rFonts w:ascii="Sylfaen" w:hAnsi="Sylfaen" w:cs="Calibri"/>
          <w:b/>
          <w:color w:val="212121"/>
          <w:lang w:val="ka-GE"/>
        </w:rPr>
        <w:t>ოკუპირებულ</w:t>
      </w:r>
      <w:r w:rsidRPr="00C4009A">
        <w:rPr>
          <w:rFonts w:ascii="Sylfaen" w:hAnsi="Sylfaen" w:cs="Calibri"/>
          <w:b/>
          <w:color w:val="212121"/>
          <w:lang w:val="ka-GE"/>
        </w:rPr>
        <w:t>ი ტერიტორიებიდან დევნილთა, შრომის, ჯანმრთელობისა და სოციალური დაცვის სამინისტრო</w:t>
      </w:r>
    </w:p>
    <w:p w:rsidR="00C4009A" w:rsidRDefault="00C4009A" w:rsidP="00C4009A">
      <w:pPr>
        <w:shd w:val="clear" w:color="auto" w:fill="FFFFFF"/>
        <w:spacing w:after="0"/>
        <w:jc w:val="center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სახელმწიფო აუდიტის სამსახურისთვის მისაწოდებელი ინფორმაცია ქრონიკული დაავადებებით უზრუნველყოფის პროგრამის თაობაზე</w:t>
      </w:r>
    </w:p>
    <w:p w:rsidR="00C4009A" w:rsidRDefault="00C4009A" w:rsidP="00C4009A">
      <w:pPr>
        <w:shd w:val="clear" w:color="auto" w:fill="FFFFFF"/>
        <w:spacing w:after="0"/>
        <w:jc w:val="center"/>
        <w:rPr>
          <w:rFonts w:ascii="Sylfaen" w:hAnsi="Sylfaen" w:cs="Calibri"/>
          <w:color w:val="212121"/>
          <w:lang w:val="ka-GE"/>
        </w:rPr>
      </w:pPr>
    </w:p>
    <w:p w:rsidR="00422FFD" w:rsidRDefault="00422FFD" w:rsidP="00AE186B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Sylfaen" w:hAnsi="Sylfaen" w:cs="Calibri"/>
          <w:b/>
          <w:color w:val="212121"/>
          <w:sz w:val="22"/>
          <w:szCs w:val="22"/>
          <w:lang w:val="ka-GE"/>
        </w:rPr>
      </w:pPr>
      <w:r w:rsidRPr="00D50EE0">
        <w:rPr>
          <w:rFonts w:ascii="Sylfaen" w:hAnsi="Sylfaen" w:cs="Calibri"/>
          <w:b/>
          <w:color w:val="212121"/>
          <w:sz w:val="22"/>
          <w:szCs w:val="22"/>
          <w:lang w:val="ka-GE"/>
        </w:rPr>
        <w:t>როგორ და რის საფუძველზე განისაზღვრა სახელმწიფო პროგრამის დამტკიცებული</w:t>
      </w:r>
      <w:r w:rsidR="00AE186B">
        <w:rPr>
          <w:rFonts w:ascii="Sylfaen" w:hAnsi="Sylfaen" w:cs="Calibri"/>
          <w:b/>
          <w:color w:val="212121"/>
          <w:sz w:val="22"/>
          <w:szCs w:val="22"/>
          <w:lang w:val="ka-GE"/>
        </w:rPr>
        <w:t xml:space="preserve"> </w:t>
      </w:r>
      <w:r w:rsidRPr="00D50EE0">
        <w:rPr>
          <w:rFonts w:ascii="Sylfaen" w:hAnsi="Sylfaen" w:cs="Calibri"/>
          <w:b/>
          <w:color w:val="212121"/>
          <w:sz w:val="22"/>
          <w:szCs w:val="22"/>
          <w:lang w:val="ka-GE"/>
        </w:rPr>
        <w:t>ბიუჯეტი (10მლ ლარი)</w:t>
      </w:r>
    </w:p>
    <w:p w:rsidR="001E2740" w:rsidRDefault="001E2740" w:rsidP="00D50EE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4B0CF0">
        <w:rPr>
          <w:rFonts w:ascii="Sylfaen" w:hAnsi="Sylfaen" w:cs="Calibri"/>
          <w:color w:val="212121"/>
          <w:sz w:val="22"/>
          <w:szCs w:val="22"/>
          <w:lang w:val="ka-GE"/>
        </w:rPr>
        <w:t xml:space="preserve">2017 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წელს პროგრამის ბიუჯეტი შეადგენდა 3 360 000 ლარს</w:t>
      </w:r>
      <w:r w:rsidR="004B0CF0">
        <w:rPr>
          <w:rFonts w:ascii="Sylfaen" w:hAnsi="Sylfaen" w:cs="Calibri"/>
          <w:color w:val="212121"/>
          <w:sz w:val="22"/>
          <w:szCs w:val="22"/>
          <w:lang w:val="ka-GE"/>
        </w:rPr>
        <w:t>.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4B0CF0" w:rsidRPr="004B0CF0">
        <w:rPr>
          <w:rFonts w:ascii="Sylfaen" w:hAnsi="Sylfaen" w:cs="Calibri"/>
          <w:color w:val="212121"/>
          <w:sz w:val="22"/>
          <w:szCs w:val="22"/>
          <w:lang w:val="ka-GE"/>
        </w:rPr>
        <w:t>სამიზნე პოპულაციად განისაზღვრა სოციალურად დაუცველი ოჯახების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4B0CF0" w:rsidRPr="004B0CF0">
        <w:rPr>
          <w:rFonts w:ascii="Sylfaen" w:hAnsi="Sylfaen" w:cs="Calibri"/>
          <w:color w:val="212121"/>
          <w:sz w:val="22"/>
          <w:szCs w:val="22"/>
          <w:lang w:val="ka-GE"/>
        </w:rPr>
        <w:t>მონაცემთა ერთიან ბაზაში რეგისტრირებული პირები, რომელთა სარეიტინგო ქულა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4B0CF0" w:rsidRPr="004B0CF0">
        <w:rPr>
          <w:rFonts w:ascii="Sylfaen" w:hAnsi="Sylfaen" w:cs="Calibri"/>
          <w:color w:val="212121"/>
          <w:sz w:val="22"/>
          <w:szCs w:val="22"/>
          <w:lang w:val="ka-GE"/>
        </w:rPr>
        <w:t>არ</w:t>
      </w:r>
      <w:r w:rsidR="0030729E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4B0CF0" w:rsidRPr="004B0CF0">
        <w:rPr>
          <w:rFonts w:ascii="Sylfaen" w:hAnsi="Sylfaen" w:cs="Calibri"/>
          <w:color w:val="212121"/>
          <w:sz w:val="22"/>
          <w:szCs w:val="22"/>
          <w:lang w:val="ka-GE"/>
        </w:rPr>
        <w:t>აღემატება 100 000 ქულას (დაახლოებით 670 000 ადამიანი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>, დაავადებების გავრცელების გათვალისწინებით მედიკამენტების პოტენციური მომხმარებელი იქნებოდა ამ ჯგუფის 45%</w:t>
      </w:r>
      <w:r w:rsidR="004B0CF0" w:rsidRPr="004B0CF0">
        <w:rPr>
          <w:rFonts w:ascii="Sylfaen" w:hAnsi="Sylfaen" w:cs="Calibri"/>
          <w:color w:val="212121"/>
          <w:sz w:val="22"/>
          <w:szCs w:val="22"/>
          <w:lang w:val="ka-GE"/>
        </w:rPr>
        <w:t>).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50EE0" w:rsidRPr="004B0CF0">
        <w:rPr>
          <w:rFonts w:ascii="Sylfaen" w:hAnsi="Sylfaen" w:cs="Calibri"/>
          <w:color w:val="212121"/>
          <w:sz w:val="22"/>
          <w:szCs w:val="22"/>
          <w:lang w:val="ka-GE"/>
        </w:rPr>
        <w:t>სულ შესყიდულ იქნა 23 დასახელების მედიკამენტი.</w:t>
      </w:r>
      <w:r w:rsidR="00D50EE0">
        <w:rPr>
          <w:rFonts w:ascii="Sylfaen" w:hAnsi="Sylfaen" w:cs="Calibri"/>
          <w:color w:val="212121"/>
          <w:sz w:val="22"/>
          <w:szCs w:val="22"/>
          <w:lang w:val="ka-GE"/>
        </w:rPr>
        <w:t xml:space="preserve"> ბიუჯეტის ხარჯვამ შეადგინა 2 687 000 ლარი (80%).</w:t>
      </w:r>
    </w:p>
    <w:p w:rsidR="004B0CF0" w:rsidRPr="007F4918" w:rsidRDefault="004B0CF0" w:rsidP="007F4918">
      <w:pPr>
        <w:pStyle w:val="ListParagraph"/>
        <w:ind w:left="360"/>
        <w:jc w:val="both"/>
        <w:rPr>
          <w:sz w:val="22"/>
          <w:szCs w:val="22"/>
          <w:lang w:val="ka-GE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2018 წლისათვის დაიგეგმა, როგორც ბენეფიციართა არეალის, ასევე, მედიკამენტების რაოდენობის და მიმართულებების ზრდა. 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 xml:space="preserve">ქრონიკული დაავადებების მაღალი გავრცელების გამო, </w:t>
      </w:r>
      <w:r w:rsidR="008D1376">
        <w:rPr>
          <w:rFonts w:ascii="Sylfaen" w:hAnsi="Sylfaen" w:cs="Calibri"/>
          <w:color w:val="212121"/>
          <w:sz w:val="22"/>
          <w:szCs w:val="22"/>
          <w:lang w:val="ka-GE"/>
        </w:rPr>
        <w:t xml:space="preserve">სავარაუდო ბენეფიციართა წრედ მოიაზრებოდა საპენსიო ასაკის და შშმ პირები, მათი რაოდენობა დაახლოებით 900 000-მდე. შესაბამისად, მოსარგებლეთა საპროგნოზო რაოდენობად გაითვალა დაახლოებით 1 570 000 პირი (სავარაუდოდ მოსარგებლეთა რაოდენობის 140%-ით ზრდა). ამავე პრინციპის გათვალისწინებით, მედიკამენტების კარგი უტილიზაციის პირობებში საჭირო </w:t>
      </w:r>
      <w:r w:rsidR="00E10B1E">
        <w:rPr>
          <w:rFonts w:ascii="Sylfaen" w:hAnsi="Sylfaen" w:cs="Calibri"/>
          <w:color w:val="212121"/>
          <w:sz w:val="22"/>
          <w:szCs w:val="22"/>
          <w:lang w:val="ka-GE"/>
        </w:rPr>
        <w:t>ბიუჯეტი განისაზღვრა 10 000 000 ლარით, მათ შორის</w:t>
      </w:r>
      <w:r w:rsidR="00CC1E60">
        <w:rPr>
          <w:rFonts w:ascii="Sylfaen" w:hAnsi="Sylfaen" w:cs="Calibri"/>
          <w:color w:val="212121"/>
          <w:sz w:val="22"/>
          <w:szCs w:val="22"/>
          <w:lang w:val="ka-GE"/>
        </w:rPr>
        <w:t>,</w:t>
      </w:r>
      <w:bookmarkStart w:id="0" w:name="_GoBack"/>
      <w:bookmarkEnd w:id="0"/>
      <w:r w:rsidR="00E10B1E">
        <w:rPr>
          <w:rFonts w:ascii="Sylfaen" w:hAnsi="Sylfaen" w:cs="Calibri"/>
          <w:color w:val="212121"/>
          <w:sz w:val="22"/>
          <w:szCs w:val="22"/>
          <w:lang w:val="ka-GE"/>
        </w:rPr>
        <w:t xml:space="preserve"> გათვალისწინებული იქნა წლის განმავლობაში, სავარაუდოდ დაავადებათა ახალი მიმართულებების დამატება.</w:t>
      </w:r>
    </w:p>
    <w:p w:rsidR="00C4009A" w:rsidRPr="00D50EE0" w:rsidRDefault="000E2177" w:rsidP="000E2177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Sylfaen" w:hAnsi="Sylfaen" w:cs="Calibri"/>
          <w:b/>
          <w:color w:val="212121"/>
          <w:sz w:val="22"/>
          <w:szCs w:val="22"/>
          <w:lang w:val="ka-GE"/>
        </w:rPr>
      </w:pPr>
      <w:r w:rsidRPr="00D50EE0">
        <w:rPr>
          <w:rFonts w:ascii="Sylfaen" w:hAnsi="Sylfaen" w:cs="Calibri"/>
          <w:b/>
          <w:color w:val="212121"/>
          <w:sz w:val="22"/>
          <w:szCs w:val="22"/>
          <w:lang w:val="ka-GE"/>
        </w:rPr>
        <w:t>როგორ და რის საფუძველზე განისაზღვრა შესასყიდი მედიკამენტების რაოდენობები და სავარაუდო ღირებულებები (დეტალურად პროგრამით გათვალისწინებულ ყველა მედიკამენტზე) თავდაპირველად დამტ</w:t>
      </w:r>
      <w:r w:rsidR="00366685">
        <w:rPr>
          <w:rFonts w:ascii="Sylfaen" w:hAnsi="Sylfaen" w:cs="Calibri"/>
          <w:b/>
          <w:color w:val="212121"/>
          <w:sz w:val="22"/>
          <w:szCs w:val="22"/>
          <w:lang w:val="ka-GE"/>
        </w:rPr>
        <w:t>კ</w:t>
      </w:r>
      <w:r w:rsidRPr="00D50EE0">
        <w:rPr>
          <w:rFonts w:ascii="Sylfaen" w:hAnsi="Sylfaen" w:cs="Calibri"/>
          <w:b/>
          <w:color w:val="212121"/>
          <w:sz w:val="22"/>
          <w:szCs w:val="22"/>
          <w:lang w:val="ka-GE"/>
        </w:rPr>
        <w:t>იცებულ პროგრამაში (2018 წლის აგვისტომდე);</w:t>
      </w:r>
    </w:p>
    <w:p w:rsidR="00D50EE0" w:rsidRDefault="00C4009A" w:rsidP="00D50EE0">
      <w:pPr>
        <w:pStyle w:val="ListParagraph"/>
        <w:spacing w:before="0" w:beforeAutospacing="0" w:after="0" w:afterAutospacing="0"/>
        <w:ind w:left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ქრონიკული დაავადებებით უზრუნველყოფის პროგრამის განხორციელება სამინისტრომ</w:t>
      </w:r>
    </w:p>
    <w:p w:rsidR="00D50EE0" w:rsidRDefault="00C4009A" w:rsidP="00D50EE0">
      <w:pPr>
        <w:pStyle w:val="ListParagraph"/>
        <w:spacing w:before="0" w:beforeAutospacing="0" w:after="0" w:afterAutospacing="0"/>
        <w:ind w:left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დაიწყო 2017 წლის 1 ივლისიდან. </w:t>
      </w:r>
      <w:r w:rsidR="00447871">
        <w:rPr>
          <w:rFonts w:ascii="Sylfaen" w:hAnsi="Sylfaen" w:cs="Calibri"/>
          <w:color w:val="212121"/>
          <w:sz w:val="22"/>
          <w:szCs w:val="22"/>
          <w:lang w:val="ka-GE"/>
        </w:rPr>
        <w:t xml:space="preserve">პროგრამის ფარგლებში შესყიდულ იქნა 23 დასახელების მედიკამენტი </w:t>
      </w:r>
      <w:r w:rsidR="00AE186B">
        <w:rPr>
          <w:rFonts w:ascii="Sylfaen" w:hAnsi="Sylfaen" w:cs="Calibri"/>
          <w:color w:val="212121"/>
          <w:sz w:val="22"/>
          <w:szCs w:val="22"/>
          <w:lang w:val="ka-GE"/>
        </w:rPr>
        <w:t>გ</w:t>
      </w:r>
      <w:r w:rsid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ულ-სისხლძარღვთა, </w:t>
      </w:r>
      <w:r w:rsidR="00447871">
        <w:rPr>
          <w:rFonts w:ascii="Sylfaen" w:hAnsi="Sylfaen" w:cs="Calibri"/>
          <w:color w:val="212121"/>
          <w:sz w:val="22"/>
          <w:szCs w:val="22"/>
          <w:lang w:val="ka-GE"/>
        </w:rPr>
        <w:t xml:space="preserve">ფილტვის, ფარისებრი ჯირკვლის დაავადებების და დიაბეტი (ტიპი 2) სამკურნალოდ. </w:t>
      </w:r>
      <w:r w:rsidR="00D50EE0" w:rsidRPr="00D50EE0">
        <w:rPr>
          <w:rFonts w:ascii="Sylfaen" w:hAnsi="Sylfaen" w:cs="Calibri"/>
          <w:color w:val="212121"/>
          <w:sz w:val="22"/>
          <w:szCs w:val="22"/>
          <w:lang w:val="ka-GE"/>
        </w:rPr>
        <w:t>მედიკამენტების სახეობისა და დოზების შერჩევა მოხდა იმ</w:t>
      </w:r>
      <w:r w:rsid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50EE0" w:rsidRPr="00D50EE0">
        <w:rPr>
          <w:rFonts w:ascii="Sylfaen" w:hAnsi="Sylfaen" w:cs="Calibri"/>
          <w:color w:val="212121"/>
          <w:sz w:val="22"/>
          <w:szCs w:val="22"/>
          <w:lang w:val="ka-GE"/>
        </w:rPr>
        <w:t>ესენციური მედიკამენტების ნუსხიდან, რომლებიც თანამედროვე კლინიკური</w:t>
      </w:r>
      <w:r w:rsid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D50EE0" w:rsidRPr="00D50EE0">
        <w:rPr>
          <w:rFonts w:ascii="Sylfaen" w:hAnsi="Sylfaen" w:cs="Calibri"/>
          <w:color w:val="212121"/>
          <w:sz w:val="22"/>
          <w:szCs w:val="22"/>
          <w:lang w:val="ka-GE"/>
        </w:rPr>
        <w:t>რეკომენდაციებით გამოიყენება აღნიშნული დაავადებების ქრონიკული მედიკამენტური</w:t>
      </w:r>
    </w:p>
    <w:p w:rsidR="00D50EE0" w:rsidRDefault="00D50EE0" w:rsidP="00D50EE0">
      <w:pPr>
        <w:pStyle w:val="ListParagraph"/>
        <w:spacing w:before="0" w:beforeAutospacing="0" w:after="0" w:afterAutospacing="0"/>
        <w:ind w:left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D50EE0">
        <w:rPr>
          <w:rFonts w:ascii="Sylfaen" w:hAnsi="Sylfaen" w:cs="Calibri"/>
          <w:color w:val="212121"/>
          <w:sz w:val="22"/>
          <w:szCs w:val="22"/>
          <w:lang w:val="ka-GE"/>
        </w:rPr>
        <w:t>მკურნალობისათვის რუტინულ ამბულატორიულ კლინიკურ პრაქტიკაში.</w:t>
      </w:r>
    </w:p>
    <w:p w:rsidR="00C4009A" w:rsidRDefault="00C4009A" w:rsidP="00D50EE0">
      <w:pPr>
        <w:pStyle w:val="ListParagraph"/>
        <w:spacing w:before="0" w:beforeAutospacing="0" w:after="0" w:afterAutospacing="0"/>
        <w:ind w:left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</w:p>
    <w:p w:rsidR="00366685" w:rsidRPr="00AE186B" w:rsidRDefault="00232F77" w:rsidP="00AE186B">
      <w:pPr>
        <w:pStyle w:val="ListParagraph"/>
        <w:spacing w:before="0" w:beforeAutospacing="0" w:after="0" w:afterAutospacing="0"/>
        <w:ind w:left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მედიკამენტების საჭიროების შეფასება </w:t>
      </w:r>
      <w:r w:rsidR="0030729E">
        <w:rPr>
          <w:rFonts w:ascii="Sylfaen" w:hAnsi="Sylfaen" w:cs="Calibri"/>
          <w:color w:val="212121"/>
          <w:sz w:val="22"/>
          <w:szCs w:val="22"/>
          <w:lang w:val="ka-GE"/>
        </w:rPr>
        <w:t>მოხდა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ქრონიკული დაავადებების გავრცელების ეპიდემიოლოგიური ანალიზის, მედიკამენტების მოხმარების მეცნიერულად დასაბუთებული პრაქტიკის</w:t>
      </w:r>
      <w:r w:rsidR="0030729E">
        <w:rPr>
          <w:rFonts w:ascii="Sylfaen" w:hAnsi="Sylfaen" w:cs="Calibri"/>
          <w:color w:val="212121"/>
          <w:sz w:val="22"/>
          <w:szCs w:val="22"/>
          <w:lang w:val="ka-GE"/>
        </w:rPr>
        <w:t>ა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(შესაბამისობა გაიდლაინებთან) და მედიკამენტების მოსალოდნელი უტილიზაციის გათვალისწინებით. </w:t>
      </w:r>
    </w:p>
    <w:p w:rsidR="00447871" w:rsidRPr="005402AA" w:rsidRDefault="00447871" w:rsidP="00AE186B">
      <w:pPr>
        <w:ind w:firstLine="360"/>
        <w:jc w:val="both"/>
        <w:rPr>
          <w:rFonts w:ascii="Sylfaen" w:hAnsi="Sylfaen"/>
          <w:lang w:val="ka-GE"/>
        </w:rPr>
      </w:pPr>
      <w:r w:rsidRPr="005402AA">
        <w:rPr>
          <w:rFonts w:ascii="Sylfaen" w:hAnsi="Sylfaen"/>
        </w:rPr>
        <w:t>გადათვლებისას</w:t>
      </w:r>
      <w:r w:rsidR="00366685">
        <w:rPr>
          <w:rFonts w:ascii="Sylfaen" w:hAnsi="Sylfaen"/>
          <w:lang w:val="ka-GE"/>
        </w:rPr>
        <w:t xml:space="preserve"> </w:t>
      </w:r>
      <w:r w:rsidRPr="005402AA">
        <w:rPr>
          <w:rFonts w:ascii="Sylfaen" w:hAnsi="Sylfaen"/>
        </w:rPr>
        <w:t>დაშვებული</w:t>
      </w:r>
      <w:r w:rsidRPr="005402AA">
        <w:rPr>
          <w:rFonts w:ascii="Sylfaen" w:hAnsi="Sylfaen"/>
          <w:lang w:val="ka-GE"/>
        </w:rPr>
        <w:t xml:space="preserve"> იქნა შემდეგი პირობები:</w:t>
      </w:r>
    </w:p>
    <w:p w:rsidR="00447871" w:rsidRPr="005402AA" w:rsidRDefault="00447871" w:rsidP="00447871">
      <w:pPr>
        <w:pStyle w:val="ListParagraph"/>
        <w:numPr>
          <w:ilvl w:val="0"/>
          <w:numId w:val="5"/>
        </w:numPr>
        <w:spacing w:before="0" w:beforeAutospacing="0" w:after="160" w:afterAutospacing="0" w:line="259" w:lineRule="auto"/>
        <w:contextualSpacing/>
        <w:jc w:val="both"/>
        <w:rPr>
          <w:rFonts w:ascii="Sylfaen" w:hAnsi="Sylfaen"/>
          <w:sz w:val="22"/>
          <w:szCs w:val="22"/>
        </w:rPr>
      </w:pPr>
      <w:r w:rsidRPr="005402AA">
        <w:rPr>
          <w:rFonts w:ascii="Sylfaen" w:hAnsi="Sylfaen"/>
          <w:sz w:val="22"/>
          <w:szCs w:val="22"/>
        </w:rPr>
        <w:t>მედიკამენტების</w:t>
      </w:r>
      <w:r w:rsidR="00366685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მაღალი</w:t>
      </w:r>
      <w:r w:rsidR="00366685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 xml:space="preserve">უტილიზაცია - 80%. </w:t>
      </w:r>
    </w:p>
    <w:p w:rsidR="00447871" w:rsidRPr="005402AA" w:rsidRDefault="00447871" w:rsidP="00447871">
      <w:pPr>
        <w:pStyle w:val="ListParagraph"/>
        <w:numPr>
          <w:ilvl w:val="0"/>
          <w:numId w:val="5"/>
        </w:numPr>
        <w:spacing w:before="0" w:beforeAutospacing="0" w:after="160" w:afterAutospacing="0" w:line="259" w:lineRule="auto"/>
        <w:contextualSpacing/>
        <w:jc w:val="both"/>
        <w:rPr>
          <w:rFonts w:ascii="Sylfaen" w:hAnsi="Sylfaen"/>
          <w:sz w:val="22"/>
          <w:szCs w:val="22"/>
        </w:rPr>
      </w:pPr>
      <w:r w:rsidRPr="005402AA">
        <w:rPr>
          <w:rFonts w:ascii="Sylfaen" w:hAnsi="Sylfaen"/>
          <w:sz w:val="22"/>
          <w:szCs w:val="22"/>
          <w:lang w:val="ka-GE"/>
        </w:rPr>
        <w:t>მ</w:t>
      </w:r>
      <w:r w:rsidRPr="005402AA">
        <w:rPr>
          <w:rFonts w:ascii="Sylfaen" w:hAnsi="Sylfaen"/>
          <w:sz w:val="22"/>
          <w:szCs w:val="22"/>
        </w:rPr>
        <w:t>ედიკამენტების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გამოყენებას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შეზღუდავს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ძირითადი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უკუჩვენებები, მოსალოდნელი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გვერდითი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ეფექტები, წამლის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აუტანლობა - ჯამში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 xml:space="preserve">ბენეფიციართა 20%-ში. </w:t>
      </w:r>
    </w:p>
    <w:p w:rsidR="00447871" w:rsidRPr="005402AA" w:rsidRDefault="00447871" w:rsidP="00447871">
      <w:pPr>
        <w:pStyle w:val="ListParagraph"/>
        <w:numPr>
          <w:ilvl w:val="0"/>
          <w:numId w:val="5"/>
        </w:numPr>
        <w:spacing w:before="0" w:beforeAutospacing="0" w:after="160" w:afterAutospacing="0" w:line="259" w:lineRule="auto"/>
        <w:contextualSpacing/>
        <w:jc w:val="both"/>
        <w:rPr>
          <w:rFonts w:ascii="Sylfaen" w:hAnsi="Sylfaen"/>
          <w:sz w:val="22"/>
          <w:szCs w:val="22"/>
        </w:rPr>
      </w:pPr>
      <w:r w:rsidRPr="005402AA">
        <w:rPr>
          <w:rFonts w:ascii="Sylfaen" w:hAnsi="Sylfaen"/>
          <w:sz w:val="22"/>
          <w:szCs w:val="22"/>
        </w:rPr>
        <w:lastRenderedPageBreak/>
        <w:t>დამყოლობის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მაჩვენებლად, სხვადასხვა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კვლევასა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საერთაშორისო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გაიდლაინზე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დაფუძნებით, სხვადასხვა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დაავადებების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შემთხვევაში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აღებულ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 xml:space="preserve">იქნა 60-90%. </w:t>
      </w:r>
    </w:p>
    <w:p w:rsidR="00447871" w:rsidRPr="005402AA" w:rsidRDefault="00447871" w:rsidP="00447871">
      <w:pPr>
        <w:pStyle w:val="ListParagraph"/>
        <w:numPr>
          <w:ilvl w:val="0"/>
          <w:numId w:val="5"/>
        </w:numPr>
        <w:spacing w:before="0" w:beforeAutospacing="0" w:after="160" w:afterAutospacing="0" w:line="259" w:lineRule="auto"/>
        <w:contextualSpacing/>
        <w:jc w:val="both"/>
        <w:rPr>
          <w:rFonts w:ascii="Sylfaen" w:hAnsi="Sylfaen"/>
          <w:sz w:val="22"/>
          <w:szCs w:val="22"/>
        </w:rPr>
      </w:pPr>
      <w:r w:rsidRPr="005402AA">
        <w:rPr>
          <w:rFonts w:ascii="Sylfaen" w:hAnsi="Sylfaen"/>
          <w:sz w:val="22"/>
          <w:szCs w:val="22"/>
        </w:rPr>
        <w:t>საშუალო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დღიური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დოზა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შეესაბამება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მიზნობრივი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დაავადებების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ხანგრძლივი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მედიკამენტური</w:t>
      </w:r>
      <w:r w:rsidR="00AE186B">
        <w:rPr>
          <w:rFonts w:ascii="Sylfaen" w:hAnsi="Sylfaen"/>
          <w:sz w:val="22"/>
          <w:szCs w:val="22"/>
          <w:lang w:val="ka-GE"/>
        </w:rPr>
        <w:t xml:space="preserve">  </w:t>
      </w:r>
      <w:r w:rsidRPr="005402AA">
        <w:rPr>
          <w:rFonts w:ascii="Sylfaen" w:hAnsi="Sylfaen"/>
          <w:sz w:val="22"/>
          <w:szCs w:val="22"/>
        </w:rPr>
        <w:t>მართვისთვის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>რეკომენდებულ</w:t>
      </w:r>
      <w:r w:rsidR="00AE186B">
        <w:rPr>
          <w:rFonts w:ascii="Sylfaen" w:hAnsi="Sylfaen"/>
          <w:sz w:val="22"/>
          <w:szCs w:val="22"/>
          <w:lang w:val="ka-GE"/>
        </w:rPr>
        <w:t xml:space="preserve"> </w:t>
      </w:r>
      <w:r w:rsidRPr="005402AA">
        <w:rPr>
          <w:rFonts w:ascii="Sylfaen" w:hAnsi="Sylfaen"/>
          <w:sz w:val="22"/>
          <w:szCs w:val="22"/>
        </w:rPr>
        <w:t xml:space="preserve">დოზებს. </w:t>
      </w:r>
    </w:p>
    <w:p w:rsidR="005402AA" w:rsidRDefault="005402AA" w:rsidP="00AE186B">
      <w:pPr>
        <w:ind w:left="360"/>
        <w:jc w:val="both"/>
        <w:rPr>
          <w:rFonts w:ascii="Sylfaen" w:eastAsia="Times New Roman" w:hAnsi="Sylfaen" w:cs="Calibri"/>
          <w:color w:val="212121"/>
          <w:lang w:val="ka-GE"/>
        </w:rPr>
      </w:pPr>
      <w:r w:rsidRPr="005402AA">
        <w:rPr>
          <w:rFonts w:ascii="Sylfaen" w:hAnsi="Sylfaen"/>
          <w:lang w:val="ka-GE"/>
        </w:rPr>
        <w:t>2017 წლის პროგრამის განხორციელებისას გამოიკვეთა</w:t>
      </w:r>
      <w:r w:rsidR="007F4918">
        <w:rPr>
          <w:rFonts w:ascii="Sylfaen" w:hAnsi="Sylfaen"/>
          <w:lang w:val="ka-GE"/>
        </w:rPr>
        <w:t xml:space="preserve"> ბენეფიციართა სამედიცინო საჭიროებები და მოთხოვნა კომბინირებულ პრეპარატებზე. </w:t>
      </w:r>
    </w:p>
    <w:p w:rsidR="0049472B" w:rsidRPr="00291BFC" w:rsidRDefault="005402AA" w:rsidP="00AE186B">
      <w:pPr>
        <w:ind w:left="360"/>
        <w:jc w:val="both"/>
        <w:rPr>
          <w:rFonts w:ascii="Sylfaen" w:eastAsia="Times New Roman" w:hAnsi="Sylfaen" w:cs="Calibri"/>
          <w:color w:val="212121"/>
        </w:rPr>
      </w:pPr>
      <w:r w:rsidRPr="005402AA">
        <w:rPr>
          <w:rFonts w:ascii="Sylfaen" w:hAnsi="Sylfaen"/>
          <w:lang w:val="ka-GE"/>
        </w:rPr>
        <w:t>ზემოაღნიშნულის გათვალისწინებით, 2018 წლისთვის დაიგეგმა პროგრამის ეტაპობრივი გაფართოვება, როგორც მოსარგებლეთა მიზნობრივი ჯგუფების, ასევე, მედიკამენტების ჩამონათვალისა და კლინიკური მიმართულებების მხრივ.</w:t>
      </w:r>
    </w:p>
    <w:p w:rsidR="00422FFD" w:rsidRPr="005402AA" w:rsidRDefault="00422FFD" w:rsidP="005402AA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Calibri"/>
          <w:b/>
          <w:color w:val="212121"/>
          <w:sz w:val="22"/>
          <w:szCs w:val="22"/>
        </w:rPr>
      </w:pPr>
      <w:r w:rsidRPr="005402AA">
        <w:rPr>
          <w:rFonts w:ascii="Sylfaen" w:hAnsi="Sylfaen" w:cs="Calibri"/>
          <w:b/>
          <w:color w:val="212121"/>
          <w:sz w:val="22"/>
          <w:szCs w:val="22"/>
        </w:rPr>
        <w:t>2018 </w:t>
      </w:r>
      <w:r w:rsidRPr="005402AA">
        <w:rPr>
          <w:rFonts w:ascii="Sylfaen" w:hAnsi="Sylfaen" w:cs="Calibri"/>
          <w:b/>
          <w:color w:val="212121"/>
          <w:sz w:val="22"/>
          <w:szCs w:val="22"/>
          <w:lang w:val="ka-GE"/>
        </w:rPr>
        <w:t>წლის აგვისტოში პროგრამაში განხორციელებული ცვლილების მიზეზი;</w:t>
      </w:r>
    </w:p>
    <w:p w:rsidR="00F8288C" w:rsidRPr="005402AA" w:rsidRDefault="00F8288C" w:rsidP="00422FFD">
      <w:pPr>
        <w:pStyle w:val="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Sylfaen" w:hAnsi="Sylfaen" w:cs="Calibri"/>
          <w:b/>
          <w:color w:val="212121"/>
          <w:sz w:val="22"/>
          <w:szCs w:val="22"/>
        </w:rPr>
      </w:pPr>
    </w:p>
    <w:p w:rsidR="00F8288C" w:rsidRDefault="004671B3" w:rsidP="00422FFD">
      <w:pPr>
        <w:pStyle w:val="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2018 წლის აგვისტოში პროგრამაში ცვლილება განხო</w:t>
      </w:r>
      <w:r w:rsidR="00366685">
        <w:rPr>
          <w:rFonts w:ascii="Sylfaen" w:hAnsi="Sylfaen" w:cs="Calibri"/>
          <w:color w:val="212121"/>
          <w:sz w:val="22"/>
          <w:szCs w:val="22"/>
          <w:lang w:val="ka-GE"/>
        </w:rPr>
        <w:t>რ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 xml:space="preserve">ციელდა შემდეგი მიმართულებებით: </w:t>
      </w:r>
    </w:p>
    <w:p w:rsidR="004671B3" w:rsidRDefault="004671B3" w:rsidP="00422FFD">
      <w:pPr>
        <w:pStyle w:val="ListParagraph"/>
        <w:shd w:val="clear" w:color="auto" w:fill="FFFFFF"/>
        <w:spacing w:before="0" w:beforeAutospacing="0" w:after="0" w:afterAutospacing="0"/>
        <w:ind w:left="720" w:hanging="36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</w:p>
    <w:p w:rsidR="004671B3" w:rsidRDefault="004671B3" w:rsidP="005402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52480E">
        <w:rPr>
          <w:rFonts w:ascii="Sylfaen" w:hAnsi="Sylfaen" w:cs="Calibri"/>
          <w:color w:val="212121"/>
          <w:sz w:val="22"/>
          <w:szCs w:val="22"/>
          <w:lang w:val="ka-GE"/>
        </w:rPr>
        <w:t>2018 წლის 3 სექტემბრიდან გაფართოვდა ბენეფიციართა ჯგუფი, საპენსიო ასაკის მოსახლების</w:t>
      </w:r>
      <w:r w:rsidR="0049472B" w:rsidRPr="0052480E">
        <w:rPr>
          <w:rFonts w:ascii="Sylfaen" w:hAnsi="Sylfaen" w:cs="Calibri"/>
          <w:color w:val="212121"/>
          <w:sz w:val="22"/>
          <w:szCs w:val="22"/>
          <w:lang w:val="ka-GE"/>
        </w:rPr>
        <w:t>ა და სხვა განსაკუთრებით მოწყვლადი ჯგუფების</w:t>
      </w:r>
      <w:r w:rsidRPr="0052480E">
        <w:rPr>
          <w:rFonts w:ascii="Sylfaen" w:hAnsi="Sylfaen" w:cs="Calibri"/>
          <w:color w:val="212121"/>
          <w:sz w:val="22"/>
          <w:szCs w:val="22"/>
          <w:lang w:val="ka-GE"/>
        </w:rPr>
        <w:t xml:space="preserve"> დაფარვის მიზნით.</w:t>
      </w:r>
      <w:r w:rsid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="0049472B" w:rsidRPr="0052480E">
        <w:rPr>
          <w:rFonts w:ascii="Sylfaen" w:hAnsi="Sylfaen" w:cs="Calibri"/>
          <w:color w:val="212121"/>
          <w:sz w:val="22"/>
          <w:szCs w:val="22"/>
          <w:lang w:val="ka-GE"/>
        </w:rPr>
        <w:t xml:space="preserve">საპენსიო ასაკის </w:t>
      </w:r>
      <w:r w:rsidRPr="0052480E">
        <w:rPr>
          <w:rFonts w:ascii="Sylfaen" w:hAnsi="Sylfaen" w:cs="Calibri"/>
          <w:color w:val="212121"/>
          <w:sz w:val="22"/>
          <w:szCs w:val="22"/>
          <w:lang w:val="ka-GE"/>
        </w:rPr>
        <w:t>ჯგუფში ყველაზე მაღალია ქრონიკული დაავადებ</w:t>
      </w:r>
      <w:r w:rsidR="0049472B" w:rsidRPr="0052480E">
        <w:rPr>
          <w:rFonts w:ascii="Sylfaen" w:hAnsi="Sylfaen" w:cs="Calibri"/>
          <w:color w:val="212121"/>
          <w:sz w:val="22"/>
          <w:szCs w:val="22"/>
          <w:lang w:val="ka-GE"/>
        </w:rPr>
        <w:t>ების გავრცელება და ასევე მაღალია</w:t>
      </w:r>
      <w:r w:rsidRPr="0052480E">
        <w:rPr>
          <w:rFonts w:ascii="Sylfaen" w:hAnsi="Sylfaen" w:cs="Calibri"/>
          <w:color w:val="212121"/>
          <w:sz w:val="22"/>
          <w:szCs w:val="22"/>
          <w:lang w:val="ka-GE"/>
        </w:rPr>
        <w:t xml:space="preserve"> პროგნოზული საჭიროების მაჩვენებელი. </w:t>
      </w:r>
    </w:p>
    <w:p w:rsidR="00237BDD" w:rsidRPr="00AE186B" w:rsidRDefault="00E069FD" w:rsidP="00291B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გადაიხედა მედიკამენტების ნუსხა და პროგრამაში მოხდა კომ</w:t>
      </w:r>
      <w:r w:rsidR="0052480E">
        <w:rPr>
          <w:rFonts w:ascii="Sylfaen" w:hAnsi="Sylfaen" w:cs="Calibri"/>
          <w:color w:val="212121"/>
          <w:sz w:val="22"/>
          <w:szCs w:val="22"/>
          <w:lang w:val="ka-GE"/>
        </w:rPr>
        <w:t>ბინირებული მედიკამენტების გათვალისწინება, რომელთა გამოყენება ა</w:t>
      </w:r>
      <w:r>
        <w:rPr>
          <w:rFonts w:ascii="Sylfaen" w:hAnsi="Sylfaen" w:cs="Calibri"/>
          <w:color w:val="212121"/>
          <w:sz w:val="22"/>
          <w:szCs w:val="22"/>
          <w:lang w:val="ka-GE"/>
        </w:rPr>
        <w:t>ა</w:t>
      </w:r>
      <w:r w:rsidR="0052480E">
        <w:rPr>
          <w:rFonts w:ascii="Sylfaen" w:hAnsi="Sylfaen" w:cs="Calibri"/>
          <w:color w:val="212121"/>
          <w:sz w:val="22"/>
          <w:szCs w:val="22"/>
          <w:lang w:val="ka-GE"/>
        </w:rPr>
        <w:t xml:space="preserve">დვილებს მკურნალობაზე დამყოლობას და აუმჯობესებს მკურნალობის გამოსავლებს. </w:t>
      </w:r>
      <w:r w:rsidRPr="00E069FD">
        <w:rPr>
          <w:rFonts w:ascii="Sylfaen" w:hAnsi="Sylfaen" w:cs="Calibri"/>
          <w:color w:val="212121"/>
          <w:sz w:val="22"/>
          <w:szCs w:val="22"/>
          <w:lang w:val="ka-GE"/>
        </w:rPr>
        <w:t>პირველ ეტაპზე პროგრამის გაფართოვება შეეხო გულ-სისხლძარღვთა მიმართულებას და პროგრამას დაემატა 6 ახალი პრეპარატი. მეორე ეტაპზე მსჯელობა გაიმართა გულსი</w:t>
      </w:r>
      <w:r w:rsidR="005402AA">
        <w:rPr>
          <w:rFonts w:ascii="Sylfaen" w:hAnsi="Sylfaen" w:cs="Calibri"/>
          <w:color w:val="212121"/>
          <w:sz w:val="22"/>
          <w:szCs w:val="22"/>
          <w:lang w:val="ka-GE"/>
        </w:rPr>
        <w:t>ს</w:t>
      </w:r>
      <w:r w:rsidRPr="00E069FD">
        <w:rPr>
          <w:rFonts w:ascii="Sylfaen" w:hAnsi="Sylfaen" w:cs="Calibri"/>
          <w:color w:val="212121"/>
          <w:sz w:val="22"/>
          <w:szCs w:val="22"/>
          <w:lang w:val="ka-GE"/>
        </w:rPr>
        <w:t>ხლძარღვთა მ</w:t>
      </w:r>
      <w:r w:rsidR="005402AA">
        <w:rPr>
          <w:rFonts w:ascii="Sylfaen" w:hAnsi="Sylfaen" w:cs="Calibri"/>
          <w:color w:val="212121"/>
          <w:sz w:val="22"/>
          <w:szCs w:val="22"/>
          <w:lang w:val="ka-GE"/>
        </w:rPr>
        <w:t>ი</w:t>
      </w:r>
      <w:r w:rsidRPr="00E069FD">
        <w:rPr>
          <w:rFonts w:ascii="Sylfaen" w:hAnsi="Sylfaen" w:cs="Calibri"/>
          <w:color w:val="212121"/>
          <w:sz w:val="22"/>
          <w:szCs w:val="22"/>
          <w:lang w:val="ka-GE"/>
        </w:rPr>
        <w:t>მართულებით ანტიაგრეგანტებისა და სტატინების დამატებაზე, ასევე, გაფართოვდა კლინიკური მიმართულებები და დაემატა ნევროლოგია, კერძოდ, პარკინსონისა და ეპილეფსიის სამკურნალო მედიკამენტები.</w:t>
      </w:r>
    </w:p>
    <w:p w:rsidR="00AE186B" w:rsidRPr="00AE186B" w:rsidRDefault="00AE186B" w:rsidP="0030729E">
      <w:pPr>
        <w:pStyle w:val="ListParagraph"/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212121"/>
          <w:sz w:val="22"/>
          <w:szCs w:val="22"/>
          <w:lang w:val="ka-GE"/>
        </w:rPr>
      </w:pP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>მუშაობა შემდგომი გაფართოვების შესახებ პროგრამის დაწყებიდან ერთი წლის თავზე იქნა დაწყებული. ასეთი მასშტაბური პროექტისათვის საჭირო იყო მინიმალური ციკლის პერიოდში მაინც გვქონოდა დაკვირვების საშუალება - როგორი ასახვა ჰპოვა პრაქტიკაში/ რეალობაში თეორიულმა გათვლებმა, რომელიც თავის მხრივ, ემყარებოდა მტკიცებულებებს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 xml:space="preserve">. 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>იმპლემენტაციის პროცეს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>ში გამოვლინდა სხვადასხვა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შემაფერხებელი 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>თუ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წამახალისებელი გარემოებები, რა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>მაც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 xml:space="preserve">მოგვცა საფუძველი 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>ახალი აქტივობების დაგეგმვისათვის, ხოლო ძველის გაგრძელების ან მოდიფიცირებისათვის. </w:t>
      </w:r>
      <w:r w:rsidRPr="0030729E">
        <w:rPr>
          <w:rFonts w:ascii="Sylfaen" w:hAnsi="Sylfaen" w:cs="Calibri"/>
          <w:color w:val="212121"/>
          <w:sz w:val="22"/>
          <w:szCs w:val="22"/>
          <w:lang w:val="ka-GE"/>
        </w:rPr>
        <w:t xml:space="preserve"> 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>ასე მივიღეთ ახალი მედიკამენტების (მ.შ. კომბინირებულის) დამატების და ზოგიერთის - სიიდან ამოღების</w:t>
      </w:r>
      <w:r w:rsidR="0030729E">
        <w:rPr>
          <w:rFonts w:ascii="Sylfaen" w:hAnsi="Sylfaen" w:cs="Calibri"/>
          <w:color w:val="212121"/>
          <w:sz w:val="22"/>
          <w:szCs w:val="22"/>
          <w:lang w:val="ka-GE"/>
        </w:rPr>
        <w:t>,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 ან</w:t>
      </w:r>
      <w:r w:rsidR="00CC1E60">
        <w:rPr>
          <w:rFonts w:ascii="Sylfaen" w:hAnsi="Sylfaen" w:cs="Calibri"/>
          <w:color w:val="212121"/>
          <w:sz w:val="22"/>
          <w:szCs w:val="22"/>
          <w:lang w:val="ka-GE"/>
        </w:rPr>
        <w:t>,</w:t>
      </w:r>
      <w:r w:rsidRPr="00AE186B">
        <w:rPr>
          <w:rFonts w:ascii="Sylfaen" w:hAnsi="Sylfaen" w:cs="Calibri"/>
          <w:color w:val="212121"/>
          <w:sz w:val="22"/>
          <w:szCs w:val="22"/>
          <w:lang w:val="ka-GE"/>
        </w:rPr>
        <w:t xml:space="preserve"> სხვადასხვა დოზების შემოტანის გადაწყვეტილებები. </w:t>
      </w:r>
    </w:p>
    <w:p w:rsidR="00422FFD" w:rsidRDefault="00422FFD" w:rsidP="008B4B14">
      <w:pPr>
        <w:pStyle w:val="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Sylfaen" w:hAnsi="Sylfaen" w:cs="Calibri"/>
          <w:color w:val="212121"/>
          <w:sz w:val="22"/>
          <w:szCs w:val="22"/>
          <w:lang w:val="ka-GE"/>
        </w:rPr>
        <w:t>ცვლილების შედეგად პროგრამას დამატებული მედიკამენტების საჭიროების, რაოდენობისა და ღირებულების განსაზღვრის საფუძვლები (დეტალურად ყველა მედიკამენტზე)</w:t>
      </w:r>
      <w:r w:rsidR="0092596F">
        <w:rPr>
          <w:rFonts w:ascii="Sylfaen" w:hAnsi="Sylfaen" w:cs="Calibri"/>
          <w:color w:val="212121"/>
          <w:sz w:val="22"/>
          <w:szCs w:val="22"/>
        </w:rPr>
        <w:t xml:space="preserve"> </w:t>
      </w:r>
      <w:r w:rsidR="0092596F">
        <w:rPr>
          <w:rFonts w:ascii="Sylfaen" w:hAnsi="Sylfaen" w:cs="Calibri"/>
          <w:color w:val="212121"/>
          <w:sz w:val="22"/>
          <w:szCs w:val="22"/>
          <w:lang w:val="ka-GE"/>
        </w:rPr>
        <w:t xml:space="preserve">იხილეთ მოხსენებით ბარათებში. </w:t>
      </w:r>
    </w:p>
    <w:p w:rsidR="00EC6585" w:rsidRDefault="00CC1E60"/>
    <w:sectPr w:rsidR="00EC6585" w:rsidSect="00104B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F6B"/>
    <w:multiLevelType w:val="hybridMultilevel"/>
    <w:tmpl w:val="B6D22880"/>
    <w:lvl w:ilvl="0" w:tplc="49A84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B8A6CC2">
      <w:start w:val="2018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C73"/>
    <w:multiLevelType w:val="hybridMultilevel"/>
    <w:tmpl w:val="F0A6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4F3"/>
    <w:multiLevelType w:val="hybridMultilevel"/>
    <w:tmpl w:val="63AE7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65A65"/>
    <w:multiLevelType w:val="hybridMultilevel"/>
    <w:tmpl w:val="442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6080"/>
    <w:multiLevelType w:val="hybridMultilevel"/>
    <w:tmpl w:val="50A2D6FE"/>
    <w:lvl w:ilvl="0" w:tplc="D9B22664">
      <w:start w:val="20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B5911"/>
    <w:multiLevelType w:val="hybridMultilevel"/>
    <w:tmpl w:val="BF4C3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D80C3F"/>
    <w:multiLevelType w:val="hybridMultilevel"/>
    <w:tmpl w:val="9426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541BA"/>
    <w:multiLevelType w:val="hybridMultilevel"/>
    <w:tmpl w:val="8C0C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F35DD"/>
    <w:multiLevelType w:val="hybridMultilevel"/>
    <w:tmpl w:val="1F541BC2"/>
    <w:lvl w:ilvl="0" w:tplc="49A84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2DCB"/>
    <w:multiLevelType w:val="hybridMultilevel"/>
    <w:tmpl w:val="1B40D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22FFD"/>
    <w:rsid w:val="000E2177"/>
    <w:rsid w:val="00104BEB"/>
    <w:rsid w:val="001E2740"/>
    <w:rsid w:val="00232F77"/>
    <w:rsid w:val="00237BDD"/>
    <w:rsid w:val="00291BFC"/>
    <w:rsid w:val="0030729E"/>
    <w:rsid w:val="00366685"/>
    <w:rsid w:val="00422FFD"/>
    <w:rsid w:val="00447871"/>
    <w:rsid w:val="004671B3"/>
    <w:rsid w:val="0049472B"/>
    <w:rsid w:val="004B0CF0"/>
    <w:rsid w:val="004E6D6A"/>
    <w:rsid w:val="0052480E"/>
    <w:rsid w:val="005402AA"/>
    <w:rsid w:val="005448E3"/>
    <w:rsid w:val="0071204E"/>
    <w:rsid w:val="007F4918"/>
    <w:rsid w:val="0087361E"/>
    <w:rsid w:val="008B4B14"/>
    <w:rsid w:val="008D1376"/>
    <w:rsid w:val="00922A53"/>
    <w:rsid w:val="0092596F"/>
    <w:rsid w:val="0093492B"/>
    <w:rsid w:val="00997890"/>
    <w:rsid w:val="009C5E49"/>
    <w:rsid w:val="00AE186B"/>
    <w:rsid w:val="00B16438"/>
    <w:rsid w:val="00C4009A"/>
    <w:rsid w:val="00C64F32"/>
    <w:rsid w:val="00CC1E60"/>
    <w:rsid w:val="00CE28BC"/>
    <w:rsid w:val="00D50EE0"/>
    <w:rsid w:val="00E069FD"/>
    <w:rsid w:val="00E10B1E"/>
    <w:rsid w:val="00E56CB4"/>
    <w:rsid w:val="00F176C4"/>
    <w:rsid w:val="00F8288C"/>
    <w:rsid w:val="00FA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10A7"/>
  <w15:docId w15:val="{1BD8EE07-A523-4596-9953-44676993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7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1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B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2019-03-19T05:32:00Z</dcterms:created>
  <dcterms:modified xsi:type="dcterms:W3CDTF">2019-03-19T11:08:00Z</dcterms:modified>
</cp:coreProperties>
</file>