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7CC5E" w14:textId="77777777"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33E979A5" wp14:editId="1EEC7FA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71E9821A" wp14:editId="2631233F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F55C" w14:textId="77777777" w:rsidR="007C431F" w:rsidRPr="000F051C" w:rsidRDefault="007C431F" w:rsidP="007C431F">
      <w:pPr>
        <w:jc w:val="right"/>
        <w:rPr>
          <w:color w:val="44546A" w:themeColor="text2"/>
        </w:rPr>
      </w:pPr>
    </w:p>
    <w:p w14:paraId="7D91C22A" w14:textId="77777777" w:rsidR="00AF0B80" w:rsidRDefault="00AF0B80" w:rsidP="007C431F">
      <w:pPr>
        <w:jc w:val="right"/>
        <w:rPr>
          <w:color w:val="44546A" w:themeColor="text2"/>
          <w:lang w:val="ka-GE"/>
        </w:rPr>
      </w:pPr>
    </w:p>
    <w:p w14:paraId="1F3CA1A4" w14:textId="62695293" w:rsidR="007C431F" w:rsidRPr="00E811D2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r w:rsidR="00BC5890" w:rsidRPr="000F051C">
        <w:rPr>
          <w:color w:val="44546A" w:themeColor="text2"/>
        </w:rPr>
        <w:t>N</w:t>
      </w:r>
      <w:r w:rsidR="00BC5890">
        <w:rPr>
          <w:color w:val="44546A" w:themeColor="text2"/>
        </w:rPr>
        <w:t>2</w:t>
      </w:r>
      <w:r w:rsidR="00E811D2">
        <w:rPr>
          <w:color w:val="44546A" w:themeColor="text2"/>
          <w:lang w:val="ka-GE"/>
        </w:rPr>
        <w:t>1</w:t>
      </w:r>
    </w:p>
    <w:p w14:paraId="7411D489" w14:textId="77777777" w:rsidR="007C431F" w:rsidRPr="00567102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  <w:lang w:val="ka-GE"/>
        </w:rPr>
      </w:pPr>
    </w:p>
    <w:p w14:paraId="6B13824E" w14:textId="5BD2D39F" w:rsidR="000F051C" w:rsidRPr="000F051C" w:rsidRDefault="00AB5F1F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>
        <w:rPr>
          <w:b/>
          <w:color w:val="1F4E79" w:themeColor="accent1" w:themeShade="80"/>
          <w:lang w:val="ka-GE"/>
        </w:rPr>
        <w:t xml:space="preserve">რეკომენდაციები </w:t>
      </w:r>
      <w:r w:rsidR="00E811D2">
        <w:rPr>
          <w:b/>
          <w:color w:val="1F4E79" w:themeColor="accent1" w:themeShade="80"/>
          <w:lang w:val="ka-GE"/>
        </w:rPr>
        <w:t>ხანდა</w:t>
      </w:r>
      <w:r w:rsidR="00AF0B80">
        <w:rPr>
          <w:b/>
          <w:color w:val="1F4E79" w:themeColor="accent1" w:themeShade="80"/>
          <w:lang w:val="ka-GE"/>
        </w:rPr>
        <w:t>ზ</w:t>
      </w:r>
      <w:bookmarkStart w:id="0" w:name="_GoBack"/>
      <w:bookmarkEnd w:id="0"/>
      <w:r w:rsidR="00E811D2">
        <w:rPr>
          <w:b/>
          <w:color w:val="1F4E79" w:themeColor="accent1" w:themeShade="80"/>
          <w:lang w:val="ka-GE"/>
        </w:rPr>
        <w:t>მულთათვის</w:t>
      </w:r>
      <w:r w:rsidR="000F051C" w:rsidRPr="000F051C">
        <w:rPr>
          <w:b/>
          <w:color w:val="1F4E79" w:themeColor="accent1" w:themeShade="80"/>
          <w:lang w:val="ka-GE"/>
        </w:rPr>
        <w:t xml:space="preserve"> ახალი კორონავირუსით (SARS-CoV-2) გამოწვეული ინფექციის </w:t>
      </w:r>
      <w:r w:rsidR="00964ECB">
        <w:rPr>
          <w:b/>
          <w:color w:val="1F4E79" w:themeColor="accent1" w:themeShade="80"/>
          <w:lang w:val="ka-GE"/>
        </w:rPr>
        <w:t>(</w:t>
      </w:r>
      <w:r w:rsidR="000F051C"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="000F051C"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14:paraId="667AD1F6" w14:textId="77777777"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58861941" w14:textId="761CA891" w:rsidR="00E811D2" w:rsidRPr="00E811D2" w:rsidRDefault="00E811D2" w:rsidP="00E811D2">
      <w:pPr>
        <w:spacing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არსებული მტკიცებულებები  აჩვენებს, რომ ხანდაზმული ადამიანები უფრო მოწყვლადები არიან COVID-19 ინფექციის გართულებების მიმართ.  ქვემოთ მოყვანილია ძირითადი რჩევები ხანდაზმულთა COVID-19 -ისგან დასაცავად (მოცემული რჩევები ასევე ვრცელდება თანმხლები დაავადებების მქონე პირებზე).</w:t>
      </w:r>
    </w:p>
    <w:p w14:paraId="691A8660" w14:textId="77777777" w:rsidR="00E811D2" w:rsidRDefault="00E811D2" w:rsidP="00E811D2">
      <w:pPr>
        <w:spacing w:line="276" w:lineRule="auto"/>
        <w:rPr>
          <w:b/>
          <w:color w:val="1F4E79" w:themeColor="accent1" w:themeShade="80"/>
          <w:lang w:val="ka-GE"/>
        </w:rPr>
      </w:pPr>
      <w:bookmarkStart w:id="1" w:name="_Hlk36121512"/>
    </w:p>
    <w:p w14:paraId="2D6BBA8A" w14:textId="02ADC3E3" w:rsidR="00E811D2" w:rsidRPr="00E811D2" w:rsidRDefault="00E811D2" w:rsidP="00E811D2">
      <w:pPr>
        <w:spacing w:line="276" w:lineRule="auto"/>
        <w:rPr>
          <w:b/>
          <w:color w:val="1F4E79" w:themeColor="accent1" w:themeShade="80"/>
          <w:lang w:val="ka-GE"/>
        </w:rPr>
      </w:pPr>
      <w:r w:rsidRPr="00E811D2">
        <w:rPr>
          <w:b/>
          <w:color w:val="1F4E79" w:themeColor="accent1" w:themeShade="80"/>
          <w:lang w:val="ka-GE"/>
        </w:rPr>
        <w:t>პირადი ჰიგიენ</w:t>
      </w:r>
      <w:r>
        <w:rPr>
          <w:b/>
          <w:color w:val="1F4E79" w:themeColor="accent1" w:themeShade="80"/>
          <w:lang w:val="ka-GE"/>
        </w:rPr>
        <w:t>ა:</w:t>
      </w:r>
    </w:p>
    <w:p w14:paraId="636B74A8" w14:textId="77777777" w:rsidR="00E811D2" w:rsidRDefault="00E811D2" w:rsidP="00E811D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დაიბანონ ხელები საპნითა და წყლით, ან დაიმუშავონ სპირტის შემცველი ხსნარით დახველებისა და დაცემინების შემდეგ; საჭმლის გაკეთების წინ, საკვების მიღების წინ; საპირფარეშოთი სარგებლობამდე და სარგებლობის შემდეგ; როცა ხელები ხილულად ჭუჭყიანია; ცხოველებთან და მათ განავალთან შეხების შემდეგ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14EDE700" w14:textId="2C673763" w:rsidR="00E811D2" w:rsidRPr="00E811D2" w:rsidRDefault="00E811D2" w:rsidP="00E811D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მოერიდონ ცხვირზე, თვალსა და პირზე ხელის ხშირად შეხებას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05C3A6A6" w14:textId="77777777" w:rsidR="00E811D2" w:rsidRPr="00E811D2" w:rsidRDefault="00E811D2" w:rsidP="00E811D2">
      <w:pPr>
        <w:spacing w:line="276" w:lineRule="auto"/>
        <w:rPr>
          <w:rFonts w:cs="Arial"/>
          <w:bCs/>
          <w:color w:val="1F4E79" w:themeColor="accent1" w:themeShade="80"/>
          <w:lang w:val="ka-GE"/>
        </w:rPr>
      </w:pPr>
    </w:p>
    <w:p w14:paraId="3DDCD1E5" w14:textId="5F4099F4" w:rsidR="00E811D2" w:rsidRPr="00E811D2" w:rsidRDefault="00E811D2" w:rsidP="00E811D2">
      <w:pPr>
        <w:spacing w:line="276" w:lineRule="auto"/>
        <w:rPr>
          <w:b/>
          <w:color w:val="1F4E79" w:themeColor="accent1" w:themeShade="80"/>
          <w:lang w:val="ka-GE"/>
        </w:rPr>
      </w:pPr>
      <w:r w:rsidRPr="00E811D2">
        <w:rPr>
          <w:b/>
          <w:color w:val="1F4E79" w:themeColor="accent1" w:themeShade="80"/>
          <w:lang w:val="ka-GE"/>
        </w:rPr>
        <w:t>სახლი</w:t>
      </w:r>
      <w:r>
        <w:rPr>
          <w:b/>
          <w:color w:val="1F4E79" w:themeColor="accent1" w:themeShade="80"/>
          <w:lang w:val="ka-GE"/>
        </w:rPr>
        <w:t>:</w:t>
      </w:r>
    </w:p>
    <w:p w14:paraId="5B6D22BE" w14:textId="77777777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სტუმრების მიღებისას, შემოიფარგლონ „დისტანციური მისალმებით“ (თავის დაკვრა, ხელის დაქნევა და სხვ.);</w:t>
      </w:r>
    </w:p>
    <w:p w14:paraId="04DACA17" w14:textId="77777777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სთხოვონ მნახველებსა და მათთან მცხოვრებ ადამიანებს, სახლში მოსვლისას და ხშირად  დაიბანონ ხელები;</w:t>
      </w:r>
    </w:p>
    <w:p w14:paraId="58877985" w14:textId="77777777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რეგულარულად დაასუფთავონ ზედაპირები სახლში, განსაკუთრებით კი ის ადგილები, რომლებსაც ყველაზე ხირად ეხებიან სხვები;</w:t>
      </w:r>
    </w:p>
    <w:p w14:paraId="604DC0C0" w14:textId="3722B76D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თუ კი მათთან მცხოვრები ადამიანები თავს კარგად არ გრძნობენ, (განსაკუთრებით COVID-19 სიმპტომების არსებობის შემთხვევაში), მაქ</w:t>
      </w:r>
      <w:r>
        <w:rPr>
          <w:rFonts w:cs="Arial"/>
          <w:bCs/>
          <w:color w:val="1F4E79" w:themeColor="accent1" w:themeShade="80"/>
          <w:lang w:val="ka-GE"/>
        </w:rPr>
        <w:t>ს</w:t>
      </w:r>
      <w:r w:rsidRPr="00E811D2">
        <w:rPr>
          <w:rFonts w:cs="Arial"/>
          <w:bCs/>
          <w:color w:val="1F4E79" w:themeColor="accent1" w:themeShade="80"/>
          <w:lang w:val="ka-GE"/>
        </w:rPr>
        <w:t>იმალურად შეზღუდონ მათთან საზიარო სივრცეებში მოხვედრ</w:t>
      </w:r>
      <w:r>
        <w:rPr>
          <w:rFonts w:cs="Arial"/>
          <w:bCs/>
          <w:color w:val="1F4E79" w:themeColor="accent1" w:themeShade="80"/>
          <w:lang w:val="ka-GE"/>
        </w:rPr>
        <w:t>ა.</w:t>
      </w:r>
    </w:p>
    <w:p w14:paraId="2728754D" w14:textId="77777777" w:rsidR="00E811D2" w:rsidRDefault="00E811D2" w:rsidP="00E811D2">
      <w:pPr>
        <w:spacing w:line="276" w:lineRule="auto"/>
        <w:rPr>
          <w:b/>
          <w:color w:val="1F4E79" w:themeColor="accent1" w:themeShade="80"/>
          <w:lang w:val="ka-GE"/>
        </w:rPr>
      </w:pPr>
    </w:p>
    <w:p w14:paraId="21E872FF" w14:textId="3A1A89E2" w:rsidR="00E811D2" w:rsidRPr="00E811D2" w:rsidRDefault="00E811D2" w:rsidP="00E811D2">
      <w:pPr>
        <w:spacing w:line="276" w:lineRule="auto"/>
        <w:rPr>
          <w:b/>
          <w:color w:val="1F4E79" w:themeColor="accent1" w:themeShade="80"/>
          <w:lang w:val="ka-GE"/>
        </w:rPr>
      </w:pPr>
      <w:r w:rsidRPr="00E811D2">
        <w:rPr>
          <w:b/>
          <w:color w:val="1F4E79" w:themeColor="accent1" w:themeShade="80"/>
          <w:lang w:val="ka-GE"/>
        </w:rPr>
        <w:t>გარემო</w:t>
      </w:r>
      <w:r>
        <w:rPr>
          <w:b/>
          <w:color w:val="1F4E79" w:themeColor="accent1" w:themeShade="80"/>
          <w:lang w:val="ka-GE"/>
        </w:rPr>
        <w:t>:</w:t>
      </w:r>
    </w:p>
    <w:p w14:paraId="6D907408" w14:textId="77777777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სახლიდან გასვლის შემთხვევაში, დაიცვან იგივე პრევენციული ღონისძიებები, როგორც სახლში ყოფნისას;</w:t>
      </w:r>
    </w:p>
    <w:p w14:paraId="59C0371D" w14:textId="77777777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lastRenderedPageBreak/>
        <w:t xml:space="preserve">იყვნენ მუდმივად ინფორმირებულები  (მხოლოდ სანდო წყაროებიდან)  COVID-19 - თან დაკაშირებული სიტუაციის შესახებ, განსაკუთრებით კი მათ გარშემო. </w:t>
      </w:r>
    </w:p>
    <w:p w14:paraId="3E0F3611" w14:textId="77777777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მზად იყვნენ  COVID-19-ის შესაძლო აფეთქებისთვის მათ გარშემო (მეზობელი, ქუჩა, ქალაქი, სოფელი და ა.შ)</w:t>
      </w:r>
    </w:p>
    <w:p w14:paraId="759D623F" w14:textId="77777777" w:rsidR="00E811D2" w:rsidRDefault="00E811D2" w:rsidP="00E811D2">
      <w:pPr>
        <w:spacing w:line="276" w:lineRule="auto"/>
        <w:rPr>
          <w:b/>
          <w:color w:val="1F4E79" w:themeColor="accent1" w:themeShade="80"/>
          <w:lang w:val="ka-GE"/>
        </w:rPr>
      </w:pPr>
    </w:p>
    <w:p w14:paraId="6899FE8B" w14:textId="31CEFFA0" w:rsidR="00E811D2" w:rsidRPr="00E811D2" w:rsidRDefault="00E811D2" w:rsidP="00E811D2">
      <w:pPr>
        <w:spacing w:line="276" w:lineRule="auto"/>
        <w:rPr>
          <w:b/>
          <w:color w:val="1F4E79" w:themeColor="accent1" w:themeShade="80"/>
          <w:lang w:val="ka-GE"/>
        </w:rPr>
      </w:pPr>
      <w:r w:rsidRPr="00E811D2">
        <w:rPr>
          <w:b/>
          <w:color w:val="1F4E79" w:themeColor="accent1" w:themeShade="80"/>
          <w:lang w:val="ka-GE"/>
        </w:rPr>
        <w:t>ჯანმრთელობის მდგომარეობა</w:t>
      </w:r>
      <w:r>
        <w:rPr>
          <w:b/>
          <w:color w:val="1F4E79" w:themeColor="accent1" w:themeShade="80"/>
          <w:lang w:val="ka-GE"/>
        </w:rPr>
        <w:t>:</w:t>
      </w:r>
    </w:p>
    <w:p w14:paraId="76C70890" w14:textId="6D3176F6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ექიმთან ვიზიტის გადაუდებელი საჭიროების შემთხვევაში, წინასწარ დაგეგმონ ვიზიტი (ვიზიტის ჩანიშვნა სატელეფონო კომუნიკაციით და სხვ.)</w:t>
      </w:r>
    </w:p>
    <w:p w14:paraId="4CA075FF" w14:textId="126A6153" w:rsidR="00E811D2" w:rsidRPr="00E811D2" w:rsidRDefault="00E811D2" w:rsidP="00E811D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E811D2">
        <w:rPr>
          <w:rFonts w:cs="Arial"/>
          <w:bCs/>
          <w:color w:val="1F4E79" w:themeColor="accent1" w:themeShade="80"/>
          <w:lang w:val="ka-GE"/>
        </w:rPr>
        <w:t>COVID-19 სიმპტომების გაჩენის შემთხვევაში, ასევე, რეკომენდებულია წინასწარ დაუკავშირდნენ საჭირო სერვისის მიმწოდებელს (112, ოჯახის ექიმი</w:t>
      </w:r>
      <w:r w:rsidR="00AF0B80">
        <w:rPr>
          <w:rFonts w:cs="Arial"/>
          <w:bCs/>
          <w:color w:val="1F4E79" w:themeColor="accent1" w:themeShade="80"/>
          <w:lang w:val="ka-GE"/>
        </w:rPr>
        <w:t>ს სატელეფონო კონსულტაცია</w:t>
      </w:r>
      <w:r w:rsidRPr="00E811D2">
        <w:rPr>
          <w:rFonts w:cs="Arial"/>
          <w:bCs/>
          <w:color w:val="1F4E79" w:themeColor="accent1" w:themeShade="80"/>
          <w:lang w:val="ka-GE"/>
        </w:rPr>
        <w:t>, ცხელი ხაზი, ა.შ)</w:t>
      </w:r>
    </w:p>
    <w:p w14:paraId="0E425F27" w14:textId="77777777" w:rsidR="00AF0B80" w:rsidRDefault="00AF0B80" w:rsidP="00AF0B80">
      <w:pPr>
        <w:spacing w:line="276" w:lineRule="auto"/>
        <w:rPr>
          <w:b/>
          <w:color w:val="1F4E79" w:themeColor="accent1" w:themeShade="80"/>
          <w:lang w:val="ka-GE"/>
        </w:rPr>
      </w:pPr>
    </w:p>
    <w:p w14:paraId="42DB90E0" w14:textId="23491637" w:rsidR="00E811D2" w:rsidRPr="00AF0B80" w:rsidRDefault="00E811D2" w:rsidP="00AF0B80">
      <w:pPr>
        <w:spacing w:line="276" w:lineRule="auto"/>
        <w:rPr>
          <w:b/>
          <w:color w:val="1F4E79" w:themeColor="accent1" w:themeShade="80"/>
          <w:lang w:val="ka-GE"/>
        </w:rPr>
      </w:pPr>
      <w:r w:rsidRPr="00AF0B80">
        <w:rPr>
          <w:b/>
          <w:color w:val="1F4E79" w:themeColor="accent1" w:themeShade="80"/>
          <w:lang w:val="ka-GE"/>
        </w:rPr>
        <w:t>პროდუქტები და მედიკამენტები</w:t>
      </w:r>
      <w:r w:rsidR="00AF0B80">
        <w:rPr>
          <w:b/>
          <w:color w:val="1F4E79" w:themeColor="accent1" w:themeShade="80"/>
          <w:lang w:val="ka-GE"/>
        </w:rPr>
        <w:t>:</w:t>
      </w:r>
    </w:p>
    <w:p w14:paraId="7C51C806" w14:textId="15BC3378" w:rsidR="00E811D2" w:rsidRPr="00AF0B80" w:rsidRDefault="00E811D2" w:rsidP="00AF0B80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AF0B80">
        <w:rPr>
          <w:rFonts w:cs="Arial"/>
          <w:bCs/>
          <w:color w:val="1F4E79" w:themeColor="accent1" w:themeShade="80"/>
          <w:lang w:val="ka-GE"/>
        </w:rPr>
        <w:t>მოიმარაგონ პროდუქტები</w:t>
      </w:r>
      <w:r w:rsidR="00AF0B80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AF0B80">
        <w:rPr>
          <w:rFonts w:cs="Arial"/>
          <w:bCs/>
          <w:color w:val="1F4E79" w:themeColor="accent1" w:themeShade="80"/>
          <w:lang w:val="ka-GE"/>
        </w:rPr>
        <w:t>(ხანგრძლივი ვარგისიანობის მქონე</w:t>
      </w:r>
      <w:r w:rsidR="00AF0B80">
        <w:rPr>
          <w:rFonts w:cs="Arial"/>
          <w:bCs/>
          <w:color w:val="1F4E79" w:themeColor="accent1" w:themeShade="80"/>
          <w:lang w:val="ka-GE"/>
        </w:rPr>
        <w:t>)</w:t>
      </w:r>
      <w:r w:rsidRPr="00AF0B80">
        <w:rPr>
          <w:rFonts w:cs="Arial"/>
          <w:bCs/>
          <w:color w:val="1F4E79" w:themeColor="accent1" w:themeShade="80"/>
          <w:lang w:val="ka-GE"/>
        </w:rPr>
        <w:t xml:space="preserve"> და მედიკამენტები საჭირო რაოდენობით (უახლოესი სასურსათო მაღაზიიდან და აფთიაქიდან), რათა თავიდან აიცილონ სახლიდან ხშირი გასვლა ამ მიზეზებით</w:t>
      </w:r>
      <w:r w:rsidR="00AF0B80">
        <w:rPr>
          <w:rStyle w:val="FootnoteReference"/>
          <w:rFonts w:cs="Arial"/>
          <w:bCs/>
          <w:color w:val="1F4E79" w:themeColor="accent1" w:themeShade="80"/>
          <w:lang w:val="ka-GE"/>
        </w:rPr>
        <w:footnoteReference w:id="1"/>
      </w:r>
      <w:r w:rsidRPr="00AF0B80">
        <w:rPr>
          <w:rFonts w:cs="Arial"/>
          <w:bCs/>
          <w:color w:val="1F4E79" w:themeColor="accent1" w:themeShade="80"/>
          <w:lang w:val="ka-GE"/>
        </w:rPr>
        <w:t>.</w:t>
      </w:r>
    </w:p>
    <w:p w14:paraId="68738889" w14:textId="42DB72BB" w:rsidR="00E811D2" w:rsidRPr="00AF0B80" w:rsidRDefault="00E811D2" w:rsidP="00AF0B80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cs="Arial"/>
          <w:bCs/>
          <w:color w:val="1F4E79" w:themeColor="accent1" w:themeShade="80"/>
          <w:lang w:val="ka-GE"/>
        </w:rPr>
      </w:pPr>
      <w:r w:rsidRPr="00AF0B80">
        <w:rPr>
          <w:rFonts w:cs="Arial"/>
          <w:bCs/>
          <w:color w:val="1F4E79" w:themeColor="accent1" w:themeShade="80"/>
          <w:lang w:val="ka-GE"/>
        </w:rPr>
        <w:t>შესაძლებლობის შემთხვევაში, ხანდაზმული პირების ოჯახის წევრებისა და ახლობლებისთვის, რეკომენდებულია მათთვის დახმარების გაწევა ზემოაღნიშნული მარაგების შევსებაში</w:t>
      </w:r>
      <w:r w:rsidR="00AF0B80">
        <w:rPr>
          <w:rStyle w:val="FootnoteReference"/>
          <w:rFonts w:cs="Arial"/>
          <w:bCs/>
          <w:color w:val="1F4E79" w:themeColor="accent1" w:themeShade="80"/>
          <w:lang w:val="ka-GE"/>
        </w:rPr>
        <w:footnoteReference w:id="2"/>
      </w:r>
      <w:r w:rsidR="00AF0B80">
        <w:rPr>
          <w:rFonts w:cs="Arial"/>
          <w:bCs/>
          <w:color w:val="1F4E79" w:themeColor="accent1" w:themeShade="80"/>
          <w:lang w:val="ka-GE"/>
        </w:rPr>
        <w:t>.</w:t>
      </w:r>
    </w:p>
    <w:p w14:paraId="5478C4E2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bookmarkEnd w:id="1"/>
    <w:p w14:paraId="3825FEF9" w14:textId="77777777"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14:paraId="24B36D60" w14:textId="77777777" w:rsidR="007C431F" w:rsidRPr="000F051C" w:rsidRDefault="00326077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10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www.moh.gov.ge</w:t>
        </w:r>
      </w:hyperlink>
    </w:p>
    <w:p w14:paraId="1277CA54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14:paraId="1899B2D0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14:paraId="5B6D952D" w14:textId="77777777" w:rsidR="007C431F" w:rsidRPr="000F051C" w:rsidRDefault="00326077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hyperlink r:id="rId11" w:history="1">
        <w:r w:rsidR="007C431F" w:rsidRPr="000F051C">
          <w:rPr>
            <w:rStyle w:val="Hyperlink"/>
            <w:b/>
            <w:color w:val="44546A" w:themeColor="text2"/>
            <w:lang w:val="ka-GE"/>
          </w:rPr>
          <w:t>www.ncdc.ge</w:t>
        </w:r>
      </w:hyperlink>
    </w:p>
    <w:p w14:paraId="1600C15B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</w:p>
    <w:p w14:paraId="36068A04" w14:textId="77777777"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21EED8" wp14:editId="1ED4AED6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AAEAF" w14:textId="77777777" w:rsidR="00326077" w:rsidRDefault="00326077" w:rsidP="00AF0B80">
      <w:pPr>
        <w:spacing w:after="0" w:line="240" w:lineRule="auto"/>
      </w:pPr>
      <w:r>
        <w:separator/>
      </w:r>
    </w:p>
  </w:endnote>
  <w:endnote w:type="continuationSeparator" w:id="0">
    <w:p w14:paraId="629BA0EC" w14:textId="77777777" w:rsidR="00326077" w:rsidRDefault="00326077" w:rsidP="00AF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EECD8" w14:textId="77777777" w:rsidR="00326077" w:rsidRDefault="00326077" w:rsidP="00AF0B80">
      <w:pPr>
        <w:spacing w:after="0" w:line="240" w:lineRule="auto"/>
      </w:pPr>
      <w:r>
        <w:separator/>
      </w:r>
    </w:p>
  </w:footnote>
  <w:footnote w:type="continuationSeparator" w:id="0">
    <w:p w14:paraId="71A2F378" w14:textId="77777777" w:rsidR="00326077" w:rsidRDefault="00326077" w:rsidP="00AF0B80">
      <w:pPr>
        <w:spacing w:after="0" w:line="240" w:lineRule="auto"/>
      </w:pPr>
      <w:r>
        <w:continuationSeparator/>
      </w:r>
    </w:p>
  </w:footnote>
  <w:footnote w:id="1">
    <w:p w14:paraId="700F3F0F" w14:textId="425D0B5F" w:rsidR="00AF0B80" w:rsidRPr="00AF0B80" w:rsidRDefault="00AF0B80" w:rsidP="00AF0B80">
      <w:pPr>
        <w:pStyle w:val="FootnoteText"/>
        <w:jc w:val="both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81030">
        <w:rPr>
          <w:lang w:val="ka-GE"/>
        </w:rPr>
        <w:t xml:space="preserve">70 </w:t>
      </w:r>
      <w:r w:rsidRPr="00981030">
        <w:rPr>
          <w:rFonts w:cs="Sylfaen"/>
          <w:lang w:val="ka-GE"/>
        </w:rPr>
        <w:t>წელს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ზემოთ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მოქალაქეებს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სახლიდან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გასვლა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შეუძლიათ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მხოლოდ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მაშინ</w:t>
      </w:r>
      <w:r w:rsidRPr="00981030">
        <w:rPr>
          <w:lang w:val="ka-GE"/>
        </w:rPr>
        <w:t xml:space="preserve">, </w:t>
      </w:r>
      <w:r w:rsidRPr="00981030">
        <w:rPr>
          <w:rFonts w:cs="Sylfaen"/>
          <w:lang w:val="ka-GE"/>
        </w:rPr>
        <w:t>თუ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ისინი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მიდიან</w:t>
      </w:r>
      <w:r w:rsidRPr="00981030">
        <w:rPr>
          <w:lang w:val="ka-GE"/>
        </w:rPr>
        <w:t xml:space="preserve">  </w:t>
      </w:r>
      <w:r w:rsidRPr="00981030">
        <w:rPr>
          <w:rFonts w:cs="Sylfaen"/>
          <w:lang w:val="ka-GE"/>
        </w:rPr>
        <w:t>სურსათისა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და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სამედიცინო</w:t>
      </w:r>
      <w:r w:rsidRPr="00981030">
        <w:rPr>
          <w:lang w:val="ka-GE"/>
        </w:rPr>
        <w:t>/</w:t>
      </w:r>
      <w:r w:rsidRPr="00981030">
        <w:rPr>
          <w:rFonts w:cs="Sylfaen"/>
          <w:lang w:val="ka-GE"/>
        </w:rPr>
        <w:t>ფარმაცევტული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პროდუქტის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შესაძენად</w:t>
      </w:r>
      <w:r w:rsidRPr="00981030">
        <w:rPr>
          <w:lang w:val="ka-GE"/>
        </w:rPr>
        <w:t xml:space="preserve">. </w:t>
      </w:r>
      <w:r w:rsidRPr="00981030">
        <w:rPr>
          <w:rFonts w:cs="Sylfaen"/>
          <w:lang w:val="ka-GE"/>
        </w:rPr>
        <w:t>ასევე</w:t>
      </w:r>
      <w:r w:rsidRPr="00981030">
        <w:rPr>
          <w:lang w:val="ka-GE"/>
        </w:rPr>
        <w:t xml:space="preserve">, </w:t>
      </w:r>
      <w:r w:rsidRPr="00981030">
        <w:rPr>
          <w:rFonts w:cs="Sylfaen"/>
          <w:lang w:val="ka-GE"/>
        </w:rPr>
        <w:t>ისეთი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სამედიცინო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მომსახურების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მისაღებად</w:t>
      </w:r>
      <w:r w:rsidRPr="00981030">
        <w:rPr>
          <w:lang w:val="ka-GE"/>
        </w:rPr>
        <w:t xml:space="preserve">, </w:t>
      </w:r>
      <w:r w:rsidRPr="00981030">
        <w:rPr>
          <w:rFonts w:cs="Sylfaen"/>
          <w:lang w:val="ka-GE"/>
        </w:rPr>
        <w:t>რომელსაც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სახლიდან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გაუსვლელად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ვერ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მიიღებენ</w:t>
      </w:r>
      <w:r w:rsidRPr="00981030">
        <w:rPr>
          <w:lang w:val="ka-GE"/>
        </w:rPr>
        <w:t xml:space="preserve">. </w:t>
      </w:r>
      <w:r w:rsidRPr="00981030">
        <w:rPr>
          <w:rFonts w:cs="Sylfaen"/>
          <w:lang w:val="ka-GE"/>
        </w:rPr>
        <w:t>ეს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შეზღუდვა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არ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ეხებათ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სამედიცინო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დაწესებულების</w:t>
      </w:r>
      <w:r w:rsidRPr="00981030">
        <w:rPr>
          <w:lang w:val="ka-GE"/>
        </w:rPr>
        <w:t xml:space="preserve"> </w:t>
      </w:r>
      <w:r w:rsidRPr="00981030">
        <w:rPr>
          <w:rFonts w:cs="Sylfaen"/>
          <w:lang w:val="ka-GE"/>
        </w:rPr>
        <w:t>თანამშრომლებს</w:t>
      </w:r>
    </w:p>
  </w:footnote>
  <w:footnote w:id="2">
    <w:p w14:paraId="2EB2799B" w14:textId="7883B321" w:rsidR="00AF0B80" w:rsidRPr="00AF0B80" w:rsidRDefault="00AF0B80" w:rsidP="00AF0B80">
      <w:pPr>
        <w:pStyle w:val="FootnoteText"/>
        <w:jc w:val="both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81030">
        <w:rPr>
          <w:rFonts w:cs="Sylfaen"/>
          <w:lang w:val="ka-GE"/>
        </w:rPr>
        <w:t>საქართველოს</w:t>
      </w:r>
      <w:r w:rsidRPr="00981030">
        <w:rPr>
          <w:lang w:val="ka-GE"/>
        </w:rPr>
        <w:t xml:space="preserve"> ეკონომიკისა და მდგრადი განვითარების სამინისტროს,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მუნიციპალიტეტებს ევალებათ, აუცილებლობის შემთხვევაში, ამ პირთა საჭიროებების უზრუნველყოფის ორგანიზება.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CD4884"/>
    <w:multiLevelType w:val="hybridMultilevel"/>
    <w:tmpl w:val="71A6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C7E65"/>
    <w:multiLevelType w:val="hybridMultilevel"/>
    <w:tmpl w:val="9746EC1E"/>
    <w:lvl w:ilvl="0" w:tplc="A3883B28">
      <w:start w:val="70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2E88"/>
    <w:multiLevelType w:val="hybridMultilevel"/>
    <w:tmpl w:val="2F58B4EA"/>
    <w:lvl w:ilvl="0" w:tplc="BB229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F7768"/>
    <w:multiLevelType w:val="hybridMultilevel"/>
    <w:tmpl w:val="2FC0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35DDF"/>
    <w:rsid w:val="00050EDB"/>
    <w:rsid w:val="00076ECE"/>
    <w:rsid w:val="00082847"/>
    <w:rsid w:val="000F051C"/>
    <w:rsid w:val="001C33FE"/>
    <w:rsid w:val="001F68C3"/>
    <w:rsid w:val="00201C83"/>
    <w:rsid w:val="00204178"/>
    <w:rsid w:val="00266A79"/>
    <w:rsid w:val="002E0249"/>
    <w:rsid w:val="00321D66"/>
    <w:rsid w:val="00326077"/>
    <w:rsid w:val="00336CAC"/>
    <w:rsid w:val="00341A63"/>
    <w:rsid w:val="00392BFC"/>
    <w:rsid w:val="003944E5"/>
    <w:rsid w:val="003A3276"/>
    <w:rsid w:val="0047791A"/>
    <w:rsid w:val="00486D5A"/>
    <w:rsid w:val="004A6541"/>
    <w:rsid w:val="004C09F5"/>
    <w:rsid w:val="004F568B"/>
    <w:rsid w:val="005016A0"/>
    <w:rsid w:val="00543933"/>
    <w:rsid w:val="00567102"/>
    <w:rsid w:val="005A516F"/>
    <w:rsid w:val="005C2F93"/>
    <w:rsid w:val="00625F86"/>
    <w:rsid w:val="00645F8F"/>
    <w:rsid w:val="006A5A20"/>
    <w:rsid w:val="00705341"/>
    <w:rsid w:val="0074483E"/>
    <w:rsid w:val="00782D31"/>
    <w:rsid w:val="007C431F"/>
    <w:rsid w:val="007D1432"/>
    <w:rsid w:val="00834C17"/>
    <w:rsid w:val="00841AB3"/>
    <w:rsid w:val="008B3C96"/>
    <w:rsid w:val="009564EC"/>
    <w:rsid w:val="00963F53"/>
    <w:rsid w:val="00964ECB"/>
    <w:rsid w:val="009E0FA3"/>
    <w:rsid w:val="00A9252C"/>
    <w:rsid w:val="00A931E8"/>
    <w:rsid w:val="00AB5F1F"/>
    <w:rsid w:val="00AF0B80"/>
    <w:rsid w:val="00B30588"/>
    <w:rsid w:val="00B3633F"/>
    <w:rsid w:val="00B9646B"/>
    <w:rsid w:val="00BC5890"/>
    <w:rsid w:val="00C50DA0"/>
    <w:rsid w:val="00CD4C71"/>
    <w:rsid w:val="00D32F59"/>
    <w:rsid w:val="00DF566C"/>
    <w:rsid w:val="00E03465"/>
    <w:rsid w:val="00E532BD"/>
    <w:rsid w:val="00E811D2"/>
    <w:rsid w:val="00E8570C"/>
    <w:rsid w:val="00E90676"/>
    <w:rsid w:val="00F00832"/>
    <w:rsid w:val="00F37E99"/>
    <w:rsid w:val="00F52D1A"/>
    <w:rsid w:val="00F56BB5"/>
    <w:rsid w:val="00F72C28"/>
    <w:rsid w:val="00F80B24"/>
    <w:rsid w:val="00F90350"/>
    <w:rsid w:val="00FA0DAF"/>
    <w:rsid w:val="00FA739D"/>
    <w:rsid w:val="00FA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A123"/>
  <w15:docId w15:val="{59FF548B-7B7D-4CB0-B662-87C2C86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0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dc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h.gov.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3A681-8284-4A6E-889C-AD2F09D4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4</cp:revision>
  <cp:lastPrinted>2020-03-24T13:32:00Z</cp:lastPrinted>
  <dcterms:created xsi:type="dcterms:W3CDTF">2020-03-31T10:20:00Z</dcterms:created>
  <dcterms:modified xsi:type="dcterms:W3CDTF">2020-04-15T11:34:00Z</dcterms:modified>
</cp:coreProperties>
</file>