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CB015" w14:textId="262A075D" w:rsidR="00B2623B" w:rsidRDefault="00DF3EFC" w:rsidP="00194ACC">
      <w:pPr>
        <w:spacing w:after="0" w:line="240" w:lineRule="auto"/>
        <w:ind w:firstLine="540"/>
        <w:jc w:val="center"/>
        <w:rPr>
          <w:rStyle w:val="Heading1Char"/>
          <w:lang w:val="en-US"/>
        </w:rPr>
      </w:pPr>
      <w:bookmarkStart w:id="0" w:name="_GoBack"/>
      <w:bookmarkEnd w:id="0"/>
      <w:r w:rsidRPr="00321653">
        <w:rPr>
          <w:rStyle w:val="Heading1Char"/>
          <w:lang w:val="en-US"/>
        </w:rPr>
        <w:t xml:space="preserve">Analytical report on </w:t>
      </w:r>
      <w:r w:rsidR="00A3114D">
        <w:rPr>
          <w:rStyle w:val="Heading1Char"/>
          <w:lang w:val="en-US"/>
        </w:rPr>
        <w:t xml:space="preserve">the </w:t>
      </w:r>
      <w:r w:rsidR="00194ACC">
        <w:rPr>
          <w:rStyle w:val="Heading1Char"/>
          <w:lang w:val="en-US"/>
        </w:rPr>
        <w:t xml:space="preserve">draft </w:t>
      </w:r>
      <w:r w:rsidR="00015AAF">
        <w:rPr>
          <w:rStyle w:val="Heading1Char"/>
          <w:lang w:val="en-US"/>
        </w:rPr>
        <w:t xml:space="preserve">on medicines </w:t>
      </w:r>
      <w:r w:rsidR="00F219C9">
        <w:rPr>
          <w:rStyle w:val="Heading1Char"/>
          <w:lang w:val="en-US"/>
        </w:rPr>
        <w:t xml:space="preserve">law </w:t>
      </w:r>
      <w:r w:rsidR="00194ACC">
        <w:rPr>
          <w:rStyle w:val="Heading1Char"/>
          <w:lang w:val="en-US"/>
        </w:rPr>
        <w:t xml:space="preserve">of </w:t>
      </w:r>
    </w:p>
    <w:p w14:paraId="691AF62D" w14:textId="4B801905" w:rsidR="00DD3603" w:rsidRPr="00DD3603" w:rsidRDefault="00194ACC" w:rsidP="00194ACC">
      <w:pPr>
        <w:spacing w:after="0" w:line="240" w:lineRule="auto"/>
        <w:ind w:firstLine="540"/>
        <w:jc w:val="center"/>
        <w:rPr>
          <w:rFonts w:ascii="Times New Roman" w:eastAsia="Times New Roman" w:hAnsi="Times New Roman" w:cs="Times New Roman"/>
          <w:color w:val="000000"/>
          <w:lang w:val="en-GB" w:eastAsia="en-GB"/>
        </w:rPr>
      </w:pPr>
      <w:r>
        <w:rPr>
          <w:rStyle w:val="Heading1Char"/>
          <w:lang w:val="en-US"/>
        </w:rPr>
        <w:t>the rep</w:t>
      </w:r>
      <w:r w:rsidR="00C539FD">
        <w:rPr>
          <w:rStyle w:val="Heading1Char"/>
          <w:lang w:val="en-US"/>
        </w:rPr>
        <w:t>u</w:t>
      </w:r>
      <w:r>
        <w:rPr>
          <w:rStyle w:val="Heading1Char"/>
          <w:lang w:val="en-US"/>
        </w:rPr>
        <w:t xml:space="preserve">blic of georgia </w:t>
      </w:r>
    </w:p>
    <w:p w14:paraId="137496C0" w14:textId="106A2EB3" w:rsidR="007504B5" w:rsidRPr="00321653" w:rsidRDefault="007504B5">
      <w:pPr>
        <w:rPr>
          <w:lang w:val="en-US"/>
        </w:rPr>
      </w:pPr>
    </w:p>
    <w:p w14:paraId="45DCDDB0" w14:textId="7A292CCC" w:rsidR="008F6C96" w:rsidRPr="00DD3603" w:rsidRDefault="008F6C96" w:rsidP="00891992">
      <w:pPr>
        <w:pStyle w:val="Heading2"/>
        <w:numPr>
          <w:ilvl w:val="0"/>
          <w:numId w:val="3"/>
        </w:numPr>
        <w:rPr>
          <w:lang w:val="en-GB"/>
        </w:rPr>
      </w:pPr>
      <w:r w:rsidRPr="00DD3603">
        <w:rPr>
          <w:lang w:val="en-GB"/>
        </w:rPr>
        <w:t>Introduction</w:t>
      </w:r>
    </w:p>
    <w:p w14:paraId="52DAFEB6" w14:textId="4F4AD66A" w:rsidR="009D37F4" w:rsidRPr="009D37F4" w:rsidRDefault="0014481B" w:rsidP="009D37F4">
      <w:pPr>
        <w:rPr>
          <w:lang w:val="en-GB"/>
        </w:rPr>
      </w:pPr>
      <w:r w:rsidRPr="00DD3603">
        <w:rPr>
          <w:lang w:val="en-GB"/>
        </w:rPr>
        <w:t>WHO Euro requested me to analyse the</w:t>
      </w:r>
      <w:r w:rsidR="00B56A6D">
        <w:rPr>
          <w:lang w:val="en-GB"/>
        </w:rPr>
        <w:t xml:space="preserve"> draft</w:t>
      </w:r>
      <w:r w:rsidRPr="00DD3603">
        <w:rPr>
          <w:lang w:val="en-GB"/>
        </w:rPr>
        <w:t xml:space="preserve"> pharmaceutical law </w:t>
      </w:r>
      <w:r w:rsidR="009D37F4">
        <w:rPr>
          <w:lang w:val="en-GB"/>
        </w:rPr>
        <w:t>of</w:t>
      </w:r>
      <w:r w:rsidR="00DD3603">
        <w:rPr>
          <w:lang w:val="en-GB"/>
        </w:rPr>
        <w:t xml:space="preserve"> </w:t>
      </w:r>
      <w:r w:rsidR="00B56A6D">
        <w:rPr>
          <w:lang w:val="en-GB"/>
        </w:rPr>
        <w:t>G</w:t>
      </w:r>
      <w:r w:rsidR="00215831">
        <w:rPr>
          <w:lang w:val="en-GB"/>
        </w:rPr>
        <w:t>eorgia</w:t>
      </w:r>
      <w:r w:rsidR="00633A51">
        <w:rPr>
          <w:lang w:val="en-GB"/>
        </w:rPr>
        <w:t xml:space="preserve"> and to </w:t>
      </w:r>
      <w:r w:rsidR="00015AAF">
        <w:rPr>
          <w:lang w:val="en-GB"/>
        </w:rPr>
        <w:t>comment on it</w:t>
      </w:r>
      <w:r w:rsidRPr="00DD3603">
        <w:rPr>
          <w:lang w:val="en-GB"/>
        </w:rPr>
        <w:t xml:space="preserve">. In this </w:t>
      </w:r>
      <w:r w:rsidR="00215831">
        <w:rPr>
          <w:lang w:val="en-GB"/>
        </w:rPr>
        <w:t>report</w:t>
      </w:r>
      <w:r w:rsidRPr="00DD3603">
        <w:rPr>
          <w:lang w:val="en-GB"/>
        </w:rPr>
        <w:t xml:space="preserve"> I will give an overview of legal and regulatory issues that I found while studying the </w:t>
      </w:r>
      <w:r w:rsidR="009D37F4">
        <w:rPr>
          <w:lang w:val="en-GB"/>
        </w:rPr>
        <w:t xml:space="preserve">current </w:t>
      </w:r>
      <w:r w:rsidR="00215831">
        <w:rPr>
          <w:lang w:val="en-GB"/>
        </w:rPr>
        <w:t>draft</w:t>
      </w:r>
      <w:r w:rsidRPr="00DD3603">
        <w:rPr>
          <w:lang w:val="en-GB"/>
        </w:rPr>
        <w:t xml:space="preserve">. Furthermore, I have put observations, remarks and suggestions in the </w:t>
      </w:r>
      <w:r w:rsidR="00AA7430">
        <w:rPr>
          <w:lang w:val="en-GB"/>
        </w:rPr>
        <w:t>draft law</w:t>
      </w:r>
      <w:r w:rsidRPr="00DD3603">
        <w:rPr>
          <w:lang w:val="en-GB"/>
        </w:rPr>
        <w:t xml:space="preserve">, which should be self-explanatory. </w:t>
      </w:r>
      <w:r w:rsidR="00DD3603">
        <w:rPr>
          <w:lang w:val="en-GB"/>
        </w:rPr>
        <w:t xml:space="preserve">I </w:t>
      </w:r>
      <w:r w:rsidR="009D37F4">
        <w:rPr>
          <w:lang w:val="en-GB"/>
        </w:rPr>
        <w:t xml:space="preserve">refer to </w:t>
      </w:r>
      <w:r w:rsidR="00DD3603">
        <w:rPr>
          <w:lang w:val="en-GB"/>
        </w:rPr>
        <w:t>the follo</w:t>
      </w:r>
      <w:r w:rsidR="009D37F4">
        <w:rPr>
          <w:lang w:val="en-GB"/>
        </w:rPr>
        <w:t>wing</w:t>
      </w:r>
      <w:r w:rsidR="00DD3603">
        <w:rPr>
          <w:lang w:val="en-GB"/>
        </w:rPr>
        <w:t xml:space="preserve"> from the Terms of Reference for this </w:t>
      </w:r>
      <w:r w:rsidR="00B2623B">
        <w:rPr>
          <w:lang w:val="en-GB"/>
        </w:rPr>
        <w:t>assignment</w:t>
      </w:r>
      <w:r w:rsidR="00DD3603">
        <w:rPr>
          <w:lang w:val="en-GB"/>
        </w:rPr>
        <w:t>:</w:t>
      </w:r>
    </w:p>
    <w:p w14:paraId="4A5E4321" w14:textId="39ECCEDF" w:rsidR="00664B6E" w:rsidRPr="0023401C" w:rsidRDefault="00664B6E" w:rsidP="00664B6E">
      <w:pPr>
        <w:pStyle w:val="Footer"/>
        <w:numPr>
          <w:ilvl w:val="0"/>
          <w:numId w:val="14"/>
        </w:numPr>
        <w:tabs>
          <w:tab w:val="clear" w:pos="4536"/>
          <w:tab w:val="clear" w:pos="9072"/>
          <w:tab w:val="center" w:pos="567"/>
          <w:tab w:val="right" w:pos="9648"/>
        </w:tabs>
        <w:spacing w:before="60" w:after="60"/>
        <w:rPr>
          <w:bCs/>
          <w:szCs w:val="22"/>
          <w:lang w:val="en-GB"/>
        </w:rPr>
      </w:pPr>
      <w:r w:rsidRPr="0023401C">
        <w:rPr>
          <w:bCs/>
          <w:szCs w:val="22"/>
          <w:lang w:val="en-US"/>
        </w:rPr>
        <w:t>Revision of the received draft On Medicines Law of Georgia according to the GRP guidelines and WHO</w:t>
      </w:r>
      <w:r w:rsidR="004B5EA4">
        <w:rPr>
          <w:bCs/>
          <w:szCs w:val="22"/>
          <w:lang w:val="en-US"/>
        </w:rPr>
        <w:t xml:space="preserve"> </w:t>
      </w:r>
      <w:r w:rsidRPr="0023401C">
        <w:rPr>
          <w:bCs/>
          <w:szCs w:val="22"/>
          <w:lang w:val="en-US"/>
        </w:rPr>
        <w:t xml:space="preserve">Global Benchmarking Tool; </w:t>
      </w:r>
    </w:p>
    <w:p w14:paraId="4733A35A" w14:textId="77777777" w:rsidR="0023401C" w:rsidRDefault="00664B6E" w:rsidP="00664B6E">
      <w:pPr>
        <w:pStyle w:val="Footer"/>
        <w:numPr>
          <w:ilvl w:val="0"/>
          <w:numId w:val="14"/>
        </w:numPr>
        <w:tabs>
          <w:tab w:val="clear" w:pos="4536"/>
          <w:tab w:val="clear" w:pos="9072"/>
          <w:tab w:val="center" w:pos="567"/>
          <w:tab w:val="right" w:pos="9648"/>
        </w:tabs>
        <w:spacing w:before="60" w:after="60"/>
        <w:rPr>
          <w:bCs/>
          <w:szCs w:val="22"/>
          <w:lang w:val="en-GB"/>
        </w:rPr>
      </w:pPr>
      <w:r w:rsidRPr="0023401C">
        <w:rPr>
          <w:bCs/>
          <w:szCs w:val="22"/>
          <w:lang w:val="en-US"/>
        </w:rPr>
        <w:t>P</w:t>
      </w:r>
      <w:r w:rsidRPr="0023401C">
        <w:rPr>
          <w:bCs/>
          <w:szCs w:val="22"/>
          <w:lang w:val="en-US" w:eastAsia="ja-JP"/>
        </w:rPr>
        <w:t xml:space="preserve">rovision of recommendations on alignment of the Draft Law to </w:t>
      </w:r>
      <w:r w:rsidRPr="0023401C">
        <w:rPr>
          <w:bCs/>
          <w:szCs w:val="22"/>
          <w:lang w:val="en-US"/>
        </w:rPr>
        <w:t xml:space="preserve">the European </w:t>
      </w:r>
      <w:r w:rsidRPr="0023401C">
        <w:rPr>
          <w:szCs w:val="22"/>
          <w:lang w:val="en-US"/>
        </w:rPr>
        <w:t>Union acquis</w:t>
      </w:r>
      <w:r w:rsidR="0023401C">
        <w:rPr>
          <w:bCs/>
          <w:szCs w:val="22"/>
          <w:lang w:val="en-GB"/>
        </w:rPr>
        <w:t>.</w:t>
      </w:r>
    </w:p>
    <w:p w14:paraId="1D4219B0" w14:textId="03935BC1" w:rsidR="00664B6E" w:rsidRPr="0023401C" w:rsidRDefault="00664B6E" w:rsidP="0023401C">
      <w:pPr>
        <w:pStyle w:val="Footer"/>
        <w:tabs>
          <w:tab w:val="clear" w:pos="4536"/>
          <w:tab w:val="clear" w:pos="9072"/>
          <w:tab w:val="center" w:pos="567"/>
          <w:tab w:val="right" w:pos="9648"/>
        </w:tabs>
        <w:spacing w:before="60" w:after="60"/>
        <w:ind w:left="720"/>
        <w:rPr>
          <w:bCs/>
          <w:szCs w:val="22"/>
          <w:lang w:val="en-GB"/>
        </w:rPr>
      </w:pPr>
      <w:r w:rsidRPr="0023401C">
        <w:rPr>
          <w:bCs/>
          <w:szCs w:val="22"/>
          <w:lang w:val="en-US"/>
        </w:rPr>
        <w:t xml:space="preserve"> </w:t>
      </w:r>
    </w:p>
    <w:p w14:paraId="4A8C246D" w14:textId="31F80E33" w:rsidR="00896336" w:rsidRPr="0023401C" w:rsidRDefault="009D37F4" w:rsidP="00664B6E">
      <w:pPr>
        <w:rPr>
          <w:lang w:val="en-GB"/>
        </w:rPr>
      </w:pPr>
      <w:r w:rsidRPr="0023401C">
        <w:rPr>
          <w:lang w:val="en-GB"/>
        </w:rPr>
        <w:t xml:space="preserve">As reference material I used the </w:t>
      </w:r>
      <w:r w:rsidR="006C6FAF" w:rsidRPr="0023401C">
        <w:rPr>
          <w:lang w:val="en-GB"/>
        </w:rPr>
        <w:t xml:space="preserve">WHO draft Good Regulatory Practices: </w:t>
      </w:r>
      <w:r w:rsidR="001A6DB8">
        <w:rPr>
          <w:lang w:val="en-GB"/>
        </w:rPr>
        <w:t>G</w:t>
      </w:r>
      <w:r w:rsidR="006C6FAF" w:rsidRPr="0023401C">
        <w:rPr>
          <w:lang w:val="en-GB"/>
        </w:rPr>
        <w:t>uidelines for national regulatory authorities for medical practices (working document QAS/16.686, out for comments</w:t>
      </w:r>
      <w:proofErr w:type="gramStart"/>
      <w:r w:rsidR="006C6FAF" w:rsidRPr="0023401C">
        <w:rPr>
          <w:lang w:val="en-GB"/>
        </w:rPr>
        <w:t>)(</w:t>
      </w:r>
      <w:proofErr w:type="gramEnd"/>
      <w:r w:rsidR="006C6FAF" w:rsidRPr="0023401C">
        <w:rPr>
          <w:lang w:val="en-GB"/>
        </w:rPr>
        <w:t>“GRP-guide”)</w:t>
      </w:r>
      <w:r w:rsidR="001A6DB8">
        <w:rPr>
          <w:lang w:val="en-GB"/>
        </w:rPr>
        <w:t>,</w:t>
      </w:r>
      <w:r w:rsidR="004B5EA4">
        <w:rPr>
          <w:lang w:val="en-GB"/>
        </w:rPr>
        <w:t xml:space="preserve"> as well as </w:t>
      </w:r>
      <w:r w:rsidR="009604CA">
        <w:rPr>
          <w:lang w:val="en-GB"/>
        </w:rPr>
        <w:t xml:space="preserve">the </w:t>
      </w:r>
      <w:r w:rsidR="001E3F7E" w:rsidRPr="001E3F7E">
        <w:rPr>
          <w:lang w:val="en-GB"/>
        </w:rPr>
        <w:t xml:space="preserve">WHO </w:t>
      </w:r>
      <w:r w:rsidR="00FC0901" w:rsidRPr="001E3F7E">
        <w:rPr>
          <w:lang w:val="en-GB"/>
        </w:rPr>
        <w:t>Global Benchmarking Tool For Evaluation Of National Regulatory System Of  Medical Products</w:t>
      </w:r>
      <w:r w:rsidR="00FC0901">
        <w:rPr>
          <w:lang w:val="en-GB"/>
        </w:rPr>
        <w:t xml:space="preserve"> </w:t>
      </w:r>
      <w:r w:rsidR="001813FF" w:rsidRPr="001E3F7E">
        <w:rPr>
          <w:lang w:val="en-GB"/>
        </w:rPr>
        <w:t>(</w:t>
      </w:r>
      <w:r w:rsidR="001813FF">
        <w:rPr>
          <w:lang w:val="en-GB"/>
        </w:rPr>
        <w:t>“</w:t>
      </w:r>
      <w:r w:rsidR="001813FF" w:rsidRPr="001E3F7E">
        <w:rPr>
          <w:lang w:val="en-GB"/>
        </w:rPr>
        <w:t>GBT</w:t>
      </w:r>
      <w:r w:rsidR="001813FF">
        <w:rPr>
          <w:lang w:val="en-GB"/>
        </w:rPr>
        <w:t>”</w:t>
      </w:r>
      <w:r w:rsidR="001813FF" w:rsidRPr="001E3F7E">
        <w:rPr>
          <w:lang w:val="en-GB"/>
        </w:rPr>
        <w:t>)</w:t>
      </w:r>
      <w:r w:rsidR="00FC0901">
        <w:rPr>
          <w:lang w:val="en-GB"/>
        </w:rPr>
        <w:t xml:space="preserve">, in particular </w:t>
      </w:r>
      <w:r w:rsidR="00D17966">
        <w:rPr>
          <w:lang w:val="en-GB"/>
        </w:rPr>
        <w:t>the F</w:t>
      </w:r>
      <w:r w:rsidR="00D17966" w:rsidRPr="004938D0">
        <w:rPr>
          <w:lang w:val="en-GB"/>
        </w:rPr>
        <w:t>act sheets for national regulatory system</w:t>
      </w:r>
      <w:r w:rsidR="00F90128">
        <w:rPr>
          <w:rStyle w:val="FootnoteReference"/>
          <w:lang w:val="en-GB"/>
        </w:rPr>
        <w:footnoteReference w:id="1"/>
      </w:r>
      <w:r w:rsidR="00D17966" w:rsidRPr="004938D0">
        <w:rPr>
          <w:lang w:val="en-GB"/>
        </w:rPr>
        <w:t xml:space="preserve"> </w:t>
      </w:r>
      <w:r w:rsidR="00D17966">
        <w:rPr>
          <w:lang w:val="en-GB"/>
        </w:rPr>
        <w:t>and the F</w:t>
      </w:r>
      <w:r w:rsidR="00D17966" w:rsidRPr="00FE190E">
        <w:rPr>
          <w:lang w:val="en-GB"/>
        </w:rPr>
        <w:t>act sheets for registration and marketing authorization</w:t>
      </w:r>
      <w:r w:rsidR="006C6FAF" w:rsidRPr="0023401C">
        <w:rPr>
          <w:lang w:val="en-GB"/>
        </w:rPr>
        <w:t>.</w:t>
      </w:r>
      <w:r w:rsidR="00FE190E">
        <w:rPr>
          <w:rStyle w:val="FootnoteReference"/>
          <w:lang w:val="en-GB"/>
        </w:rPr>
        <w:footnoteReference w:id="2"/>
      </w:r>
      <w:r w:rsidR="006C6FAF" w:rsidRPr="0023401C">
        <w:rPr>
          <w:lang w:val="en-GB"/>
        </w:rPr>
        <w:t xml:space="preserve"> </w:t>
      </w:r>
      <w:r w:rsidR="00DA7F5D">
        <w:rPr>
          <w:lang w:val="en-GB"/>
        </w:rPr>
        <w:t>Furthermore,</w:t>
      </w:r>
      <w:r w:rsidR="002F69D2" w:rsidRPr="0023401C">
        <w:rPr>
          <w:lang w:val="en-GB"/>
        </w:rPr>
        <w:t xml:space="preserve"> I refer to</w:t>
      </w:r>
      <w:r w:rsidR="006C6FAF" w:rsidRPr="0023401C">
        <w:rPr>
          <w:lang w:val="en-GB"/>
        </w:rPr>
        <w:t xml:space="preserve"> the </w:t>
      </w:r>
      <w:r w:rsidR="002F69D2" w:rsidRPr="0023401C">
        <w:rPr>
          <w:lang w:val="en-GB"/>
        </w:rPr>
        <w:t xml:space="preserve">pharmaceutical </w:t>
      </w:r>
      <w:r w:rsidR="006C6FAF" w:rsidRPr="0023401C">
        <w:rPr>
          <w:lang w:val="en-GB"/>
        </w:rPr>
        <w:t>legislation of the E</w:t>
      </w:r>
      <w:r w:rsidR="002F69D2" w:rsidRPr="0023401C">
        <w:rPr>
          <w:lang w:val="en-GB"/>
        </w:rPr>
        <w:t xml:space="preserve">uropean </w:t>
      </w:r>
      <w:r w:rsidR="006C6FAF" w:rsidRPr="0023401C">
        <w:rPr>
          <w:lang w:val="en-GB"/>
        </w:rPr>
        <w:t>U</w:t>
      </w:r>
      <w:r w:rsidR="002F69D2" w:rsidRPr="0023401C">
        <w:rPr>
          <w:lang w:val="en-GB"/>
        </w:rPr>
        <w:t>nion (“EU”)</w:t>
      </w:r>
      <w:r w:rsidR="006C6FAF" w:rsidRPr="0023401C">
        <w:rPr>
          <w:lang w:val="en-GB"/>
        </w:rPr>
        <w:t>.</w:t>
      </w:r>
      <w:r w:rsidR="002F69D2" w:rsidRPr="0023401C">
        <w:rPr>
          <w:rStyle w:val="FootnoteReference"/>
          <w:lang w:val="en-GB"/>
        </w:rPr>
        <w:footnoteReference w:id="3"/>
      </w:r>
      <w:r w:rsidR="002F69D2" w:rsidRPr="0023401C">
        <w:rPr>
          <w:lang w:val="en-GB"/>
        </w:rPr>
        <w:t xml:space="preserve"> The reason for this choice is that </w:t>
      </w:r>
      <w:r w:rsidR="0080696A" w:rsidRPr="0023401C">
        <w:rPr>
          <w:lang w:val="en-GB"/>
        </w:rPr>
        <w:t>the EU legislation functions as the golden standard in Georgia based on the Association Agreement that was signed with the EU</w:t>
      </w:r>
      <w:r w:rsidR="001A6DB8">
        <w:rPr>
          <w:lang w:val="en-GB"/>
        </w:rPr>
        <w:t xml:space="preserve"> and the fact that it was part of the assignment</w:t>
      </w:r>
      <w:r w:rsidR="009F5466">
        <w:rPr>
          <w:lang w:val="en-GB"/>
        </w:rPr>
        <w:t>.</w:t>
      </w:r>
      <w:r w:rsidR="002F69D2" w:rsidRPr="0023401C">
        <w:rPr>
          <w:lang w:val="en-GB"/>
        </w:rPr>
        <w:t xml:space="preserve"> </w:t>
      </w:r>
    </w:p>
    <w:p w14:paraId="204FF138" w14:textId="5DF0353F" w:rsidR="00A12DEE" w:rsidRPr="006737FA" w:rsidRDefault="00A82CAC" w:rsidP="003B5F8E">
      <w:pPr>
        <w:pStyle w:val="Heading3"/>
        <w:rPr>
          <w:lang w:val="en-GB"/>
        </w:rPr>
      </w:pPr>
      <w:r>
        <w:rPr>
          <w:caps w:val="0"/>
          <w:lang w:val="en-GB"/>
        </w:rPr>
        <w:t>1</w:t>
      </w:r>
      <w:r w:rsidRPr="00A82CAC">
        <w:rPr>
          <w:caps w:val="0"/>
          <w:lang w:val="en-GB"/>
        </w:rPr>
        <w:t>.1</w:t>
      </w:r>
      <w:r w:rsidRPr="00A82CAC">
        <w:rPr>
          <w:caps w:val="0"/>
          <w:lang w:val="en-GB"/>
        </w:rPr>
        <w:tab/>
        <w:t xml:space="preserve">Good Legislative Practice </w:t>
      </w:r>
      <w:proofErr w:type="gramStart"/>
      <w:r w:rsidRPr="00A82CAC">
        <w:rPr>
          <w:caps w:val="0"/>
          <w:lang w:val="en-GB"/>
        </w:rPr>
        <w:t>In</w:t>
      </w:r>
      <w:proofErr w:type="gramEnd"/>
      <w:r w:rsidRPr="00A82CAC">
        <w:rPr>
          <w:caps w:val="0"/>
          <w:lang w:val="en-GB"/>
        </w:rPr>
        <w:t xml:space="preserve"> Pharmaceutical Legislation</w:t>
      </w:r>
    </w:p>
    <w:p w14:paraId="35E5B8FA" w14:textId="3DCE34D1" w:rsidR="00A12DEE" w:rsidRPr="003E4D35" w:rsidRDefault="00A12DEE" w:rsidP="00A12DEE">
      <w:pPr>
        <w:rPr>
          <w:lang w:val="en-GB"/>
        </w:rPr>
      </w:pPr>
      <w:r w:rsidRPr="003E4D35">
        <w:rPr>
          <w:lang w:val="en-GB"/>
        </w:rPr>
        <w:t xml:space="preserve">One of the key requirements of every healthcare system is the availability of good quality medical products. Both for medical devices and medicinal products a well-functioning regulatory system is required, to guarantee the quality and the affordability of such products for the patients. From a legal point of view, the basis for a well-functioning regulatory system is well-implemented legislation by well-regulated competent authorities. Furthermore, the </w:t>
      </w:r>
      <w:proofErr w:type="gramStart"/>
      <w:r w:rsidRPr="003E4D35">
        <w:rPr>
          <w:lang w:val="en-GB"/>
        </w:rPr>
        <w:t>interest of the medical products industry are</w:t>
      </w:r>
      <w:proofErr w:type="gramEnd"/>
      <w:r w:rsidRPr="003E4D35">
        <w:rPr>
          <w:lang w:val="en-GB"/>
        </w:rPr>
        <w:t xml:space="preserve"> high: medicinal products and medical devices are big business</w:t>
      </w:r>
      <w:r w:rsidR="00901E13">
        <w:rPr>
          <w:lang w:val="en-GB"/>
        </w:rPr>
        <w:t xml:space="preserve"> and therefore</w:t>
      </w:r>
      <w:r w:rsidRPr="003E4D35">
        <w:rPr>
          <w:lang w:val="en-GB"/>
        </w:rPr>
        <w:t xml:space="preserve"> requir</w:t>
      </w:r>
      <w:r w:rsidR="00901E13">
        <w:rPr>
          <w:lang w:val="en-GB"/>
        </w:rPr>
        <w:t>e</w:t>
      </w:r>
      <w:r w:rsidR="00AD31E6">
        <w:rPr>
          <w:lang w:val="en-GB"/>
        </w:rPr>
        <w:t xml:space="preserve"> robust</w:t>
      </w:r>
      <w:r w:rsidRPr="003E4D35">
        <w:rPr>
          <w:lang w:val="en-GB"/>
        </w:rPr>
        <w:t xml:space="preserve"> checks and balances in the procedures and a high level of transparency.  </w:t>
      </w:r>
    </w:p>
    <w:p w14:paraId="48F61B2C" w14:textId="77777777" w:rsidR="00A12DEE" w:rsidRPr="000A7C69" w:rsidRDefault="00A12DEE" w:rsidP="00A12DEE">
      <w:pPr>
        <w:pStyle w:val="Default"/>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In order to meet the requirements of optimal protection of public health and effective regulation of the medical products industries the regulatory system should prevent:</w:t>
      </w:r>
    </w:p>
    <w:p w14:paraId="247D4459"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Arbitrariness;</w:t>
      </w:r>
    </w:p>
    <w:p w14:paraId="74B3CA3E"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Conflicts of Interests (and corruption); and</w:t>
      </w:r>
    </w:p>
    <w:p w14:paraId="3062AA67" w14:textId="1E83621C" w:rsidR="00A12DEE" w:rsidRPr="000A7C69" w:rsidRDefault="00AD31E6" w:rsidP="00A12DEE">
      <w:pPr>
        <w:pStyle w:val="Default"/>
        <w:numPr>
          <w:ilvl w:val="0"/>
          <w:numId w:val="13"/>
        </w:numPr>
        <w:spacing w:after="74"/>
        <w:rPr>
          <w:rFonts w:asciiTheme="minorHAnsi" w:hAnsiTheme="minorHAnsi" w:cstheme="minorBidi"/>
          <w:color w:val="auto"/>
          <w:sz w:val="20"/>
          <w:szCs w:val="20"/>
        </w:rPr>
      </w:pPr>
      <w:r>
        <w:rPr>
          <w:rFonts w:asciiTheme="minorHAnsi" w:hAnsiTheme="minorHAnsi" w:cstheme="minorBidi"/>
          <w:color w:val="auto"/>
          <w:sz w:val="20"/>
          <w:szCs w:val="20"/>
        </w:rPr>
        <w:t>The introduction of s</w:t>
      </w:r>
      <w:r w:rsidR="00A12DEE" w:rsidRPr="000A7C69">
        <w:rPr>
          <w:rFonts w:asciiTheme="minorHAnsi" w:hAnsiTheme="minorHAnsi" w:cstheme="minorBidi"/>
          <w:color w:val="auto"/>
          <w:sz w:val="20"/>
          <w:szCs w:val="20"/>
        </w:rPr>
        <w:t xml:space="preserve">ubstandard products </w:t>
      </w:r>
      <w:r w:rsidR="00E65D5A">
        <w:rPr>
          <w:rFonts w:asciiTheme="minorHAnsi" w:hAnsiTheme="minorHAnsi" w:cstheme="minorBidi"/>
          <w:color w:val="auto"/>
          <w:sz w:val="20"/>
          <w:szCs w:val="20"/>
        </w:rPr>
        <w:t xml:space="preserve">into </w:t>
      </w:r>
      <w:r w:rsidR="00A12DEE" w:rsidRPr="000A7C69">
        <w:rPr>
          <w:rFonts w:asciiTheme="minorHAnsi" w:hAnsiTheme="minorHAnsi" w:cstheme="minorBidi"/>
          <w:color w:val="auto"/>
          <w:sz w:val="20"/>
          <w:szCs w:val="20"/>
        </w:rPr>
        <w:t>the system.</w:t>
      </w:r>
    </w:p>
    <w:p w14:paraId="54301140" w14:textId="77777777" w:rsidR="00A12DEE" w:rsidRPr="000A7C69" w:rsidRDefault="00A12DEE" w:rsidP="00A12DEE">
      <w:pPr>
        <w:pStyle w:val="Default"/>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To this end, the regulatory system should be:</w:t>
      </w:r>
    </w:p>
    <w:p w14:paraId="5312AA4D"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Transparent; and</w:t>
      </w:r>
    </w:p>
    <w:p w14:paraId="0E1C34F3"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Legally clear.</w:t>
      </w:r>
    </w:p>
    <w:p w14:paraId="7B985B19" w14:textId="23B1519B" w:rsidR="00A12DEE" w:rsidRDefault="00A12DEE" w:rsidP="00A12DEE">
      <w:pPr>
        <w:rPr>
          <w:lang w:val="en-GB"/>
        </w:rPr>
      </w:pPr>
    </w:p>
    <w:p w14:paraId="649468A5" w14:textId="77777777" w:rsidR="000A7C69" w:rsidRPr="003E4D35" w:rsidRDefault="000A7C69" w:rsidP="00A12DEE">
      <w:pPr>
        <w:rPr>
          <w:lang w:val="en-GB"/>
        </w:rPr>
      </w:pPr>
    </w:p>
    <w:p w14:paraId="5572ADFE" w14:textId="708BADD1" w:rsidR="00A12DEE" w:rsidRPr="003E4D35" w:rsidRDefault="003B5F8E" w:rsidP="007E67D8">
      <w:pPr>
        <w:pStyle w:val="Heading3"/>
        <w:rPr>
          <w:lang w:val="en-GB"/>
        </w:rPr>
      </w:pPr>
      <w:r>
        <w:rPr>
          <w:lang w:val="en-GB"/>
        </w:rPr>
        <w:t>1.2</w:t>
      </w:r>
      <w:r>
        <w:rPr>
          <w:lang w:val="en-GB"/>
        </w:rPr>
        <w:tab/>
      </w:r>
      <w:r w:rsidR="00A12DEE" w:rsidRPr="003E4D35">
        <w:rPr>
          <w:lang w:val="en-GB"/>
        </w:rPr>
        <w:t>Key elements</w:t>
      </w:r>
      <w:r w:rsidR="00E65D5A">
        <w:rPr>
          <w:lang w:val="en-GB"/>
        </w:rPr>
        <w:t xml:space="preserve"> OF</w:t>
      </w:r>
      <w:r w:rsidR="00A12DEE" w:rsidRPr="003E4D35">
        <w:rPr>
          <w:lang w:val="en-GB"/>
        </w:rPr>
        <w:t xml:space="preserve"> WHO draft Good Regulatory Practice </w:t>
      </w:r>
    </w:p>
    <w:p w14:paraId="2B89CB6E" w14:textId="4ED4CD50" w:rsidR="00A12DEE" w:rsidRPr="003E4D35" w:rsidRDefault="00A12DEE" w:rsidP="00A12DEE">
      <w:pPr>
        <w:rPr>
          <w:i/>
          <w:lang w:val="en-GB"/>
        </w:rPr>
      </w:pPr>
      <w:r w:rsidRPr="003E4D35">
        <w:rPr>
          <w:lang w:val="en-GB"/>
        </w:rPr>
        <w:t>The WHO GRP</w:t>
      </w:r>
      <w:r w:rsidR="00FE21DB">
        <w:rPr>
          <w:lang w:val="en-GB"/>
        </w:rPr>
        <w:t>-guide</w:t>
      </w:r>
      <w:r w:rsidRPr="003E4D35">
        <w:rPr>
          <w:lang w:val="en-GB"/>
        </w:rPr>
        <w:t xml:space="preserve"> mentions the following important properties </w:t>
      </w:r>
      <w:r w:rsidR="00FE21DB">
        <w:rPr>
          <w:lang w:val="en-GB"/>
        </w:rPr>
        <w:t>of</w:t>
      </w:r>
      <w:r w:rsidRPr="003E4D35">
        <w:rPr>
          <w:lang w:val="en-GB"/>
        </w:rPr>
        <w:t xml:space="preserve"> regulatory systems.</w:t>
      </w:r>
    </w:p>
    <w:p w14:paraId="604E12DA"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 xml:space="preserve">Legality: </w:t>
      </w:r>
      <w:r w:rsidRPr="0073657A">
        <w:rPr>
          <w:rFonts w:asciiTheme="minorHAnsi" w:hAnsiTheme="minorHAnsi" w:cstheme="minorHAnsi"/>
          <w:sz w:val="20"/>
          <w:szCs w:val="20"/>
        </w:rPr>
        <w:t>Regulation should have a sound legal basis and should be consistent with existing legislation, including international norms or agreements.</w:t>
      </w:r>
    </w:p>
    <w:p w14:paraId="2E361182"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Impartiality</w:t>
      </w:r>
      <w:r w:rsidRPr="0073657A">
        <w:rPr>
          <w:rFonts w:asciiTheme="minorHAnsi" w:hAnsiTheme="minorHAnsi" w:cstheme="minorHAnsi"/>
          <w:sz w:val="20"/>
          <w:szCs w:val="20"/>
        </w:rPr>
        <w:t xml:space="preserve">: Regulation and regulatory decisions should be impartial in order to be fair and to avoid conflicts of interest, unfounded bias or improper influence from stakeholders. </w:t>
      </w:r>
    </w:p>
    <w:p w14:paraId="6B4A79AC"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Consistency</w:t>
      </w:r>
      <w:r w:rsidRPr="0073657A">
        <w:rPr>
          <w:rFonts w:asciiTheme="minorHAnsi" w:hAnsiTheme="minorHAnsi" w:cstheme="minorHAnsi"/>
          <w:sz w:val="20"/>
          <w:szCs w:val="20"/>
        </w:rPr>
        <w:t>: Regulations should be clear and predictable; both the regulator and the regulated party should understand the behaviour and the conduct that are expected and the consequences of noncompliance.</w:t>
      </w:r>
    </w:p>
    <w:p w14:paraId="232AA656"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Proportionality</w:t>
      </w:r>
      <w:r w:rsidRPr="0073657A">
        <w:rPr>
          <w:rFonts w:asciiTheme="minorHAnsi" w:hAnsiTheme="minorHAnsi" w:cstheme="minorHAnsi"/>
          <w:sz w:val="20"/>
          <w:szCs w:val="20"/>
        </w:rPr>
        <w:t xml:space="preserve">: Regulations and regulatory decisions should be proportional to the risk and should not exceed what is necessary to achieve the objectives. </w:t>
      </w:r>
    </w:p>
    <w:p w14:paraId="363BE59E"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Flexibility</w:t>
      </w:r>
      <w:r w:rsidRPr="0073657A">
        <w:rPr>
          <w:rFonts w:asciiTheme="minorHAnsi" w:hAnsiTheme="minorHAnsi" w:cstheme="minorHAnsi"/>
          <w:sz w:val="20"/>
          <w:szCs w:val="20"/>
        </w:rPr>
        <w:t xml:space="preserve">: Regulations should not be prescriptive; they should allow flexibility in responding to a changing regulated environment and different or unforeseen circumstances. </w:t>
      </w:r>
    </w:p>
    <w:p w14:paraId="32E4B6F7"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Effectiveness</w:t>
      </w:r>
      <w:r w:rsidRPr="0073657A">
        <w:rPr>
          <w:rFonts w:asciiTheme="minorHAnsi" w:hAnsiTheme="minorHAnsi" w:cstheme="minorHAnsi"/>
          <w:sz w:val="20"/>
          <w:szCs w:val="20"/>
        </w:rPr>
        <w:t xml:space="preserve">: Regulations should produce the intended result. </w:t>
      </w:r>
    </w:p>
    <w:p w14:paraId="0B4BF009"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Efficiency</w:t>
      </w:r>
      <w:r w:rsidRPr="0073657A">
        <w:rPr>
          <w:rFonts w:asciiTheme="minorHAnsi" w:hAnsiTheme="minorHAnsi" w:cstheme="minorHAnsi"/>
          <w:sz w:val="20"/>
          <w:szCs w:val="20"/>
        </w:rPr>
        <w:t xml:space="preserve">: Regulations should achieve their goals within the required time, effort and cost. </w:t>
      </w:r>
    </w:p>
    <w:p w14:paraId="7B4435A0"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Clarity</w:t>
      </w:r>
      <w:r w:rsidRPr="0073657A">
        <w:rPr>
          <w:rFonts w:asciiTheme="minorHAnsi" w:hAnsiTheme="minorHAnsi" w:cstheme="minorHAnsi"/>
          <w:sz w:val="20"/>
          <w:szCs w:val="20"/>
        </w:rPr>
        <w:t>: Regulations should be accessible to, and understood by, the users;</w:t>
      </w:r>
    </w:p>
    <w:p w14:paraId="02CA2959"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Transparency</w:t>
      </w:r>
      <w:r w:rsidRPr="0073657A">
        <w:rPr>
          <w:rFonts w:asciiTheme="minorHAnsi" w:hAnsiTheme="minorHAnsi" w:cstheme="minorHAnsi"/>
          <w:sz w:val="20"/>
          <w:szCs w:val="20"/>
        </w:rPr>
        <w:t xml:space="preserve">: Regulatory systems should be transparent; requirements and decisions should be made known to affected parties and, where appropriate, to the public in general. </w:t>
      </w:r>
    </w:p>
    <w:p w14:paraId="4C6C4D08" w14:textId="77777777" w:rsidR="005D305E" w:rsidRPr="009D37F4" w:rsidRDefault="005D305E" w:rsidP="005D305E">
      <w:pPr>
        <w:rPr>
          <w:lang w:val="en-GB"/>
        </w:rPr>
      </w:pPr>
    </w:p>
    <w:p w14:paraId="71D41627" w14:textId="77777777" w:rsidR="005D305E" w:rsidRDefault="005D305E" w:rsidP="005D305E">
      <w:pPr>
        <w:pStyle w:val="Heading2"/>
        <w:numPr>
          <w:ilvl w:val="0"/>
          <w:numId w:val="3"/>
        </w:numPr>
        <w:rPr>
          <w:lang w:val="en-GB"/>
        </w:rPr>
      </w:pPr>
      <w:r>
        <w:rPr>
          <w:lang w:val="en-GB"/>
        </w:rPr>
        <w:t>Assessment framework</w:t>
      </w:r>
    </w:p>
    <w:p w14:paraId="7062C5BC" w14:textId="77777777" w:rsidR="005D305E" w:rsidRDefault="005D305E" w:rsidP="00117DC8">
      <w:pPr>
        <w:pStyle w:val="Heading3"/>
        <w:numPr>
          <w:ilvl w:val="1"/>
          <w:numId w:val="3"/>
        </w:numPr>
        <w:ind w:left="142" w:firstLine="218"/>
        <w:rPr>
          <w:lang w:val="en-GB"/>
        </w:rPr>
      </w:pPr>
      <w:r>
        <w:rPr>
          <w:lang w:val="en-GB"/>
        </w:rPr>
        <w:t>Structure</w:t>
      </w:r>
    </w:p>
    <w:p w14:paraId="1848A8F9" w14:textId="1005D578" w:rsidR="005D305E" w:rsidRDefault="005D305E" w:rsidP="005D305E">
      <w:pPr>
        <w:rPr>
          <w:lang w:val="en-GB"/>
        </w:rPr>
      </w:pPr>
      <w:r>
        <w:rPr>
          <w:lang w:val="en-GB"/>
        </w:rPr>
        <w:t>A certain number of elements should be common to any pharmaceutical legislative system.</w:t>
      </w:r>
      <w:r>
        <w:rPr>
          <w:rStyle w:val="FootnoteReference"/>
          <w:lang w:val="en-GB"/>
        </w:rPr>
        <w:footnoteReference w:id="4"/>
      </w:r>
      <w:r>
        <w:rPr>
          <w:lang w:val="en-GB"/>
        </w:rPr>
        <w:t xml:space="preserve"> These elements can be listed as follows for a law to regulate medicinal products, including biologicals and vaccines, but excluding medical devices and other health products. For these products comparable legal frameworks could be established </w:t>
      </w:r>
      <w:r>
        <w:rPr>
          <w:i/>
          <w:lang w:val="en-GB"/>
        </w:rPr>
        <w:t>mutatis mutandis</w:t>
      </w:r>
      <w:r>
        <w:rPr>
          <w:lang w:val="en-GB"/>
        </w:rPr>
        <w:t>. The presented format also does not include legislation in respect of pricing and reimbursement and (public) procurement of medical products. Finally, the presented format does not include provisions concerning clinical research and GCP, which merit a completely independent legislative framework with its own competent authority, norms and procedure. This also applies to the authorisation of and the functioning of the pharmacist in his/her pharmacy.</w:t>
      </w:r>
    </w:p>
    <w:p w14:paraId="4ADB2726" w14:textId="1EF0CA17" w:rsidR="00983273" w:rsidRDefault="00983273" w:rsidP="005D305E">
      <w:pPr>
        <w:rPr>
          <w:lang w:val="en-GB"/>
        </w:rPr>
      </w:pPr>
      <w:r>
        <w:rPr>
          <w:lang w:val="en-GB"/>
        </w:rPr>
        <w:t xml:space="preserve">In the EU </w:t>
      </w:r>
      <w:r w:rsidR="001962E2">
        <w:rPr>
          <w:lang w:val="en-GB"/>
        </w:rPr>
        <w:t xml:space="preserve">the medicinal products legislation is adopted independently of the </w:t>
      </w:r>
      <w:r w:rsidR="00F743D7">
        <w:rPr>
          <w:lang w:val="en-GB"/>
        </w:rPr>
        <w:t xml:space="preserve">legislation on clinical research and animal testing. </w:t>
      </w:r>
      <w:r w:rsidR="00E72FE6">
        <w:rPr>
          <w:lang w:val="en-GB"/>
        </w:rPr>
        <w:t xml:space="preserve">The reason for this is that the medicinal product legislation is purely based on </w:t>
      </w:r>
      <w:r w:rsidR="00BC4CAC">
        <w:rPr>
          <w:lang w:val="en-GB"/>
        </w:rPr>
        <w:t>the Union goal of free movement of goods</w:t>
      </w:r>
      <w:r w:rsidR="007B51E4">
        <w:rPr>
          <w:lang w:val="en-GB"/>
        </w:rPr>
        <w:t xml:space="preserve"> as such. Medicinal products are, although very special, still considered as goods. </w:t>
      </w:r>
      <w:r w:rsidR="00B875A6">
        <w:rPr>
          <w:lang w:val="en-GB"/>
        </w:rPr>
        <w:t xml:space="preserve">Legislation about the development of medicinal products </w:t>
      </w:r>
      <w:r w:rsidR="00297130">
        <w:rPr>
          <w:lang w:val="en-GB"/>
        </w:rPr>
        <w:t xml:space="preserve">is of a different nature, because other aspects of the </w:t>
      </w:r>
      <w:r w:rsidR="00E87323">
        <w:rPr>
          <w:lang w:val="en-GB"/>
        </w:rPr>
        <w:t>Union mandate and the shared responsibility of the EU member states are involved</w:t>
      </w:r>
      <w:r w:rsidR="003F578F">
        <w:rPr>
          <w:lang w:val="en-GB"/>
        </w:rPr>
        <w:t>, such as medical-ethics supported by the Char</w:t>
      </w:r>
      <w:r w:rsidR="006879D4">
        <w:rPr>
          <w:lang w:val="en-GB"/>
        </w:rPr>
        <w:t xml:space="preserve">ter of fundamental rights and the Declaration of Helsinki, and </w:t>
      </w:r>
      <w:r w:rsidR="003B6540">
        <w:rPr>
          <w:lang w:val="en-GB"/>
        </w:rPr>
        <w:t>humane treatment of animals</w:t>
      </w:r>
      <w:r w:rsidR="00297130">
        <w:rPr>
          <w:lang w:val="en-GB"/>
        </w:rPr>
        <w:t xml:space="preserve">. </w:t>
      </w:r>
      <w:r w:rsidR="003B6540">
        <w:rPr>
          <w:lang w:val="en-GB"/>
        </w:rPr>
        <w:t xml:space="preserve">Although </w:t>
      </w:r>
      <w:r w:rsidR="003A3BA0">
        <w:rPr>
          <w:lang w:val="en-GB"/>
        </w:rPr>
        <w:t xml:space="preserve">the draft law is drafted to include </w:t>
      </w:r>
      <w:r w:rsidR="00DA557A">
        <w:rPr>
          <w:lang w:val="en-GB"/>
        </w:rPr>
        <w:t xml:space="preserve">research and development of medicinal products, my focus will be on the </w:t>
      </w:r>
      <w:r w:rsidR="00066867">
        <w:rPr>
          <w:lang w:val="en-GB"/>
        </w:rPr>
        <w:t xml:space="preserve">marketing authorisation procedures and the </w:t>
      </w:r>
      <w:r w:rsidR="00BC669C">
        <w:rPr>
          <w:lang w:val="en-GB"/>
        </w:rPr>
        <w:t>regulation of the pharmaceutical industry and market in Georgia</w:t>
      </w:r>
      <w:r w:rsidR="00502ACD">
        <w:rPr>
          <w:lang w:val="en-GB"/>
        </w:rPr>
        <w:t>. Such a pharmaceutical law should contain the following building blocks:</w:t>
      </w:r>
    </w:p>
    <w:p w14:paraId="36870CAF" w14:textId="77777777" w:rsidR="005D305E" w:rsidRDefault="005D305E" w:rsidP="005D305E">
      <w:pPr>
        <w:pStyle w:val="ListParagraph"/>
        <w:numPr>
          <w:ilvl w:val="0"/>
          <w:numId w:val="1"/>
        </w:numPr>
        <w:rPr>
          <w:lang w:val="en-GB"/>
        </w:rPr>
      </w:pPr>
      <w:r>
        <w:rPr>
          <w:lang w:val="en-GB"/>
        </w:rPr>
        <w:lastRenderedPageBreak/>
        <w:t>Preamble, containing reasons for the law and objectives of the legislator (this part contains no legal provisions);</w:t>
      </w:r>
    </w:p>
    <w:p w14:paraId="75FE6033" w14:textId="77777777" w:rsidR="005D305E" w:rsidRDefault="005D305E" w:rsidP="005D305E">
      <w:pPr>
        <w:pStyle w:val="ListParagraph"/>
        <w:numPr>
          <w:ilvl w:val="0"/>
          <w:numId w:val="1"/>
        </w:numPr>
        <w:rPr>
          <w:lang w:val="en-GB"/>
        </w:rPr>
      </w:pPr>
      <w:r>
        <w:rPr>
          <w:lang w:val="en-GB"/>
        </w:rPr>
        <w:t>Definitions;</w:t>
      </w:r>
      <w:r>
        <w:rPr>
          <w:rStyle w:val="FootnoteReference"/>
          <w:lang w:val="en-GB"/>
        </w:rPr>
        <w:footnoteReference w:id="5"/>
      </w:r>
    </w:p>
    <w:p w14:paraId="3ABD816F" w14:textId="77777777" w:rsidR="005D305E" w:rsidRDefault="005D305E" w:rsidP="005D305E">
      <w:pPr>
        <w:pStyle w:val="ListParagraph"/>
        <w:numPr>
          <w:ilvl w:val="0"/>
          <w:numId w:val="1"/>
        </w:numPr>
        <w:rPr>
          <w:lang w:val="en-GB"/>
        </w:rPr>
      </w:pPr>
      <w:r>
        <w:rPr>
          <w:lang w:val="en-GB"/>
        </w:rPr>
        <w:t>Scope provisions;</w:t>
      </w:r>
    </w:p>
    <w:p w14:paraId="131B5160" w14:textId="792955FB" w:rsidR="005D305E" w:rsidRDefault="005D305E" w:rsidP="005D305E">
      <w:pPr>
        <w:pStyle w:val="ListParagraph"/>
        <w:numPr>
          <w:ilvl w:val="0"/>
          <w:numId w:val="1"/>
        </w:numPr>
        <w:rPr>
          <w:lang w:val="en-GB"/>
        </w:rPr>
      </w:pPr>
      <w:r>
        <w:rPr>
          <w:lang w:val="en-GB"/>
        </w:rPr>
        <w:t>Establishment of regulatory authorities and their powers;</w:t>
      </w:r>
    </w:p>
    <w:p w14:paraId="6493DA29" w14:textId="2706EE82" w:rsidR="00DC25EE" w:rsidRPr="00301CDE" w:rsidRDefault="00423762" w:rsidP="00301CDE">
      <w:pPr>
        <w:pStyle w:val="ListParagraph"/>
        <w:numPr>
          <w:ilvl w:val="1"/>
          <w:numId w:val="1"/>
        </w:numPr>
        <w:rPr>
          <w:lang w:val="en-GB"/>
        </w:rPr>
      </w:pPr>
      <w:r>
        <w:rPr>
          <w:lang w:val="en-GB"/>
        </w:rPr>
        <w:t xml:space="preserve">Who makes decisions on what issues and what it the </w:t>
      </w:r>
      <w:r w:rsidR="00DC25EE">
        <w:rPr>
          <w:lang w:val="en-GB"/>
        </w:rPr>
        <w:t>legal framework?</w:t>
      </w:r>
    </w:p>
    <w:p w14:paraId="1A0D7F62" w14:textId="77777777" w:rsidR="005D305E" w:rsidRDefault="005D305E" w:rsidP="005D305E">
      <w:pPr>
        <w:pStyle w:val="ListParagraph"/>
        <w:numPr>
          <w:ilvl w:val="0"/>
          <w:numId w:val="1"/>
        </w:numPr>
        <w:rPr>
          <w:lang w:val="en-GB"/>
        </w:rPr>
      </w:pPr>
      <w:r>
        <w:rPr>
          <w:lang w:val="en-GB"/>
        </w:rPr>
        <w:t>Necessary authorisation: marketing authorisation</w:t>
      </w:r>
    </w:p>
    <w:p w14:paraId="12DC8C39" w14:textId="77777777" w:rsidR="005D305E" w:rsidRDefault="005D305E" w:rsidP="005D305E">
      <w:pPr>
        <w:pStyle w:val="ListParagraph"/>
        <w:numPr>
          <w:ilvl w:val="1"/>
          <w:numId w:val="1"/>
        </w:numPr>
        <w:rPr>
          <w:lang w:val="en-GB"/>
        </w:rPr>
      </w:pPr>
      <w:r>
        <w:rPr>
          <w:lang w:val="en-GB"/>
        </w:rPr>
        <w:t>Application procedure for a marketing authorisation;</w:t>
      </w:r>
    </w:p>
    <w:p w14:paraId="31FC3455" w14:textId="77777777" w:rsidR="005D305E" w:rsidRDefault="005D305E" w:rsidP="005D305E">
      <w:pPr>
        <w:pStyle w:val="ListParagraph"/>
        <w:numPr>
          <w:ilvl w:val="1"/>
          <w:numId w:val="1"/>
        </w:numPr>
        <w:rPr>
          <w:lang w:val="en-GB"/>
        </w:rPr>
      </w:pPr>
      <w:r>
        <w:rPr>
          <w:lang w:val="en-GB"/>
        </w:rPr>
        <w:t>Pharmacovigilance after the introduction;</w:t>
      </w:r>
    </w:p>
    <w:p w14:paraId="3370819D" w14:textId="1AFE010E" w:rsidR="005D305E" w:rsidRDefault="005D305E" w:rsidP="005D305E">
      <w:pPr>
        <w:pStyle w:val="ListParagraph"/>
        <w:numPr>
          <w:ilvl w:val="1"/>
          <w:numId w:val="1"/>
        </w:numPr>
        <w:rPr>
          <w:lang w:val="en-GB"/>
        </w:rPr>
      </w:pPr>
      <w:r>
        <w:rPr>
          <w:lang w:val="en-GB"/>
        </w:rPr>
        <w:t>Variations of the marketing authorisation.</w:t>
      </w:r>
    </w:p>
    <w:p w14:paraId="7E292A9D" w14:textId="77777777" w:rsidR="005D305E" w:rsidRDefault="005D305E" w:rsidP="005D305E">
      <w:pPr>
        <w:pStyle w:val="ListParagraph"/>
        <w:numPr>
          <w:ilvl w:val="0"/>
          <w:numId w:val="1"/>
        </w:numPr>
        <w:rPr>
          <w:lang w:val="en-GB"/>
        </w:rPr>
      </w:pPr>
      <w:r>
        <w:rPr>
          <w:lang w:val="en-GB"/>
        </w:rPr>
        <w:t>Necessary authorisation: manufacturing, importing and wholesale authorisation</w:t>
      </w:r>
    </w:p>
    <w:p w14:paraId="0C54CD49" w14:textId="77777777" w:rsidR="005D305E" w:rsidRDefault="005D305E" w:rsidP="005D305E">
      <w:pPr>
        <w:pStyle w:val="ListParagraph"/>
        <w:numPr>
          <w:ilvl w:val="1"/>
          <w:numId w:val="1"/>
        </w:numPr>
        <w:rPr>
          <w:lang w:val="en-GB"/>
        </w:rPr>
      </w:pPr>
      <w:r>
        <w:rPr>
          <w:lang w:val="en-GB"/>
        </w:rPr>
        <w:t>Application procedure for a manufacturing/import/wholesale authorisation;</w:t>
      </w:r>
    </w:p>
    <w:p w14:paraId="2C5433ED" w14:textId="77777777" w:rsidR="005D305E" w:rsidRDefault="005D305E" w:rsidP="005D305E">
      <w:pPr>
        <w:pStyle w:val="ListParagraph"/>
        <w:numPr>
          <w:ilvl w:val="0"/>
          <w:numId w:val="1"/>
        </w:numPr>
        <w:rPr>
          <w:lang w:val="en-GB"/>
        </w:rPr>
      </w:pPr>
      <w:r>
        <w:rPr>
          <w:lang w:val="en-GB"/>
        </w:rPr>
        <w:t>Official product information and labelling/packaging;</w:t>
      </w:r>
    </w:p>
    <w:p w14:paraId="3558CCBC" w14:textId="1278114F" w:rsidR="005D305E" w:rsidRDefault="005D305E" w:rsidP="005D305E">
      <w:pPr>
        <w:pStyle w:val="ListParagraph"/>
        <w:numPr>
          <w:ilvl w:val="0"/>
          <w:numId w:val="1"/>
        </w:numPr>
        <w:rPr>
          <w:lang w:val="en-GB"/>
        </w:rPr>
      </w:pPr>
      <w:r>
        <w:rPr>
          <w:lang w:val="en-GB"/>
        </w:rPr>
        <w:t>Advertising of medicinal products;</w:t>
      </w:r>
    </w:p>
    <w:p w14:paraId="233CC7D0" w14:textId="6840D42C" w:rsidR="00525236" w:rsidRPr="00525236" w:rsidRDefault="00525236" w:rsidP="00525236">
      <w:pPr>
        <w:pStyle w:val="ListParagraph"/>
        <w:numPr>
          <w:ilvl w:val="0"/>
          <w:numId w:val="1"/>
        </w:numPr>
        <w:rPr>
          <w:lang w:val="en-GB"/>
        </w:rPr>
      </w:pPr>
      <w:r>
        <w:rPr>
          <w:lang w:val="en-GB"/>
        </w:rPr>
        <w:t>Legal remedies in case of a conflict between regulatory authority and applicant or third party</w:t>
      </w:r>
      <w:r w:rsidR="00F4107E">
        <w:rPr>
          <w:lang w:val="en-GB"/>
        </w:rPr>
        <w:t>;</w:t>
      </w:r>
    </w:p>
    <w:p w14:paraId="2AB326A2" w14:textId="77777777" w:rsidR="005D305E" w:rsidRDefault="005D305E" w:rsidP="005D305E">
      <w:pPr>
        <w:pStyle w:val="ListParagraph"/>
        <w:numPr>
          <w:ilvl w:val="0"/>
          <w:numId w:val="1"/>
        </w:numPr>
        <w:rPr>
          <w:lang w:val="en-GB"/>
        </w:rPr>
      </w:pPr>
      <w:r>
        <w:rPr>
          <w:lang w:val="en-GB"/>
        </w:rPr>
        <w:t>Supervision of the market, enforcement of the law;</w:t>
      </w:r>
    </w:p>
    <w:p w14:paraId="35DDE2A1" w14:textId="77777777" w:rsidR="005D305E" w:rsidRDefault="005D305E" w:rsidP="005D305E">
      <w:pPr>
        <w:pStyle w:val="ListParagraph"/>
        <w:numPr>
          <w:ilvl w:val="0"/>
          <w:numId w:val="1"/>
        </w:numPr>
        <w:rPr>
          <w:lang w:val="en-GB"/>
        </w:rPr>
      </w:pPr>
      <w:r>
        <w:rPr>
          <w:lang w:val="en-GB"/>
        </w:rPr>
        <w:t>Sanctions in case of non-compliance;</w:t>
      </w:r>
    </w:p>
    <w:p w14:paraId="1C4C02CC" w14:textId="77777777" w:rsidR="005D305E" w:rsidRDefault="005D305E" w:rsidP="005D305E">
      <w:pPr>
        <w:pStyle w:val="ListParagraph"/>
        <w:numPr>
          <w:ilvl w:val="0"/>
          <w:numId w:val="1"/>
        </w:numPr>
        <w:rPr>
          <w:lang w:val="en-GB"/>
        </w:rPr>
      </w:pPr>
      <w:r>
        <w:rPr>
          <w:lang w:val="en-GB"/>
        </w:rPr>
        <w:t xml:space="preserve">Other ‘boilerplate’, e.g. </w:t>
      </w:r>
      <w:proofErr w:type="gramStart"/>
      <w:r>
        <w:rPr>
          <w:lang w:val="en-GB"/>
        </w:rPr>
        <w:t>date</w:t>
      </w:r>
      <w:proofErr w:type="gramEnd"/>
      <w:r>
        <w:rPr>
          <w:lang w:val="en-GB"/>
        </w:rPr>
        <w:t xml:space="preserve"> of getting into force, grandfather’s clauses and other transitional provisions.</w:t>
      </w:r>
    </w:p>
    <w:p w14:paraId="2B140A74" w14:textId="77777777" w:rsidR="005D305E" w:rsidRPr="009C35F9" w:rsidRDefault="005D305E" w:rsidP="004F2171">
      <w:pPr>
        <w:pStyle w:val="Heading3"/>
        <w:numPr>
          <w:ilvl w:val="1"/>
          <w:numId w:val="3"/>
        </w:numPr>
        <w:ind w:left="426"/>
        <w:rPr>
          <w:lang w:val="en-GB"/>
        </w:rPr>
      </w:pPr>
      <w:r>
        <w:rPr>
          <w:lang w:val="en-GB"/>
        </w:rPr>
        <w:t>Delegation and attribution</w:t>
      </w:r>
    </w:p>
    <w:p w14:paraId="3AE1BC6A" w14:textId="77777777" w:rsidR="005D305E" w:rsidRDefault="005D305E" w:rsidP="005D305E">
      <w:pPr>
        <w:rPr>
          <w:lang w:val="en-GB"/>
        </w:rPr>
      </w:pPr>
      <w:r>
        <w:rPr>
          <w:lang w:val="en-GB"/>
        </w:rPr>
        <w:t xml:space="preserve">The complete set of provisions in the legal framework of a pharmaceutical law contains provisions with different levels of detail. In most countries, it is possible that a formal, parliamentary act allows the government or a minister to adopt implementing acts, containing provisions on a more detailed level. The ratio for applying such delegation is that adaption to a changing environment through parliamentary systems takes a long time to achieve. Furthermore, members of the government and the parliament are often not really interested if amendments are being made. It makes sense to delegate detailed acts, like e.g. the detailed content of the application file, to a lower legislative level. </w:t>
      </w:r>
    </w:p>
    <w:p w14:paraId="0105F1CC" w14:textId="77777777" w:rsidR="005D305E" w:rsidRDefault="005D305E" w:rsidP="005D305E">
      <w:pPr>
        <w:rPr>
          <w:lang w:val="en-GB"/>
        </w:rPr>
      </w:pPr>
      <w:r>
        <w:rPr>
          <w:lang w:val="en-GB"/>
        </w:rPr>
        <w:t>On this issue, the GRP-guide states under the heading Legality:</w:t>
      </w:r>
    </w:p>
    <w:p w14:paraId="5C19D6EE" w14:textId="77777777" w:rsidR="005D305E" w:rsidRDefault="005D305E" w:rsidP="005D305E">
      <w:pPr>
        <w:pStyle w:val="ListParagraph"/>
        <w:numPr>
          <w:ilvl w:val="0"/>
          <w:numId w:val="2"/>
        </w:numPr>
        <w:rPr>
          <w:lang w:val="en-GB"/>
        </w:rPr>
      </w:pPr>
      <w:r w:rsidRPr="00597B57">
        <w:rPr>
          <w:lang w:val="en-GB"/>
        </w:rPr>
        <w:t>All regulatory decisions must be founded on valid legal authorities</w:t>
      </w:r>
      <w:r>
        <w:rPr>
          <w:lang w:val="en-GB"/>
        </w:rPr>
        <w:t>, respecting the rule of law</w:t>
      </w:r>
    </w:p>
    <w:p w14:paraId="66574EAA" w14:textId="77777777" w:rsidR="005D305E" w:rsidRDefault="005D305E" w:rsidP="005D305E">
      <w:pPr>
        <w:pStyle w:val="ListParagraph"/>
        <w:numPr>
          <w:ilvl w:val="0"/>
          <w:numId w:val="2"/>
        </w:numPr>
        <w:rPr>
          <w:lang w:val="en-GB"/>
        </w:rPr>
      </w:pPr>
      <w:r w:rsidRPr="00597B57">
        <w:rPr>
          <w:lang w:val="en-GB"/>
        </w:rPr>
        <w:t xml:space="preserve">Delegation of powers and responsibilities to different levels of </w:t>
      </w:r>
      <w:r>
        <w:rPr>
          <w:lang w:val="en-GB"/>
        </w:rPr>
        <w:t>the regulatory system should be as clear as possible.</w:t>
      </w:r>
    </w:p>
    <w:p w14:paraId="3E71ABC5" w14:textId="77777777" w:rsidR="005D305E" w:rsidRDefault="005D305E" w:rsidP="005D305E">
      <w:pPr>
        <w:pStyle w:val="ListParagraph"/>
        <w:numPr>
          <w:ilvl w:val="0"/>
          <w:numId w:val="2"/>
        </w:numPr>
        <w:rPr>
          <w:lang w:val="en-GB"/>
        </w:rPr>
      </w:pPr>
      <w:r w:rsidRPr="00597B57">
        <w:rPr>
          <w:lang w:val="en-GB"/>
        </w:rPr>
        <w:t>If multiple levels of government are involved, the system</w:t>
      </w:r>
      <w:r>
        <w:rPr>
          <w:lang w:val="en-GB"/>
        </w:rPr>
        <w:t xml:space="preserve"> should ensure consultation, cooperation and coordination.</w:t>
      </w:r>
    </w:p>
    <w:p w14:paraId="29D78081" w14:textId="03BD6E53" w:rsidR="005D305E" w:rsidRDefault="005D305E" w:rsidP="005D305E">
      <w:pPr>
        <w:rPr>
          <w:lang w:val="en-GB"/>
        </w:rPr>
      </w:pPr>
      <w:r>
        <w:rPr>
          <w:lang w:val="en-GB"/>
        </w:rPr>
        <w:t xml:space="preserve">The one point that is </w:t>
      </w:r>
      <w:proofErr w:type="gramStart"/>
      <w:r>
        <w:rPr>
          <w:lang w:val="en-GB"/>
        </w:rPr>
        <w:t>key</w:t>
      </w:r>
      <w:proofErr w:type="gramEnd"/>
      <w:r>
        <w:rPr>
          <w:lang w:val="en-GB"/>
        </w:rPr>
        <w:t xml:space="preserve"> to good legislation is that the delegation should be as clear as possible. I would add to that </w:t>
      </w:r>
      <w:r w:rsidR="00FF077B">
        <w:rPr>
          <w:lang w:val="en-GB"/>
        </w:rPr>
        <w:t xml:space="preserve">that </w:t>
      </w:r>
      <w:r>
        <w:rPr>
          <w:lang w:val="en-GB"/>
        </w:rPr>
        <w:t>any delegation</w:t>
      </w:r>
      <w:r w:rsidR="001E7399">
        <w:rPr>
          <w:lang w:val="en-GB"/>
        </w:rPr>
        <w:t xml:space="preserve"> to a lower legislator</w:t>
      </w:r>
      <w:r>
        <w:rPr>
          <w:lang w:val="en-GB"/>
        </w:rPr>
        <w:t xml:space="preserve"> should be bound</w:t>
      </w:r>
      <w:r w:rsidR="001E7399">
        <w:rPr>
          <w:lang w:val="en-GB"/>
        </w:rPr>
        <w:t xml:space="preserve"> by the delegator</w:t>
      </w:r>
      <w:r>
        <w:rPr>
          <w:lang w:val="en-GB"/>
        </w:rPr>
        <w:t xml:space="preserve">. The delegation provisions </w:t>
      </w:r>
      <w:r w:rsidR="006E0A25">
        <w:rPr>
          <w:lang w:val="en-GB"/>
        </w:rPr>
        <w:t>in a</w:t>
      </w:r>
      <w:r w:rsidR="00FB7D28">
        <w:rPr>
          <w:lang w:val="en-GB"/>
        </w:rPr>
        <w:t xml:space="preserve">ny piece of legislation </w:t>
      </w:r>
      <w:r>
        <w:rPr>
          <w:lang w:val="en-GB"/>
        </w:rPr>
        <w:t>should give the framework in which the delegated power must be used, as well as the criteria that have to be applied in case of decision making. In other words: the core of any legal rule should be in the highest level legislation, details that do not change the essence of the legal rule may be delegated.</w:t>
      </w:r>
    </w:p>
    <w:p w14:paraId="307B16A0" w14:textId="67734666" w:rsidR="00CB6248" w:rsidRPr="003122C5" w:rsidRDefault="00CB6248" w:rsidP="005D305E">
      <w:pPr>
        <w:rPr>
          <w:lang w:val="en-GB"/>
        </w:rPr>
      </w:pPr>
      <w:r>
        <w:rPr>
          <w:lang w:val="en-GB"/>
        </w:rPr>
        <w:t xml:space="preserve">In respect </w:t>
      </w:r>
      <w:r w:rsidR="006C3900">
        <w:rPr>
          <w:lang w:val="en-GB"/>
        </w:rPr>
        <w:t xml:space="preserve">of the current draft I would further add that it is important that the </w:t>
      </w:r>
      <w:r w:rsidR="00D438FF">
        <w:rPr>
          <w:lang w:val="en-GB"/>
        </w:rPr>
        <w:t>law remains flexib</w:t>
      </w:r>
      <w:r w:rsidR="00CE3FEB">
        <w:rPr>
          <w:lang w:val="en-GB"/>
        </w:rPr>
        <w:t>le</w:t>
      </w:r>
      <w:r w:rsidR="00D438FF">
        <w:rPr>
          <w:lang w:val="en-GB"/>
        </w:rPr>
        <w:t>. By regulating too many details on the level of parliamentary law, any small change in the future can only</w:t>
      </w:r>
      <w:r w:rsidR="0005203F">
        <w:rPr>
          <w:lang w:val="en-GB"/>
        </w:rPr>
        <w:t xml:space="preserve"> be implemented at the level of the parliament. </w:t>
      </w:r>
      <w:r w:rsidR="00CE3FEB">
        <w:rPr>
          <w:lang w:val="en-GB"/>
        </w:rPr>
        <w:t xml:space="preserve">This is particularly important as the </w:t>
      </w:r>
      <w:r w:rsidR="008D0EA2">
        <w:rPr>
          <w:lang w:val="en-GB"/>
        </w:rPr>
        <w:t xml:space="preserve">current draft should stay </w:t>
      </w:r>
      <w:r w:rsidR="008D0EA2">
        <w:rPr>
          <w:lang w:val="en-GB"/>
        </w:rPr>
        <w:lastRenderedPageBreak/>
        <w:t xml:space="preserve">aligned with </w:t>
      </w:r>
      <w:r w:rsidR="00CA3848">
        <w:rPr>
          <w:lang w:val="en-GB"/>
        </w:rPr>
        <w:t xml:space="preserve">the </w:t>
      </w:r>
      <w:r w:rsidR="008D0EA2">
        <w:rPr>
          <w:lang w:val="en-GB"/>
        </w:rPr>
        <w:t xml:space="preserve">EU </w:t>
      </w:r>
      <w:r w:rsidR="00CA3848">
        <w:rPr>
          <w:lang w:val="en-GB"/>
        </w:rPr>
        <w:t>Acquis</w:t>
      </w:r>
      <w:r w:rsidR="008D0EA2">
        <w:rPr>
          <w:lang w:val="en-GB"/>
        </w:rPr>
        <w:t xml:space="preserve"> that can be changed </w:t>
      </w:r>
      <w:r w:rsidR="00CA3848">
        <w:rPr>
          <w:lang w:val="en-GB"/>
        </w:rPr>
        <w:t xml:space="preserve">through comitology </w:t>
      </w:r>
      <w:r w:rsidR="000963CF">
        <w:rPr>
          <w:lang w:val="en-GB"/>
        </w:rPr>
        <w:t xml:space="preserve">and implementing acts on the level of the European Commission. Moreover, </w:t>
      </w:r>
      <w:r w:rsidR="00530DF2">
        <w:rPr>
          <w:lang w:val="en-GB"/>
        </w:rPr>
        <w:t>the meaning of the EU Acquis as well as decision</w:t>
      </w:r>
      <w:r w:rsidR="00CA3848">
        <w:rPr>
          <w:lang w:val="en-GB"/>
        </w:rPr>
        <w:t xml:space="preserve"> </w:t>
      </w:r>
      <w:r w:rsidR="008D0EA2">
        <w:rPr>
          <w:lang w:val="en-GB"/>
        </w:rPr>
        <w:t>o</w:t>
      </w:r>
      <w:r w:rsidR="00530DF2">
        <w:rPr>
          <w:lang w:val="en-GB"/>
        </w:rPr>
        <w:t xml:space="preserve">f the Commission can be </w:t>
      </w:r>
      <w:r w:rsidR="000B3F39">
        <w:rPr>
          <w:lang w:val="en-GB"/>
        </w:rPr>
        <w:t>interpreted or squashed by the Court of Justice of the EU</w:t>
      </w:r>
      <w:r w:rsidR="00ED3CF7">
        <w:rPr>
          <w:lang w:val="en-GB"/>
        </w:rPr>
        <w:t>. Such decisions may have to be implemented into Georgian legislation.</w:t>
      </w:r>
      <w:r w:rsidR="008D0EA2">
        <w:rPr>
          <w:lang w:val="en-GB"/>
        </w:rPr>
        <w:t xml:space="preserve"> </w:t>
      </w:r>
      <w:r w:rsidR="00A31831">
        <w:rPr>
          <w:lang w:val="en-GB"/>
        </w:rPr>
        <w:t xml:space="preserve">Therefore, it is important to </w:t>
      </w:r>
      <w:r w:rsidR="001166E2">
        <w:rPr>
          <w:lang w:val="en-GB"/>
        </w:rPr>
        <w:t>carefully assess which issues have to be in the law</w:t>
      </w:r>
      <w:r w:rsidR="00112248">
        <w:rPr>
          <w:lang w:val="en-GB"/>
        </w:rPr>
        <w:t xml:space="preserve"> itself</w:t>
      </w:r>
      <w:r w:rsidR="001166E2">
        <w:rPr>
          <w:lang w:val="en-GB"/>
        </w:rPr>
        <w:t xml:space="preserve"> and to which level of detail. </w:t>
      </w:r>
      <w:r w:rsidR="00304D47">
        <w:rPr>
          <w:lang w:val="en-GB"/>
        </w:rPr>
        <w:t xml:space="preserve">It is not useful to list e.g. all the documents that have to be in the application </w:t>
      </w:r>
      <w:r w:rsidR="0027535A">
        <w:rPr>
          <w:lang w:val="en-GB"/>
        </w:rPr>
        <w:t xml:space="preserve">of a marketing authorisation dossier in the law, because over time this could change for technical or scientific reasons. </w:t>
      </w:r>
      <w:r w:rsidR="0079212E">
        <w:rPr>
          <w:lang w:val="en-GB"/>
        </w:rPr>
        <w:t xml:space="preserve">Much better is a provision in the law that </w:t>
      </w:r>
      <w:r w:rsidR="00342ECF">
        <w:rPr>
          <w:lang w:val="en-GB"/>
        </w:rPr>
        <w:t>a dossier has to be submitted to support the application containing d</w:t>
      </w:r>
      <w:r w:rsidR="0094141E">
        <w:rPr>
          <w:lang w:val="en-GB"/>
        </w:rPr>
        <w:t xml:space="preserve">ata demonstrating pharmaceutical quality and the results of preclinical testing and clinical trials to be determined in a governmental decree (or Ordinance). Even more flexibility could be </w:t>
      </w:r>
      <w:r w:rsidR="00CD1FE9">
        <w:rPr>
          <w:lang w:val="en-GB"/>
        </w:rPr>
        <w:t xml:space="preserve">introduced by allowing the minister of health to make technical amendments if these do not influence the </w:t>
      </w:r>
      <w:r w:rsidR="002778F6">
        <w:rPr>
          <w:lang w:val="en-GB"/>
        </w:rPr>
        <w:t xml:space="preserve">compatibility with the ICH Common Technical Document </w:t>
      </w:r>
      <w:r w:rsidR="00F617AD">
        <w:rPr>
          <w:lang w:val="en-GB"/>
        </w:rPr>
        <w:t xml:space="preserve">(CTD) </w:t>
      </w:r>
      <w:r w:rsidR="002778F6">
        <w:rPr>
          <w:lang w:val="en-GB"/>
        </w:rPr>
        <w:t>or if the</w:t>
      </w:r>
      <w:r w:rsidR="00F617AD">
        <w:rPr>
          <w:lang w:val="en-GB"/>
        </w:rPr>
        <w:t>y are triggered by amendments in the CTD.</w:t>
      </w:r>
    </w:p>
    <w:p w14:paraId="4B69A9D5" w14:textId="25291706" w:rsidR="005D305E" w:rsidRDefault="005D305E" w:rsidP="004F2171">
      <w:pPr>
        <w:pStyle w:val="Heading3"/>
        <w:numPr>
          <w:ilvl w:val="1"/>
          <w:numId w:val="3"/>
        </w:numPr>
        <w:ind w:left="426"/>
        <w:rPr>
          <w:lang w:val="en-GB"/>
        </w:rPr>
      </w:pPr>
      <w:r>
        <w:rPr>
          <w:lang w:val="en-GB"/>
        </w:rPr>
        <w:t>Setting the rule and applying the rule</w:t>
      </w:r>
    </w:p>
    <w:p w14:paraId="2FA52978" w14:textId="45ADF82E" w:rsidR="005D305E" w:rsidRDefault="005D305E" w:rsidP="005D305E">
      <w:pPr>
        <w:rPr>
          <w:lang w:val="en-GB"/>
        </w:rPr>
      </w:pPr>
      <w:r>
        <w:rPr>
          <w:lang w:val="en-GB"/>
        </w:rPr>
        <w:t xml:space="preserve">It is important that competent authorities are offered a legal framework to take decisions in an individual </w:t>
      </w:r>
      <w:proofErr w:type="gramStart"/>
      <w:r>
        <w:rPr>
          <w:lang w:val="en-GB"/>
        </w:rPr>
        <w:t>case, that</w:t>
      </w:r>
      <w:proofErr w:type="gramEnd"/>
      <w:r>
        <w:rPr>
          <w:lang w:val="en-GB"/>
        </w:rPr>
        <w:t xml:space="preserve"> is transparent and clear to both the regulator and the regulated. If e.g. the competent authority for marketing authorisations receives an application, it should be able to assess the dossier and take a decision while using the legal context. It is no</w:t>
      </w:r>
      <w:r w:rsidR="00A522C6">
        <w:rPr>
          <w:lang w:val="en-GB"/>
        </w:rPr>
        <w:t>t</w:t>
      </w:r>
      <w:r>
        <w:rPr>
          <w:lang w:val="en-GB"/>
        </w:rPr>
        <w:t xml:space="preserve"> good policy </w:t>
      </w:r>
      <w:r w:rsidR="00A01B15">
        <w:rPr>
          <w:lang w:val="en-GB"/>
        </w:rPr>
        <w:t xml:space="preserve">if the competent authority is creating its </w:t>
      </w:r>
      <w:r w:rsidR="00163219">
        <w:rPr>
          <w:lang w:val="en-GB"/>
        </w:rPr>
        <w:t xml:space="preserve">own </w:t>
      </w:r>
      <w:r w:rsidR="00366C3B">
        <w:rPr>
          <w:lang w:val="en-GB"/>
        </w:rPr>
        <w:t>decision framework, because this would</w:t>
      </w:r>
      <w:r>
        <w:rPr>
          <w:lang w:val="en-GB"/>
        </w:rPr>
        <w:t xml:space="preserve"> enable an authority to change the rules during the game.</w:t>
      </w:r>
      <w:r w:rsidR="00FC482A">
        <w:rPr>
          <w:lang w:val="en-GB"/>
        </w:rPr>
        <w:t xml:space="preserve"> This could also </w:t>
      </w:r>
      <w:r w:rsidR="005B01C6">
        <w:rPr>
          <w:lang w:val="en-GB"/>
        </w:rPr>
        <w:t xml:space="preserve">lead to </w:t>
      </w:r>
      <w:r w:rsidR="00BD34DE">
        <w:rPr>
          <w:lang w:val="en-GB"/>
        </w:rPr>
        <w:t xml:space="preserve">undesirable </w:t>
      </w:r>
      <w:r w:rsidR="00FF09C3">
        <w:rPr>
          <w:lang w:val="en-GB"/>
        </w:rPr>
        <w:t>influences on the regulator’s impartiality.</w:t>
      </w:r>
      <w:r>
        <w:rPr>
          <w:lang w:val="en-GB"/>
        </w:rPr>
        <w:t xml:space="preserve"> The advice is that the parliament, the government or the minister of health set the rules and the competent authorities apply the rules. Competent authorities should not be able to change the rules of the game during the match. It is also important to establish the application procedure in the law. This does not mean that the decision making authority should be restrained from giving guidance to applicants and disclose their policies, but the ultimate decision needs to be based on the rule of law. </w:t>
      </w:r>
      <w:r w:rsidR="004F2171">
        <w:rPr>
          <w:lang w:val="en-GB"/>
        </w:rPr>
        <w:t>This relates to the Good Regulatory Prac</w:t>
      </w:r>
      <w:r w:rsidR="004E248D">
        <w:rPr>
          <w:lang w:val="en-GB"/>
        </w:rPr>
        <w:t>t</w:t>
      </w:r>
      <w:r w:rsidR="004F2171">
        <w:rPr>
          <w:lang w:val="en-GB"/>
        </w:rPr>
        <w:t>ices</w:t>
      </w:r>
      <w:r w:rsidR="004E248D">
        <w:rPr>
          <w:lang w:val="en-GB"/>
        </w:rPr>
        <w:t xml:space="preserve"> elements of impartiality and consistency</w:t>
      </w:r>
      <w:r w:rsidR="00117DC8">
        <w:rPr>
          <w:lang w:val="en-GB"/>
        </w:rPr>
        <w:t>.</w:t>
      </w:r>
    </w:p>
    <w:p w14:paraId="38B48205" w14:textId="2518EEE5" w:rsidR="00A93EC7" w:rsidRPr="006C6FAF" w:rsidRDefault="00FB55D9" w:rsidP="00117DC8">
      <w:pPr>
        <w:pStyle w:val="Heading3"/>
        <w:numPr>
          <w:ilvl w:val="1"/>
          <w:numId w:val="3"/>
        </w:numPr>
        <w:ind w:left="426"/>
        <w:rPr>
          <w:lang w:val="en-GB"/>
        </w:rPr>
      </w:pPr>
      <w:r>
        <w:rPr>
          <w:lang w:val="en-GB"/>
        </w:rPr>
        <w:t>Ali</w:t>
      </w:r>
      <w:r w:rsidR="00F90041">
        <w:rPr>
          <w:lang w:val="en-GB"/>
        </w:rPr>
        <w:t>gnment with EU acquis</w:t>
      </w:r>
    </w:p>
    <w:p w14:paraId="69D45257" w14:textId="458D4C0B" w:rsidR="005D305E" w:rsidRDefault="00F90041" w:rsidP="005D305E">
      <w:pPr>
        <w:rPr>
          <w:i/>
          <w:lang w:val="en-GB"/>
        </w:rPr>
      </w:pPr>
      <w:r>
        <w:rPr>
          <w:lang w:val="en-GB"/>
        </w:rPr>
        <w:t>T</w:t>
      </w:r>
      <w:r w:rsidR="005D305E">
        <w:rPr>
          <w:lang w:val="en-GB"/>
        </w:rPr>
        <w:t>he EU legislation</w:t>
      </w:r>
      <w:r w:rsidR="00C2626B">
        <w:rPr>
          <w:lang w:val="en-GB"/>
        </w:rPr>
        <w:t xml:space="preserve"> is based on</w:t>
      </w:r>
      <w:r w:rsidR="005D305E">
        <w:rPr>
          <w:lang w:val="en-GB"/>
        </w:rPr>
        <w:t xml:space="preserve"> Directive 2001/83/EC, the </w:t>
      </w:r>
      <w:r w:rsidR="005D305E" w:rsidRPr="00DD3603">
        <w:rPr>
          <w:lang w:val="en-GB"/>
        </w:rPr>
        <w:t>Union Code</w:t>
      </w:r>
      <w:r w:rsidR="005D305E">
        <w:rPr>
          <w:lang w:val="en-GB"/>
        </w:rPr>
        <w:t xml:space="preserve">, </w:t>
      </w:r>
      <w:r w:rsidR="00C2626B">
        <w:rPr>
          <w:lang w:val="en-GB"/>
        </w:rPr>
        <w:t xml:space="preserve">together with </w:t>
      </w:r>
      <w:r w:rsidR="00535168">
        <w:rPr>
          <w:lang w:val="en-GB"/>
        </w:rPr>
        <w:t>Regulation (EC) 7</w:t>
      </w:r>
      <w:r w:rsidR="007261C7">
        <w:rPr>
          <w:lang w:val="en-GB"/>
        </w:rPr>
        <w:t>2</w:t>
      </w:r>
      <w:r w:rsidR="00535168">
        <w:rPr>
          <w:lang w:val="en-GB"/>
        </w:rPr>
        <w:t xml:space="preserve">6/2004. The </w:t>
      </w:r>
      <w:r w:rsidR="00AC3B2C">
        <w:rPr>
          <w:lang w:val="en-GB"/>
        </w:rPr>
        <w:t>Union code</w:t>
      </w:r>
      <w:r w:rsidR="007261C7">
        <w:rPr>
          <w:lang w:val="en-GB"/>
        </w:rPr>
        <w:t xml:space="preserve"> and regulation</w:t>
      </w:r>
      <w:r w:rsidR="00AC3B2C">
        <w:rPr>
          <w:lang w:val="en-GB"/>
        </w:rPr>
        <w:t xml:space="preserve"> </w:t>
      </w:r>
      <w:r w:rsidR="005D305E">
        <w:rPr>
          <w:lang w:val="en-GB"/>
        </w:rPr>
        <w:t xml:space="preserve">contain provisions about many aspects of medicinal products. </w:t>
      </w:r>
      <w:r w:rsidR="007261C7">
        <w:rPr>
          <w:lang w:val="en-GB"/>
        </w:rPr>
        <w:t>They are</w:t>
      </w:r>
      <w:r w:rsidR="005D305E">
        <w:rPr>
          <w:lang w:val="en-GB"/>
        </w:rPr>
        <w:t xml:space="preserve">, however, </w:t>
      </w:r>
      <w:r w:rsidR="005D305E" w:rsidRPr="00DD3603">
        <w:rPr>
          <w:lang w:val="en-GB"/>
        </w:rPr>
        <w:t>not the only legal text applying to medicinal products. An example of a topic that is not part of the Directive is the regulation of clinical trials. In the EU the existing Clinical Trial Directive (2001/20/EC) is currently in the process of being replaced with the Clinical Trial Regulation (Reg. 536/2014).</w:t>
      </w:r>
      <w:r w:rsidR="00906FA5">
        <w:rPr>
          <w:lang w:val="en-GB"/>
        </w:rPr>
        <w:t xml:space="preserve"> </w:t>
      </w:r>
      <w:r w:rsidR="00AA639D">
        <w:rPr>
          <w:lang w:val="en-GB"/>
        </w:rPr>
        <w:t xml:space="preserve">Another independent piece of Union legislation is the regulation on </w:t>
      </w:r>
      <w:r w:rsidR="00A15C49">
        <w:rPr>
          <w:lang w:val="en-GB"/>
        </w:rPr>
        <w:t>S</w:t>
      </w:r>
      <w:r w:rsidR="00AA639D">
        <w:rPr>
          <w:lang w:val="en-GB"/>
        </w:rPr>
        <w:t xml:space="preserve">upplementary </w:t>
      </w:r>
      <w:r w:rsidR="00A15C49">
        <w:rPr>
          <w:lang w:val="en-GB"/>
        </w:rPr>
        <w:t>Protection Certificate (Reg.</w:t>
      </w:r>
      <w:r w:rsidR="001632D8">
        <w:rPr>
          <w:lang w:val="en-GB"/>
        </w:rPr>
        <w:t>469/2009)</w:t>
      </w:r>
      <w:r w:rsidR="00826BEA">
        <w:rPr>
          <w:lang w:val="en-GB"/>
        </w:rPr>
        <w:t xml:space="preserve">. Finally, there are some separate regulations that belong to the Union Code but could be </w:t>
      </w:r>
      <w:r w:rsidR="004A5D16">
        <w:rPr>
          <w:lang w:val="en-GB"/>
        </w:rPr>
        <w:t xml:space="preserve">legislated more practically in different EU laws: </w:t>
      </w:r>
      <w:r w:rsidR="005D305E" w:rsidRPr="00DD3603">
        <w:rPr>
          <w:lang w:val="en-GB"/>
        </w:rPr>
        <w:t xml:space="preserve">orphan medicinal product, advanced therapy medicinal products and </w:t>
      </w:r>
      <w:r w:rsidR="001E7399" w:rsidRPr="00DD3603">
        <w:rPr>
          <w:lang w:val="en-GB"/>
        </w:rPr>
        <w:t>paediatric</w:t>
      </w:r>
      <w:r w:rsidR="005D305E" w:rsidRPr="00DD3603">
        <w:rPr>
          <w:lang w:val="en-GB"/>
        </w:rPr>
        <w:t xml:space="preserve"> medicinal products.</w:t>
      </w:r>
      <w:r w:rsidR="005D305E">
        <w:rPr>
          <w:rStyle w:val="FootnoteReference"/>
        </w:rPr>
        <w:footnoteReference w:id="6"/>
      </w:r>
      <w:r w:rsidR="005D305E" w:rsidRPr="00DD3603">
        <w:rPr>
          <w:lang w:val="en-GB"/>
        </w:rPr>
        <w:t xml:space="preserve">  All these issue</w:t>
      </w:r>
      <w:r w:rsidR="005D305E">
        <w:rPr>
          <w:lang w:val="en-GB"/>
        </w:rPr>
        <w:t xml:space="preserve">s are </w:t>
      </w:r>
      <w:r w:rsidR="005D305E" w:rsidRPr="00DA53F2">
        <w:rPr>
          <w:lang w:val="en-GB"/>
        </w:rPr>
        <w:t>regulated in the form of regulations.</w:t>
      </w:r>
      <w:r w:rsidR="005D305E" w:rsidRPr="00DA53F2">
        <w:rPr>
          <w:rStyle w:val="FootnoteReference"/>
        </w:rPr>
        <w:footnoteReference w:id="7"/>
      </w:r>
      <w:r w:rsidR="005D305E" w:rsidRPr="00B565C1">
        <w:rPr>
          <w:i/>
          <w:lang w:val="en-GB"/>
        </w:rPr>
        <w:t xml:space="preserve"> </w:t>
      </w:r>
    </w:p>
    <w:p w14:paraId="1167B1F1" w14:textId="6694FD25" w:rsidR="005D305E" w:rsidRDefault="003832D9" w:rsidP="003832D9">
      <w:pPr>
        <w:pStyle w:val="Heading3"/>
        <w:numPr>
          <w:ilvl w:val="1"/>
          <w:numId w:val="19"/>
        </w:numPr>
        <w:rPr>
          <w:lang w:val="en-GB"/>
        </w:rPr>
      </w:pPr>
      <w:r>
        <w:rPr>
          <w:lang w:val="en-GB"/>
        </w:rPr>
        <w:t xml:space="preserve"> </w:t>
      </w:r>
      <w:r w:rsidR="005D305E">
        <w:rPr>
          <w:lang w:val="en-GB"/>
        </w:rPr>
        <w:t>scope in terms of</w:t>
      </w:r>
      <w:r w:rsidR="001E7399">
        <w:rPr>
          <w:lang w:val="en-GB"/>
        </w:rPr>
        <w:t xml:space="preserve"> </w:t>
      </w:r>
      <w:r w:rsidR="00ED5100">
        <w:rPr>
          <w:lang w:val="en-GB"/>
        </w:rPr>
        <w:t>topics</w:t>
      </w:r>
    </w:p>
    <w:p w14:paraId="52223853" w14:textId="716D18A7" w:rsidR="005D305E" w:rsidRPr="00B565C1" w:rsidRDefault="00ED5100" w:rsidP="005D305E">
      <w:pPr>
        <w:rPr>
          <w:lang w:val="en-GB"/>
        </w:rPr>
      </w:pPr>
      <w:r>
        <w:rPr>
          <w:lang w:val="en-GB"/>
        </w:rPr>
        <w:t xml:space="preserve">In respect of the regulation of medicinal products different aspects </w:t>
      </w:r>
      <w:r w:rsidR="00BC2C9C">
        <w:rPr>
          <w:lang w:val="en-GB"/>
        </w:rPr>
        <w:t>are considered</w:t>
      </w:r>
      <w:r w:rsidR="00484753">
        <w:rPr>
          <w:lang w:val="en-GB"/>
        </w:rPr>
        <w:t>.</w:t>
      </w:r>
      <w:r w:rsidR="00BC2C9C">
        <w:rPr>
          <w:lang w:val="en-GB"/>
        </w:rPr>
        <w:t xml:space="preserve"> It makes sense to combine all provisions on the </w:t>
      </w:r>
      <w:r w:rsidR="00164AAC">
        <w:rPr>
          <w:lang w:val="en-GB"/>
        </w:rPr>
        <w:t>marketing, dispensing, authorisation</w:t>
      </w:r>
      <w:r w:rsidR="00D36862">
        <w:rPr>
          <w:lang w:val="en-GB"/>
        </w:rPr>
        <w:t xml:space="preserve"> and trade under one umbrella. On the other hand, </w:t>
      </w:r>
      <w:r w:rsidR="003044AA">
        <w:rPr>
          <w:lang w:val="en-GB"/>
        </w:rPr>
        <w:t xml:space="preserve">pharmaceutical development, preclinical testing (GLP) and clinical trials </w:t>
      </w:r>
      <w:r w:rsidR="0061637F">
        <w:rPr>
          <w:lang w:val="en-GB"/>
        </w:rPr>
        <w:t xml:space="preserve">require a different type of approach. </w:t>
      </w:r>
      <w:r w:rsidR="0016138E">
        <w:rPr>
          <w:lang w:val="en-GB"/>
        </w:rPr>
        <w:t xml:space="preserve">Other parties are addressed: not manufacturers, marketing authorisation holders, wholesalers and pharmacists, but </w:t>
      </w:r>
      <w:r w:rsidR="002413B8">
        <w:rPr>
          <w:lang w:val="en-GB"/>
        </w:rPr>
        <w:t>clinical trial subjects and their legal representatives</w:t>
      </w:r>
      <w:r w:rsidR="00893833">
        <w:rPr>
          <w:lang w:val="en-GB"/>
        </w:rPr>
        <w:t xml:space="preserve">. And other interests are at stake: not the protection of </w:t>
      </w:r>
      <w:r w:rsidR="00137FF6">
        <w:rPr>
          <w:lang w:val="en-GB"/>
        </w:rPr>
        <w:t xml:space="preserve">public health against unsafe and ineffective medicinal products, but ethical issues like animal </w:t>
      </w:r>
      <w:r w:rsidR="000E6426">
        <w:rPr>
          <w:lang w:val="en-GB"/>
        </w:rPr>
        <w:lastRenderedPageBreak/>
        <w:t>welfare and the protection of human rights an</w:t>
      </w:r>
      <w:r w:rsidR="00372A72">
        <w:rPr>
          <w:lang w:val="en-GB"/>
        </w:rPr>
        <w:t>d ethical standards. There could be a case for regulating these topics in different laws.</w:t>
      </w:r>
      <w:r w:rsidR="00484753">
        <w:rPr>
          <w:lang w:val="en-GB"/>
        </w:rPr>
        <w:t xml:space="preserve"> </w:t>
      </w:r>
    </w:p>
    <w:p w14:paraId="05D7B6D3" w14:textId="41968DC1" w:rsidR="005D305E" w:rsidRPr="00DD3603" w:rsidRDefault="005D305E" w:rsidP="003832D9">
      <w:pPr>
        <w:pStyle w:val="Heading3"/>
        <w:numPr>
          <w:ilvl w:val="1"/>
          <w:numId w:val="19"/>
        </w:numPr>
        <w:rPr>
          <w:lang w:val="en-GB"/>
        </w:rPr>
      </w:pPr>
      <w:r w:rsidRPr="00DD3603">
        <w:rPr>
          <w:lang w:val="en-GB"/>
        </w:rPr>
        <w:t xml:space="preserve">Regulatory decision making </w:t>
      </w:r>
    </w:p>
    <w:p w14:paraId="3F8D7AFE" w14:textId="77777777" w:rsidR="005D305E" w:rsidRDefault="005D305E" w:rsidP="005D305E">
      <w:pPr>
        <w:rPr>
          <w:lang w:val="en-GB"/>
        </w:rPr>
      </w:pPr>
      <w:r w:rsidRPr="00DD3603">
        <w:rPr>
          <w:lang w:val="en-GB"/>
        </w:rPr>
        <w:t>Within the EU system two levels of decision making exist: the level of the member states and the regional level: the EU. At the EU level some decisions are taken by the (committees of the) European Medicines Agency (EMA) and most decisions are taken by the European Commission. It concerns Centralised marketing authorisations, including marketing authorisations for advanced therapy medicinal products (</w:t>
      </w:r>
      <w:proofErr w:type="spellStart"/>
      <w:r w:rsidRPr="00DD3603">
        <w:rPr>
          <w:lang w:val="en-GB"/>
        </w:rPr>
        <w:t>ATmPs</w:t>
      </w:r>
      <w:proofErr w:type="spellEnd"/>
      <w:r w:rsidRPr="00DD3603">
        <w:rPr>
          <w:lang w:val="en-GB"/>
        </w:rPr>
        <w:t xml:space="preserve">), orphan medicinal product designation, et cetera. </w:t>
      </w:r>
    </w:p>
    <w:p w14:paraId="0268C363" w14:textId="36675363" w:rsidR="005D305E" w:rsidRPr="00DA53F2" w:rsidRDefault="005D305E" w:rsidP="00C52C5A">
      <w:pPr>
        <w:rPr>
          <w:lang w:val="en-GB"/>
        </w:rPr>
      </w:pPr>
      <w:r>
        <w:rPr>
          <w:lang w:val="en-GB"/>
        </w:rPr>
        <w:t xml:space="preserve">One of the principles of regulatory decision making is that decisions are made in a transparent way on the basis of objective criteria. Key is that the persons involved can act as independent and impartial persons. Therefore, </w:t>
      </w:r>
      <w:r w:rsidR="00295C64">
        <w:rPr>
          <w:lang w:val="en-GB"/>
        </w:rPr>
        <w:t xml:space="preserve">an arrangement of </w:t>
      </w:r>
      <w:r w:rsidR="00DF2E31">
        <w:rPr>
          <w:lang w:val="en-GB"/>
        </w:rPr>
        <w:t>managing Conflicts of Interest is required.</w:t>
      </w:r>
    </w:p>
    <w:p w14:paraId="5D27F0FB" w14:textId="694D8F4D" w:rsidR="005D305E" w:rsidRDefault="005D305E" w:rsidP="002C61D1">
      <w:pPr>
        <w:rPr>
          <w:lang w:val="en-US"/>
        </w:rPr>
      </w:pPr>
      <w:r>
        <w:rPr>
          <w:lang w:val="en-GB"/>
        </w:rPr>
        <w:t xml:space="preserve"> </w:t>
      </w:r>
    </w:p>
    <w:p w14:paraId="68FB574E" w14:textId="77777777" w:rsidR="005D305E" w:rsidRPr="003E4D35" w:rsidRDefault="005D305E" w:rsidP="005D305E">
      <w:pPr>
        <w:pStyle w:val="Heading2"/>
        <w:rPr>
          <w:lang w:val="en-GB"/>
        </w:rPr>
      </w:pPr>
    </w:p>
    <w:p w14:paraId="0D5142B3" w14:textId="060465CB" w:rsidR="005D305E" w:rsidRPr="003E4D35" w:rsidRDefault="005D305E" w:rsidP="00622C87">
      <w:pPr>
        <w:pStyle w:val="Heading2"/>
        <w:numPr>
          <w:ilvl w:val="0"/>
          <w:numId w:val="3"/>
        </w:numPr>
        <w:rPr>
          <w:lang w:val="en-GB"/>
        </w:rPr>
      </w:pPr>
      <w:r w:rsidRPr="003E4D35">
        <w:rPr>
          <w:lang w:val="en-GB"/>
        </w:rPr>
        <w:t>Comments on the application of the Good Regulatory Practices in the draft law</w:t>
      </w:r>
    </w:p>
    <w:p w14:paraId="01788E12" w14:textId="22487CB4" w:rsidR="005D305E" w:rsidRPr="003E4D35" w:rsidRDefault="00A20800" w:rsidP="005D305E">
      <w:pPr>
        <w:pStyle w:val="Heading3"/>
        <w:rPr>
          <w:lang w:val="en-GB"/>
        </w:rPr>
      </w:pPr>
      <w:r>
        <w:rPr>
          <w:lang w:val="en-GB"/>
        </w:rPr>
        <w:t>3.1</w:t>
      </w:r>
      <w:r>
        <w:rPr>
          <w:lang w:val="en-GB"/>
        </w:rPr>
        <w:tab/>
      </w:r>
      <w:r w:rsidR="005D305E" w:rsidRPr="003E4D35">
        <w:rPr>
          <w:lang w:val="en-GB"/>
        </w:rPr>
        <w:t>Legality</w:t>
      </w:r>
    </w:p>
    <w:p w14:paraId="08EEEF21" w14:textId="39BF0498" w:rsidR="005D305E" w:rsidRDefault="005D305E" w:rsidP="005D305E">
      <w:pPr>
        <w:rPr>
          <w:rFonts w:cstheme="minorHAnsi"/>
          <w:bCs/>
          <w:lang w:val="en-GB"/>
        </w:rPr>
      </w:pPr>
      <w:r w:rsidRPr="003E4D35">
        <w:rPr>
          <w:rFonts w:cstheme="minorHAnsi"/>
          <w:bCs/>
          <w:lang w:val="en-GB"/>
        </w:rPr>
        <w:t xml:space="preserve">The first important desired property relates to ‘legality’. The main reason for the importance of having a correct and well-designed legal structure goes back to Montesquieu’s </w:t>
      </w:r>
      <w:proofErr w:type="spellStart"/>
      <w:r w:rsidRPr="003E4D35">
        <w:rPr>
          <w:rFonts w:cstheme="minorHAnsi"/>
          <w:bCs/>
          <w:lang w:val="en-GB"/>
        </w:rPr>
        <w:t>Trias</w:t>
      </w:r>
      <w:proofErr w:type="spellEnd"/>
      <w:r w:rsidRPr="003E4D35">
        <w:rPr>
          <w:rFonts w:cstheme="minorHAnsi"/>
          <w:bCs/>
          <w:lang w:val="en-GB"/>
        </w:rPr>
        <w:t xml:space="preserve"> </w:t>
      </w:r>
      <w:proofErr w:type="spellStart"/>
      <w:r w:rsidRPr="003E4D35">
        <w:rPr>
          <w:rFonts w:cstheme="minorHAnsi"/>
          <w:bCs/>
          <w:lang w:val="en-GB"/>
        </w:rPr>
        <w:t>Politica</w:t>
      </w:r>
      <w:proofErr w:type="spellEnd"/>
      <w:r w:rsidRPr="003E4D35">
        <w:rPr>
          <w:rFonts w:cstheme="minorHAnsi"/>
          <w:bCs/>
          <w:lang w:val="en-GB"/>
        </w:rPr>
        <w:t>: the idea to divide political authority into legislative, executive and judicial powers. In this context the main aspects and characteristics have to be adopted by the legislative power (the parliament). The legislative power has to attribute new rules on the basis of e.g. the constitution. In the law the legislative power may foresee in delegation to the executive power (the government or the minister of health).  The main reason for this is that the legislator’s ideas should be guaranteed irrespective of changes in the executive power, e.g. after elections. If at that point amendments to the law are required, these changes have to be adopted at the same level: by the legislative power.</w:t>
      </w:r>
    </w:p>
    <w:p w14:paraId="5F6CA6B3" w14:textId="4A15C175" w:rsidR="00C3794C" w:rsidRPr="00D41B46" w:rsidRDefault="00D41B46" w:rsidP="00483DF3">
      <w:pPr>
        <w:pStyle w:val="Heading3"/>
        <w:numPr>
          <w:ilvl w:val="2"/>
          <w:numId w:val="20"/>
        </w:numPr>
        <w:rPr>
          <w:lang w:val="en-GB"/>
        </w:rPr>
      </w:pPr>
      <w:r>
        <w:rPr>
          <w:lang w:val="en-GB"/>
        </w:rPr>
        <w:t>Readability and ease of use</w:t>
      </w:r>
    </w:p>
    <w:p w14:paraId="2581E888" w14:textId="63B7DB3D" w:rsidR="00A73B0D" w:rsidRPr="00A73B0D" w:rsidRDefault="00A73B0D" w:rsidP="005D305E">
      <w:pPr>
        <w:rPr>
          <w:rFonts w:cstheme="minorHAnsi"/>
          <w:bCs/>
          <w:u w:val="single"/>
          <w:lang w:val="en-GB"/>
        </w:rPr>
      </w:pPr>
      <w:r w:rsidRPr="00A73B0D">
        <w:rPr>
          <w:rFonts w:cstheme="minorHAnsi"/>
          <w:bCs/>
          <w:u w:val="single"/>
          <w:lang w:val="en-GB"/>
        </w:rPr>
        <w:t>Size</w:t>
      </w:r>
    </w:p>
    <w:p w14:paraId="70200638" w14:textId="1C3D7C3D" w:rsidR="00C3794C" w:rsidRDefault="008914E0" w:rsidP="005D305E">
      <w:pPr>
        <w:rPr>
          <w:rFonts w:cstheme="minorHAnsi"/>
          <w:bCs/>
          <w:lang w:val="en-GB"/>
        </w:rPr>
      </w:pPr>
      <w:r>
        <w:rPr>
          <w:rFonts w:cstheme="minorHAnsi"/>
          <w:bCs/>
          <w:lang w:val="en-GB"/>
        </w:rPr>
        <w:t xml:space="preserve">The draft law </w:t>
      </w:r>
      <w:r w:rsidR="002C4C3B">
        <w:rPr>
          <w:rFonts w:cstheme="minorHAnsi"/>
          <w:bCs/>
          <w:lang w:val="en-GB"/>
        </w:rPr>
        <w:t>requires about 150 pages</w:t>
      </w:r>
      <w:r w:rsidR="00515ED6">
        <w:rPr>
          <w:rFonts w:cstheme="minorHAnsi"/>
          <w:bCs/>
          <w:lang w:val="en-GB"/>
        </w:rPr>
        <w:t xml:space="preserve">. Furthermore, provisions about one issue </w:t>
      </w:r>
      <w:r w:rsidR="00003622">
        <w:rPr>
          <w:rFonts w:cstheme="minorHAnsi"/>
          <w:bCs/>
          <w:lang w:val="en-GB"/>
        </w:rPr>
        <w:t xml:space="preserve">could be found at different places. This means that </w:t>
      </w:r>
      <w:r w:rsidR="006800B4">
        <w:rPr>
          <w:rFonts w:cstheme="minorHAnsi"/>
          <w:bCs/>
          <w:lang w:val="en-GB"/>
        </w:rPr>
        <w:t xml:space="preserve">the user of the law has to study 150 pages of text </w:t>
      </w:r>
      <w:r w:rsidR="00311CD8">
        <w:rPr>
          <w:rFonts w:cstheme="minorHAnsi"/>
          <w:bCs/>
          <w:lang w:val="en-GB"/>
        </w:rPr>
        <w:t>including many repetitions and provisions without legal effect.</w:t>
      </w:r>
      <w:r w:rsidR="00B147D6">
        <w:rPr>
          <w:rFonts w:cstheme="minorHAnsi"/>
          <w:bCs/>
          <w:lang w:val="en-GB"/>
        </w:rPr>
        <w:t xml:space="preserve"> This is practically </w:t>
      </w:r>
      <w:r w:rsidR="009474BA">
        <w:rPr>
          <w:rFonts w:cstheme="minorHAnsi"/>
          <w:bCs/>
          <w:lang w:val="en-GB"/>
        </w:rPr>
        <w:t xml:space="preserve">impossible. Just for this reason, the draft does not comply with Good </w:t>
      </w:r>
      <w:r w:rsidR="0037079F">
        <w:rPr>
          <w:rFonts w:cstheme="minorHAnsi"/>
          <w:bCs/>
          <w:lang w:val="en-GB"/>
        </w:rPr>
        <w:t>Regulatory</w:t>
      </w:r>
      <w:r w:rsidR="009474BA">
        <w:rPr>
          <w:rFonts w:cstheme="minorHAnsi"/>
          <w:bCs/>
          <w:lang w:val="en-GB"/>
        </w:rPr>
        <w:t xml:space="preserve"> Practice</w:t>
      </w:r>
      <w:r w:rsidR="0037079F">
        <w:rPr>
          <w:rFonts w:cstheme="minorHAnsi"/>
          <w:bCs/>
          <w:lang w:val="en-GB"/>
        </w:rPr>
        <w:t>.</w:t>
      </w:r>
      <w:r w:rsidR="009710F0">
        <w:rPr>
          <w:rFonts w:cstheme="minorHAnsi"/>
          <w:bCs/>
          <w:lang w:val="en-GB"/>
        </w:rPr>
        <w:t xml:space="preserve"> </w:t>
      </w:r>
      <w:r w:rsidR="007D1C24">
        <w:rPr>
          <w:rFonts w:cstheme="minorHAnsi"/>
          <w:bCs/>
          <w:lang w:val="en-GB"/>
        </w:rPr>
        <w:t xml:space="preserve">The size of the draft </w:t>
      </w:r>
      <w:r w:rsidR="0051625F">
        <w:rPr>
          <w:rFonts w:cstheme="minorHAnsi"/>
          <w:bCs/>
          <w:lang w:val="en-GB"/>
        </w:rPr>
        <w:t xml:space="preserve">turns it into non-compliant with Good Regulatory Practice, because of lack </w:t>
      </w:r>
      <w:proofErr w:type="gramStart"/>
      <w:r w:rsidR="0051625F">
        <w:rPr>
          <w:rFonts w:cstheme="minorHAnsi"/>
          <w:bCs/>
          <w:lang w:val="en-GB"/>
        </w:rPr>
        <w:t xml:space="preserve">of </w:t>
      </w:r>
      <w:r w:rsidR="007D1C24">
        <w:rPr>
          <w:rFonts w:cstheme="minorHAnsi"/>
          <w:bCs/>
          <w:lang w:val="en-GB"/>
        </w:rPr>
        <w:t xml:space="preserve"> </w:t>
      </w:r>
      <w:r w:rsidR="00363274">
        <w:rPr>
          <w:rFonts w:cstheme="minorHAnsi"/>
          <w:bCs/>
          <w:lang w:val="en-GB"/>
        </w:rPr>
        <w:t>efficiency</w:t>
      </w:r>
      <w:proofErr w:type="gramEnd"/>
      <w:r w:rsidR="00363274">
        <w:rPr>
          <w:rFonts w:cstheme="minorHAnsi"/>
          <w:bCs/>
          <w:lang w:val="en-GB"/>
        </w:rPr>
        <w:t>, effectivity and clarity.</w:t>
      </w:r>
    </w:p>
    <w:p w14:paraId="7DD3FFCE" w14:textId="2A880167" w:rsidR="005071A2" w:rsidRDefault="009B66C4" w:rsidP="005D305E">
      <w:pPr>
        <w:rPr>
          <w:rFonts w:cstheme="minorHAnsi"/>
          <w:bCs/>
          <w:lang w:val="en-GB"/>
        </w:rPr>
      </w:pPr>
      <w:r>
        <w:rPr>
          <w:rFonts w:cstheme="minorHAnsi"/>
          <w:bCs/>
          <w:u w:val="single"/>
          <w:lang w:val="en-GB"/>
        </w:rPr>
        <w:t>Structure</w:t>
      </w:r>
    </w:p>
    <w:p w14:paraId="3EAA9E8A" w14:textId="678976D2" w:rsidR="009B66C4" w:rsidRPr="009B66C4" w:rsidRDefault="009B66C4" w:rsidP="005D305E">
      <w:pPr>
        <w:rPr>
          <w:rFonts w:cstheme="minorHAnsi"/>
          <w:bCs/>
          <w:lang w:val="en-GB"/>
        </w:rPr>
      </w:pPr>
      <w:r>
        <w:rPr>
          <w:rFonts w:cstheme="minorHAnsi"/>
          <w:bCs/>
          <w:lang w:val="en-GB"/>
        </w:rPr>
        <w:t>The draft law is subdivided in Articles and Paragraphs</w:t>
      </w:r>
      <w:r w:rsidR="0049475F">
        <w:rPr>
          <w:rFonts w:cstheme="minorHAnsi"/>
          <w:bCs/>
          <w:lang w:val="en-GB"/>
        </w:rPr>
        <w:t>. Some articles cover a large topic</w:t>
      </w:r>
      <w:r w:rsidR="00F948E7">
        <w:rPr>
          <w:rFonts w:cstheme="minorHAnsi"/>
          <w:bCs/>
          <w:lang w:val="en-GB"/>
        </w:rPr>
        <w:t xml:space="preserve"> and are subdivided in tens of paragraphs. An exa</w:t>
      </w:r>
      <w:r w:rsidR="001B0001">
        <w:rPr>
          <w:rFonts w:cstheme="minorHAnsi"/>
          <w:bCs/>
          <w:lang w:val="en-GB"/>
        </w:rPr>
        <w:t>m</w:t>
      </w:r>
      <w:r w:rsidR="00F948E7">
        <w:rPr>
          <w:rFonts w:cstheme="minorHAnsi"/>
          <w:bCs/>
          <w:lang w:val="en-GB"/>
        </w:rPr>
        <w:t>ple is</w:t>
      </w:r>
      <w:r w:rsidR="001B0001">
        <w:rPr>
          <w:rFonts w:cstheme="minorHAnsi"/>
          <w:bCs/>
          <w:lang w:val="en-GB"/>
        </w:rPr>
        <w:t xml:space="preserve"> Article 13 which regulates the entire marketing authorisation procedure</w:t>
      </w:r>
      <w:r w:rsidR="00CF36D8">
        <w:rPr>
          <w:rFonts w:cstheme="minorHAnsi"/>
          <w:bCs/>
          <w:lang w:val="en-GB"/>
        </w:rPr>
        <w:t>.</w:t>
      </w:r>
    </w:p>
    <w:p w14:paraId="45A28045" w14:textId="77777777" w:rsidR="00C90F0A" w:rsidRDefault="00C90F0A" w:rsidP="00943017">
      <w:pPr>
        <w:rPr>
          <w:rFonts w:cstheme="minorHAnsi"/>
          <w:bCs/>
          <w:u w:val="single"/>
          <w:lang w:val="en-GB"/>
        </w:rPr>
      </w:pPr>
      <w:r>
        <w:rPr>
          <w:rFonts w:cstheme="minorHAnsi"/>
          <w:bCs/>
          <w:u w:val="single"/>
          <w:lang w:val="en-GB"/>
        </w:rPr>
        <w:br w:type="page"/>
      </w:r>
    </w:p>
    <w:p w14:paraId="4B1E0491" w14:textId="21F16AFF" w:rsidR="00AA2CD1" w:rsidRDefault="00927D0F" w:rsidP="00943017">
      <w:pPr>
        <w:rPr>
          <w:rFonts w:cstheme="minorHAnsi"/>
          <w:bCs/>
          <w:lang w:val="en-GB"/>
        </w:rPr>
      </w:pPr>
      <w:r>
        <w:rPr>
          <w:rFonts w:cstheme="minorHAnsi"/>
          <w:bCs/>
          <w:lang w:val="en-GB"/>
        </w:rPr>
        <w:lastRenderedPageBreak/>
        <w:t xml:space="preserve">Another concern is the fact that the draft </w:t>
      </w:r>
      <w:r w:rsidR="006D01F6">
        <w:rPr>
          <w:rFonts w:cstheme="minorHAnsi"/>
          <w:bCs/>
          <w:lang w:val="en-GB"/>
        </w:rPr>
        <w:t>does not use the concept of definition</w:t>
      </w:r>
      <w:r w:rsidR="00036FBE">
        <w:rPr>
          <w:rFonts w:cstheme="minorHAnsi"/>
          <w:bCs/>
          <w:lang w:val="en-GB"/>
        </w:rPr>
        <w:t xml:space="preserve">s correctly. A definition should only be given if it useful. This could be because one long term is often used in the body of the law and it economises on the number of words. In fact many defined terms in the draft </w:t>
      </w:r>
      <w:r w:rsidR="00682D31">
        <w:rPr>
          <w:rFonts w:cstheme="minorHAnsi"/>
          <w:bCs/>
          <w:lang w:val="en-GB"/>
        </w:rPr>
        <w:t>are not used at all in the body of the law. An example is the term ‘Investigator’ that is defined i</w:t>
      </w:r>
      <w:r w:rsidR="001C6F69">
        <w:rPr>
          <w:rFonts w:cstheme="minorHAnsi"/>
          <w:bCs/>
          <w:lang w:val="en-GB"/>
        </w:rPr>
        <w:t>n the definitions-article</w:t>
      </w:r>
      <w:r w:rsidR="00186DB4">
        <w:rPr>
          <w:rFonts w:cstheme="minorHAnsi"/>
          <w:bCs/>
          <w:lang w:val="en-GB"/>
        </w:rPr>
        <w:t xml:space="preserve"> (article </w:t>
      </w:r>
      <w:r w:rsidR="00CA76E4">
        <w:rPr>
          <w:rFonts w:cstheme="minorHAnsi"/>
          <w:bCs/>
          <w:lang w:val="en-GB"/>
        </w:rPr>
        <w:t>1(</w:t>
      </w:r>
      <w:r w:rsidR="001F5086">
        <w:rPr>
          <w:rFonts w:cstheme="minorHAnsi"/>
          <w:bCs/>
          <w:lang w:val="en-GB"/>
        </w:rPr>
        <w:t>33))</w:t>
      </w:r>
      <w:r w:rsidR="001C6F69">
        <w:rPr>
          <w:rFonts w:cstheme="minorHAnsi"/>
          <w:bCs/>
          <w:lang w:val="en-GB"/>
        </w:rPr>
        <w:t xml:space="preserve">, but not used in the one provision that </w:t>
      </w:r>
      <w:r w:rsidR="00186DB4">
        <w:rPr>
          <w:rFonts w:cstheme="minorHAnsi"/>
          <w:bCs/>
          <w:lang w:val="en-GB"/>
        </w:rPr>
        <w:t>gives a norm for the investigator</w:t>
      </w:r>
      <w:r w:rsidR="001F5086">
        <w:rPr>
          <w:rFonts w:cstheme="minorHAnsi"/>
          <w:bCs/>
          <w:lang w:val="en-GB"/>
        </w:rPr>
        <w:t xml:space="preserve"> (</w:t>
      </w:r>
      <w:r w:rsidR="007C00A1">
        <w:rPr>
          <w:rFonts w:cstheme="minorHAnsi"/>
          <w:bCs/>
          <w:lang w:val="en-GB"/>
        </w:rPr>
        <w:t xml:space="preserve">article </w:t>
      </w:r>
      <w:r w:rsidR="00D37574">
        <w:rPr>
          <w:rFonts w:cstheme="minorHAnsi"/>
          <w:bCs/>
          <w:lang w:val="en-GB"/>
        </w:rPr>
        <w:t>9</w:t>
      </w:r>
      <w:r w:rsidR="007C00A1">
        <w:rPr>
          <w:rFonts w:cstheme="minorHAnsi"/>
          <w:bCs/>
          <w:lang w:val="en-GB"/>
        </w:rPr>
        <w:t xml:space="preserve"> (6.2) or elsewhere in the law</w:t>
      </w:r>
      <w:r w:rsidR="00186DB4">
        <w:rPr>
          <w:rFonts w:cstheme="minorHAnsi"/>
          <w:bCs/>
          <w:lang w:val="en-GB"/>
        </w:rPr>
        <w:t>.</w:t>
      </w:r>
      <w:r w:rsidR="00D77840">
        <w:rPr>
          <w:rFonts w:cstheme="minorHAnsi"/>
          <w:bCs/>
          <w:lang w:val="en-GB"/>
        </w:rPr>
        <w:t xml:space="preserve"> Other definitions </w:t>
      </w:r>
      <w:r w:rsidR="00F507AE">
        <w:rPr>
          <w:rFonts w:cstheme="minorHAnsi"/>
          <w:bCs/>
          <w:lang w:val="en-GB"/>
        </w:rPr>
        <w:t xml:space="preserve">in article 1 are not definitions, but rather </w:t>
      </w:r>
      <w:proofErr w:type="gramStart"/>
      <w:r w:rsidR="00F507AE">
        <w:rPr>
          <w:rFonts w:cstheme="minorHAnsi"/>
          <w:bCs/>
          <w:lang w:val="en-GB"/>
        </w:rPr>
        <w:t>norms  that</w:t>
      </w:r>
      <w:proofErr w:type="gramEnd"/>
      <w:r w:rsidR="00F507AE">
        <w:rPr>
          <w:rFonts w:cstheme="minorHAnsi"/>
          <w:bCs/>
          <w:lang w:val="en-GB"/>
        </w:rPr>
        <w:t xml:space="preserve"> do not belong in a definition</w:t>
      </w:r>
      <w:r w:rsidR="001F24E3">
        <w:rPr>
          <w:rFonts w:cstheme="minorHAnsi"/>
          <w:bCs/>
          <w:lang w:val="en-GB"/>
        </w:rPr>
        <w:t xml:space="preserve">. </w:t>
      </w:r>
    </w:p>
    <w:p w14:paraId="377B49A5" w14:textId="77777777" w:rsidR="00AA2CD1" w:rsidRDefault="001F24E3" w:rsidP="00943017">
      <w:pPr>
        <w:rPr>
          <w:rFonts w:cstheme="minorHAnsi"/>
          <w:bCs/>
          <w:lang w:val="en-GB"/>
        </w:rPr>
      </w:pPr>
      <w:r>
        <w:rPr>
          <w:rFonts w:cstheme="minorHAnsi"/>
          <w:bCs/>
          <w:lang w:val="en-GB"/>
        </w:rPr>
        <w:t xml:space="preserve">Examples are the definition of </w:t>
      </w:r>
      <w:r w:rsidR="00DD2C78">
        <w:rPr>
          <w:rFonts w:cstheme="minorHAnsi"/>
          <w:bCs/>
          <w:lang w:val="en-GB"/>
        </w:rPr>
        <w:t>a Pharmacy (article 1(3)):</w:t>
      </w:r>
      <w:r w:rsidR="00333A7A">
        <w:rPr>
          <w:rFonts w:cstheme="minorHAnsi"/>
          <w:bCs/>
          <w:lang w:val="en-GB"/>
        </w:rPr>
        <w:t xml:space="preserve"> </w:t>
      </w:r>
    </w:p>
    <w:p w14:paraId="154F199C" w14:textId="77777777" w:rsidR="00AA2CD1" w:rsidRPr="00777E45" w:rsidRDefault="00333A7A" w:rsidP="00AA2CD1">
      <w:pPr>
        <w:ind w:left="708"/>
        <w:rPr>
          <w:rFonts w:cstheme="minorHAnsi"/>
          <w:bCs/>
          <w:sz w:val="18"/>
          <w:lang w:val="en-GB"/>
        </w:rPr>
      </w:pPr>
      <w:r w:rsidRPr="00777E45">
        <w:rPr>
          <w:rFonts w:cstheme="minorHAnsi"/>
          <w:bCs/>
          <w:sz w:val="18"/>
          <w:lang w:val="en-GB"/>
        </w:rPr>
        <w:t>“- a complex of premises, equipment and tools intended for the retail sale of medicinal products and other goods of the pharmacy range and owned by a legal entity or individual entrepreneur on the basis of the right of ownership or on other legal grounds, who is registered in the manner established by the legislation of Georgia and authorized to carry out activities on the retail sale of medicinal products, granted in accordance with the requirements of this Law</w:t>
      </w:r>
      <w:r w:rsidR="00C019B9" w:rsidRPr="00777E45">
        <w:rPr>
          <w:rFonts w:cstheme="minorHAnsi"/>
          <w:bCs/>
          <w:sz w:val="18"/>
          <w:lang w:val="en-GB"/>
        </w:rPr>
        <w:t xml:space="preserve">. The pharmacy can also manufacture (produce) medicinal products according to prescriptions of doctors (by </w:t>
      </w:r>
      <w:proofErr w:type="spellStart"/>
      <w:r w:rsidR="00C019B9" w:rsidRPr="00777E45">
        <w:rPr>
          <w:rFonts w:cstheme="minorHAnsi"/>
          <w:bCs/>
          <w:sz w:val="18"/>
          <w:lang w:val="en-GB"/>
        </w:rPr>
        <w:t>magistral</w:t>
      </w:r>
      <w:proofErr w:type="spellEnd"/>
      <w:r w:rsidR="00C019B9" w:rsidRPr="00777E45">
        <w:rPr>
          <w:rFonts w:cstheme="minorHAnsi"/>
          <w:bCs/>
          <w:sz w:val="18"/>
          <w:lang w:val="en-GB"/>
        </w:rPr>
        <w:t xml:space="preserve"> inscriptions) and/or </w:t>
      </w:r>
      <w:proofErr w:type="spellStart"/>
      <w:r w:rsidR="00C019B9" w:rsidRPr="00777E45">
        <w:rPr>
          <w:rFonts w:cstheme="minorHAnsi"/>
          <w:bCs/>
          <w:sz w:val="18"/>
          <w:lang w:val="en-GB"/>
        </w:rPr>
        <w:t>pharmacopoeial</w:t>
      </w:r>
      <w:proofErr w:type="spellEnd"/>
      <w:r w:rsidR="00C019B9" w:rsidRPr="00777E45">
        <w:rPr>
          <w:rFonts w:cstheme="minorHAnsi"/>
          <w:bCs/>
          <w:sz w:val="18"/>
          <w:lang w:val="en-GB"/>
        </w:rPr>
        <w:t xml:space="preserve"> inscriptions (by officinal inscriptions) for individual patients and/or medical institutions by their order on the basis of a permit to carry out activities on the retail sales medicinal products with the right to manufacture (produce) medicinal products under the conditions of a pharmacy, granted in accordance with the requirements of this Law;</w:t>
      </w:r>
      <w:r w:rsidRPr="00777E45">
        <w:rPr>
          <w:rFonts w:cstheme="minorHAnsi"/>
          <w:bCs/>
          <w:sz w:val="18"/>
          <w:lang w:val="en-GB"/>
        </w:rPr>
        <w:t>”</w:t>
      </w:r>
      <w:r w:rsidR="00FA2605" w:rsidRPr="00777E45">
        <w:rPr>
          <w:rFonts w:cstheme="minorHAnsi"/>
          <w:bCs/>
          <w:sz w:val="18"/>
          <w:lang w:val="en-GB"/>
        </w:rPr>
        <w:t xml:space="preserve"> </w:t>
      </w:r>
    </w:p>
    <w:p w14:paraId="3034798B" w14:textId="77777777" w:rsidR="00777E45" w:rsidRDefault="00FA2605" w:rsidP="00777E45">
      <w:pPr>
        <w:rPr>
          <w:rFonts w:cstheme="minorHAnsi"/>
          <w:bCs/>
          <w:lang w:val="en-GB"/>
        </w:rPr>
      </w:pPr>
      <w:proofErr w:type="gramStart"/>
      <w:r>
        <w:rPr>
          <w:rFonts w:cstheme="minorHAnsi"/>
          <w:bCs/>
          <w:lang w:val="en-GB"/>
        </w:rPr>
        <w:t>and</w:t>
      </w:r>
      <w:proofErr w:type="gramEnd"/>
      <w:r>
        <w:rPr>
          <w:rFonts w:cstheme="minorHAnsi"/>
          <w:bCs/>
          <w:lang w:val="en-GB"/>
        </w:rPr>
        <w:t xml:space="preserve"> </w:t>
      </w:r>
      <w:r w:rsidR="008072BB">
        <w:rPr>
          <w:rFonts w:cstheme="minorHAnsi"/>
          <w:bCs/>
          <w:lang w:val="en-GB"/>
        </w:rPr>
        <w:t xml:space="preserve">Generic medicinal product </w:t>
      </w:r>
      <w:r w:rsidR="00C30CEE">
        <w:rPr>
          <w:rFonts w:cstheme="minorHAnsi"/>
          <w:bCs/>
          <w:lang w:val="en-GB"/>
        </w:rPr>
        <w:t xml:space="preserve">(article 1(15): </w:t>
      </w:r>
    </w:p>
    <w:p w14:paraId="5130E8C1" w14:textId="040C5266" w:rsidR="00777E45" w:rsidRPr="00777E45" w:rsidRDefault="00C30CEE" w:rsidP="00C010D5">
      <w:pPr>
        <w:ind w:left="708"/>
        <w:rPr>
          <w:rFonts w:cstheme="minorHAnsi"/>
          <w:bCs/>
          <w:sz w:val="18"/>
          <w:lang w:val="en-GB"/>
        </w:rPr>
      </w:pPr>
      <w:r w:rsidRPr="00777E45">
        <w:rPr>
          <w:rFonts w:cstheme="minorHAnsi"/>
          <w:bCs/>
          <w:sz w:val="18"/>
          <w:lang w:val="en-GB"/>
        </w:rPr>
        <w:t>“</w:t>
      </w:r>
      <w:r w:rsidR="00943017" w:rsidRPr="00777E45">
        <w:rPr>
          <w:rFonts w:cstheme="minorHAnsi"/>
          <w:bCs/>
          <w:sz w:val="18"/>
          <w:lang w:val="en-GB"/>
        </w:rPr>
        <w:t>- a medicinal product with the same qualitative and quantitative composition of active substances and in the same dosage form as the reference medicinal product and whose bioequivalence with the reference medicinal product is proved by appropriate bioavailability studies. Various salts, ethers and esters, isomers, mixtures of isomers, complexes or derivatives of the active substance are considered to be the same active substance, provided that they do not significantly differ in properties with regard to safety and/or efficacy. Various dosage forms for oral administration with immediate release are considered to be the same dosage form”.</w:t>
      </w:r>
      <w:r w:rsidR="00E24438" w:rsidRPr="00777E45">
        <w:rPr>
          <w:rFonts w:cstheme="minorHAnsi"/>
          <w:bCs/>
          <w:sz w:val="18"/>
          <w:lang w:val="en-GB"/>
        </w:rPr>
        <w:t xml:space="preserve"> Elements of the definition of generic medicinal product are repeated or </w:t>
      </w:r>
      <w:r w:rsidR="001A1018" w:rsidRPr="00777E45">
        <w:rPr>
          <w:rFonts w:cstheme="minorHAnsi"/>
          <w:bCs/>
          <w:sz w:val="18"/>
          <w:lang w:val="en-GB"/>
        </w:rPr>
        <w:t>in article 13(</w:t>
      </w:r>
      <w:r w:rsidR="00FA7B66" w:rsidRPr="00777E45">
        <w:rPr>
          <w:rFonts w:cstheme="minorHAnsi"/>
          <w:bCs/>
          <w:sz w:val="18"/>
          <w:lang w:val="en-GB"/>
        </w:rPr>
        <w:t>8), 13(9), 13(10)</w:t>
      </w:r>
      <w:r w:rsidR="0042096B" w:rsidRPr="00777E45">
        <w:rPr>
          <w:rFonts w:cstheme="minorHAnsi"/>
          <w:bCs/>
          <w:sz w:val="18"/>
          <w:lang w:val="en-GB"/>
        </w:rPr>
        <w:t xml:space="preserve"> and 13(11).</w:t>
      </w:r>
    </w:p>
    <w:p w14:paraId="098E05A7" w14:textId="6A8AF43E" w:rsidR="00A73B0D" w:rsidRDefault="00BE0B19" w:rsidP="00943017">
      <w:pPr>
        <w:rPr>
          <w:rFonts w:cstheme="minorHAnsi"/>
          <w:bCs/>
          <w:u w:val="single"/>
          <w:lang w:val="en-GB"/>
        </w:rPr>
      </w:pPr>
      <w:r>
        <w:rPr>
          <w:rFonts w:cstheme="minorHAnsi"/>
          <w:bCs/>
          <w:u w:val="single"/>
          <w:lang w:val="en-GB"/>
        </w:rPr>
        <w:t>Redundancies</w:t>
      </w:r>
      <w:r w:rsidR="004273A6">
        <w:rPr>
          <w:rFonts w:cstheme="minorHAnsi"/>
          <w:bCs/>
          <w:u w:val="single"/>
          <w:lang w:val="en-GB"/>
        </w:rPr>
        <w:t xml:space="preserve"> and repetitions</w:t>
      </w:r>
    </w:p>
    <w:p w14:paraId="6FC8CE21" w14:textId="43C7686C" w:rsidR="0045167A" w:rsidRDefault="00C70529" w:rsidP="00943017">
      <w:pPr>
        <w:rPr>
          <w:rFonts w:cstheme="minorHAnsi"/>
          <w:bCs/>
          <w:lang w:val="en-GB"/>
        </w:rPr>
      </w:pPr>
      <w:r>
        <w:rPr>
          <w:rFonts w:cstheme="minorHAnsi"/>
          <w:bCs/>
          <w:lang w:val="en-GB"/>
        </w:rPr>
        <w:t xml:space="preserve">Many </w:t>
      </w:r>
      <w:r w:rsidR="009B14B8">
        <w:rPr>
          <w:rFonts w:cstheme="minorHAnsi"/>
          <w:bCs/>
          <w:lang w:val="en-GB"/>
        </w:rPr>
        <w:t xml:space="preserve">provisions are repeated or </w:t>
      </w:r>
      <w:r w:rsidR="006B4EA1">
        <w:rPr>
          <w:rFonts w:cstheme="minorHAnsi"/>
          <w:bCs/>
          <w:lang w:val="en-GB"/>
        </w:rPr>
        <w:t xml:space="preserve">formulated differently within the draft law. </w:t>
      </w:r>
      <w:r w:rsidR="00CB6248">
        <w:rPr>
          <w:rFonts w:cstheme="minorHAnsi"/>
          <w:bCs/>
          <w:lang w:val="en-GB"/>
        </w:rPr>
        <w:t xml:space="preserve">This is one of </w:t>
      </w:r>
      <w:r w:rsidR="00A92C0A">
        <w:rPr>
          <w:rFonts w:cstheme="minorHAnsi"/>
          <w:bCs/>
          <w:lang w:val="en-GB"/>
        </w:rPr>
        <w:t xml:space="preserve">the opportunities to shorten the texts and to make the law </w:t>
      </w:r>
      <w:r w:rsidR="008246D1">
        <w:rPr>
          <w:rFonts w:cstheme="minorHAnsi"/>
          <w:bCs/>
          <w:lang w:val="en-GB"/>
        </w:rPr>
        <w:t>easier to understand and use. An example of this is the following.</w:t>
      </w:r>
    </w:p>
    <w:p w14:paraId="2CF6A118" w14:textId="77777777" w:rsidR="00865336" w:rsidRPr="0079494C" w:rsidRDefault="00865336" w:rsidP="00865336">
      <w:pPr>
        <w:jc w:val="both"/>
        <w:rPr>
          <w:rFonts w:ascii="Sylfaen" w:hAnsi="Sylfaen"/>
          <w:b/>
          <w:sz w:val="18"/>
          <w:lang w:val="en-GB"/>
        </w:rPr>
      </w:pPr>
      <w:r>
        <w:rPr>
          <w:rFonts w:cstheme="minorHAnsi"/>
          <w:bCs/>
          <w:lang w:val="en-GB"/>
        </w:rPr>
        <w:tab/>
      </w:r>
      <w:r w:rsidRPr="0079494C">
        <w:rPr>
          <w:rFonts w:ascii="Sylfaen" w:hAnsi="Sylfaen"/>
          <w:b/>
          <w:sz w:val="18"/>
          <w:lang w:val="en-GB"/>
        </w:rPr>
        <w:t>Article 14 - Special provisions regarding the state registration of homeopathic medicinal products</w:t>
      </w:r>
    </w:p>
    <w:p w14:paraId="0C8EEEE3" w14:textId="77777777" w:rsidR="00865336" w:rsidRPr="0079494C" w:rsidRDefault="00865336" w:rsidP="0079494C">
      <w:pPr>
        <w:ind w:left="708"/>
        <w:jc w:val="both"/>
        <w:rPr>
          <w:rFonts w:ascii="Sylfaen" w:hAnsi="Sylfaen"/>
          <w:sz w:val="18"/>
          <w:lang w:val="en-GB"/>
        </w:rPr>
      </w:pPr>
      <w:r w:rsidRPr="0079494C">
        <w:rPr>
          <w:rFonts w:ascii="Sylfaen" w:hAnsi="Sylfaen"/>
          <w:sz w:val="18"/>
          <w:lang w:val="en-GB"/>
        </w:rPr>
        <w:t>1. Homeopathic medicinal products are subject to compulsory state registration in Georgia in the manner prescribed by this Law for the state registration of medicinal products, taking into account the specifics provided for by this article.</w:t>
      </w:r>
    </w:p>
    <w:p w14:paraId="626F33C9"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 Homeopathic medicinal products are subject to a simplified procedure for state registration if they fully satisfy the following conditions:</w:t>
      </w:r>
    </w:p>
    <w:p w14:paraId="5F227E22" w14:textId="77777777" w:rsidR="00865336" w:rsidRPr="0079494C" w:rsidRDefault="00865336" w:rsidP="001F7D92">
      <w:pPr>
        <w:ind w:firstLine="708"/>
        <w:jc w:val="both"/>
        <w:rPr>
          <w:rFonts w:ascii="Sylfaen" w:hAnsi="Sylfaen"/>
          <w:sz w:val="18"/>
          <w:lang w:val="en-GB"/>
        </w:rPr>
      </w:pPr>
      <w:r w:rsidRPr="0079494C">
        <w:rPr>
          <w:rFonts w:ascii="Sylfaen" w:hAnsi="Sylfaen"/>
          <w:sz w:val="18"/>
          <w:lang w:val="en-GB"/>
        </w:rPr>
        <w:t>2.1) medicinal products are intended for oral administration or external application;</w:t>
      </w:r>
    </w:p>
    <w:p w14:paraId="494DCF91"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2.2) the label of the medicinal product or any relevant information does not provide a specific therapeutic indication for use;</w:t>
      </w:r>
    </w:p>
    <w:p w14:paraId="4920D91F"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2.3) the degree of dissolution/dilution of the medicinal product is sufficient to ensure its safety; in particular, the medicinal product may not contain more than 1 part per 10 000 of the mother tincture or more than 1/100</w:t>
      </w:r>
      <w:r w:rsidRPr="0079494C">
        <w:rPr>
          <w:rFonts w:ascii="Sylfaen" w:hAnsi="Sylfaen"/>
          <w:sz w:val="18"/>
          <w:vertAlign w:val="superscript"/>
          <w:lang w:val="en-GB"/>
        </w:rPr>
        <w:t>th</w:t>
      </w:r>
      <w:r w:rsidRPr="0079494C">
        <w:rPr>
          <w:rFonts w:ascii="Sylfaen" w:hAnsi="Sylfaen"/>
          <w:sz w:val="18"/>
          <w:lang w:val="en-GB"/>
        </w:rPr>
        <w:t xml:space="preserve"> of the smallest dose used in allopathy with regard to active substances, whose presence in the allopathic medicinal product requires the prescription of a doctor.</w:t>
      </w:r>
    </w:p>
    <w:p w14:paraId="0C36663D" w14:textId="0F8F6476" w:rsidR="00865336" w:rsidRDefault="00865336" w:rsidP="001F7D92">
      <w:pPr>
        <w:ind w:left="708"/>
        <w:jc w:val="both"/>
        <w:rPr>
          <w:rFonts w:ascii="Sylfaen" w:hAnsi="Sylfaen"/>
          <w:sz w:val="18"/>
          <w:lang w:val="en-GB"/>
        </w:rPr>
      </w:pPr>
      <w:r w:rsidRPr="0079494C">
        <w:rPr>
          <w:rFonts w:ascii="Sylfaen" w:hAnsi="Sylfaen"/>
          <w:sz w:val="18"/>
          <w:lang w:val="en-GB"/>
        </w:rPr>
        <w:t xml:space="preserve">3. An application for state registration of a medicinal product that meets the conditions set out in Part 2 of this Article, which is submitted to the Agency in the manner prescribed by this Law, may cover a series of </w:t>
      </w:r>
      <w:r w:rsidRPr="0079494C">
        <w:rPr>
          <w:rFonts w:ascii="Sylfaen" w:hAnsi="Sylfaen"/>
          <w:sz w:val="18"/>
          <w:lang w:val="en-GB"/>
        </w:rPr>
        <w:lastRenderedPageBreak/>
        <w:t>medicinal products obtained from the same homeopathic raw material or the types of raw material. To confirm the pharmaceutical quality of medicinal products and their homogeneity from series to series, an application shall be accompanied by:</w:t>
      </w:r>
    </w:p>
    <w:p w14:paraId="0B0DCA21" w14:textId="695B3C54" w:rsidR="001F7D92" w:rsidRDefault="001F7D92" w:rsidP="001F7D92">
      <w:pPr>
        <w:ind w:left="708"/>
        <w:jc w:val="both"/>
        <w:rPr>
          <w:rFonts w:ascii="Sylfaen" w:hAnsi="Sylfaen"/>
          <w:sz w:val="18"/>
          <w:lang w:val="en-GB"/>
        </w:rPr>
      </w:pPr>
      <w:r>
        <w:rPr>
          <w:rFonts w:ascii="Sylfaen" w:hAnsi="Sylfaen"/>
          <w:sz w:val="18"/>
          <w:lang w:val="en-GB"/>
        </w:rPr>
        <w:t>(….)</w:t>
      </w:r>
    </w:p>
    <w:p w14:paraId="6C264A4A" w14:textId="1DE0B6F3" w:rsidR="00CA383B" w:rsidRDefault="00CA383B" w:rsidP="00CA383B">
      <w:pPr>
        <w:jc w:val="both"/>
        <w:rPr>
          <w:lang w:val="en-GB"/>
        </w:rPr>
      </w:pPr>
      <w:r w:rsidRPr="00266954">
        <w:rPr>
          <w:lang w:val="en-GB"/>
        </w:rPr>
        <w:t>Paragraph 14(1)</w:t>
      </w:r>
      <w:r w:rsidR="00266954">
        <w:rPr>
          <w:lang w:val="en-GB"/>
        </w:rPr>
        <w:t xml:space="preserve"> </w:t>
      </w:r>
      <w:proofErr w:type="gramStart"/>
      <w:r w:rsidR="00266954">
        <w:rPr>
          <w:lang w:val="en-GB"/>
        </w:rPr>
        <w:t>states</w:t>
      </w:r>
      <w:proofErr w:type="gramEnd"/>
      <w:r w:rsidR="00266954">
        <w:rPr>
          <w:lang w:val="en-GB"/>
        </w:rPr>
        <w:t xml:space="preserve"> that homeopathic medicines have to be authorised. As all medicinal products have to be organised this </w:t>
      </w:r>
      <w:r w:rsidR="00CD7068">
        <w:rPr>
          <w:lang w:val="en-GB"/>
        </w:rPr>
        <w:t xml:space="preserve">redundant. The provision continues by stating </w:t>
      </w:r>
      <w:r w:rsidR="00B544C6">
        <w:rPr>
          <w:lang w:val="en-GB"/>
        </w:rPr>
        <w:t xml:space="preserve">that the authorisation has to comply with this law. This </w:t>
      </w:r>
      <w:r w:rsidR="00E60729">
        <w:rPr>
          <w:lang w:val="en-GB"/>
        </w:rPr>
        <w:t xml:space="preserve">is completely logical. Paragraph 14(2) provides that </w:t>
      </w:r>
      <w:proofErr w:type="spellStart"/>
      <w:r w:rsidR="00403C77">
        <w:rPr>
          <w:lang w:val="en-GB"/>
        </w:rPr>
        <w:t>homeopathics</w:t>
      </w:r>
      <w:proofErr w:type="spellEnd"/>
      <w:r w:rsidR="00403C77">
        <w:rPr>
          <w:lang w:val="en-GB"/>
        </w:rPr>
        <w:t xml:space="preserve"> may be registered under a simple procedure if they </w:t>
      </w:r>
      <w:r w:rsidR="00980F3A">
        <w:rPr>
          <w:lang w:val="en-GB"/>
        </w:rPr>
        <w:t xml:space="preserve">comply with the next criteria. Both paragraphs could be rephrased to state: Homeopathic medicinal product intended for </w:t>
      </w:r>
      <w:r w:rsidR="00B3563A">
        <w:rPr>
          <w:lang w:val="en-GB"/>
        </w:rPr>
        <w:t>oral use</w:t>
      </w:r>
      <w:r w:rsidR="00BE3EE7">
        <w:rPr>
          <w:lang w:val="en-GB"/>
        </w:rPr>
        <w:t xml:space="preserve"> </w:t>
      </w:r>
      <w:proofErr w:type="spellStart"/>
      <w:r w:rsidR="00BE3EE7">
        <w:rPr>
          <w:lang w:val="en-GB"/>
        </w:rPr>
        <w:t>containg</w:t>
      </w:r>
      <w:proofErr w:type="spellEnd"/>
      <w:r w:rsidR="00BE3EE7">
        <w:rPr>
          <w:lang w:val="en-GB"/>
        </w:rPr>
        <w:t xml:space="preserve"> less than </w:t>
      </w:r>
      <w:r w:rsidR="008D304F">
        <w:rPr>
          <w:lang w:val="en-GB"/>
        </w:rPr>
        <w:t xml:space="preserve">1/100 of </w:t>
      </w:r>
      <w:r w:rsidR="00110866">
        <w:rPr>
          <w:lang w:val="en-GB"/>
        </w:rPr>
        <w:t>non-homeopathic</w:t>
      </w:r>
      <w:r w:rsidR="00B3563A">
        <w:rPr>
          <w:lang w:val="en-GB"/>
        </w:rPr>
        <w:t xml:space="preserve"> </w:t>
      </w:r>
      <w:r w:rsidR="00110866">
        <w:rPr>
          <w:lang w:val="en-GB"/>
        </w:rPr>
        <w:t xml:space="preserve">medicinal products or 1/10,000 of a stock solution </w:t>
      </w:r>
      <w:r w:rsidR="00B3563A">
        <w:rPr>
          <w:lang w:val="en-GB"/>
        </w:rPr>
        <w:t xml:space="preserve">may be authorised with a simplified procedure. </w:t>
      </w:r>
    </w:p>
    <w:p w14:paraId="4361F89C" w14:textId="248833EE" w:rsidR="00D77840" w:rsidRDefault="00BF4288" w:rsidP="00774CFA">
      <w:pPr>
        <w:jc w:val="both"/>
        <w:rPr>
          <w:lang w:val="en-GB"/>
        </w:rPr>
      </w:pPr>
      <w:r>
        <w:rPr>
          <w:lang w:val="en-GB"/>
        </w:rPr>
        <w:t xml:space="preserve">Another example is the listing of the </w:t>
      </w:r>
      <w:r w:rsidR="00D64992">
        <w:rPr>
          <w:lang w:val="en-GB"/>
        </w:rPr>
        <w:t>data/</w:t>
      </w:r>
      <w:r>
        <w:rPr>
          <w:lang w:val="en-GB"/>
        </w:rPr>
        <w:t xml:space="preserve">documents that have to be submitted under article 13, 14, and 15. </w:t>
      </w:r>
      <w:r w:rsidR="00D64992">
        <w:rPr>
          <w:lang w:val="en-GB"/>
        </w:rPr>
        <w:t xml:space="preserve">These lists are quite similar. It would be much more efficient to have the listing once in article 13 and to refer to that </w:t>
      </w:r>
      <w:r w:rsidR="001014D8">
        <w:rPr>
          <w:lang w:val="en-GB"/>
        </w:rPr>
        <w:t>and only mention the differences in articles 14 and 15.</w:t>
      </w:r>
    </w:p>
    <w:p w14:paraId="183D09F4" w14:textId="77777777" w:rsidR="009D32F2" w:rsidRPr="00774CFA" w:rsidRDefault="009D32F2" w:rsidP="00774CFA">
      <w:pPr>
        <w:jc w:val="both"/>
        <w:rPr>
          <w:lang w:val="en-GB"/>
        </w:rPr>
      </w:pPr>
    </w:p>
    <w:p w14:paraId="4D344652" w14:textId="77777777" w:rsidR="005D305E" w:rsidRPr="003E4D35" w:rsidRDefault="005D305E" w:rsidP="00483DF3">
      <w:pPr>
        <w:pStyle w:val="Heading4"/>
        <w:numPr>
          <w:ilvl w:val="2"/>
          <w:numId w:val="20"/>
        </w:numPr>
        <w:rPr>
          <w:lang w:val="en-GB"/>
        </w:rPr>
      </w:pPr>
      <w:r w:rsidRPr="003E4D35">
        <w:rPr>
          <w:lang w:val="en-GB"/>
        </w:rPr>
        <w:t>The regulatory agency</w:t>
      </w:r>
    </w:p>
    <w:p w14:paraId="1AD72F22" w14:textId="6CFA6713" w:rsidR="000E0455" w:rsidRPr="000E0455" w:rsidRDefault="00C729FE" w:rsidP="00006AFB">
      <w:pPr>
        <w:rPr>
          <w:lang w:val="en-GB"/>
        </w:rPr>
      </w:pPr>
      <w:r>
        <w:rPr>
          <w:lang w:val="en-GB"/>
        </w:rPr>
        <w:t>The “</w:t>
      </w:r>
      <w:r w:rsidRPr="00C729FE">
        <w:rPr>
          <w:lang w:val="en-GB"/>
        </w:rPr>
        <w:t>Agency</w:t>
      </w:r>
      <w:r>
        <w:rPr>
          <w:lang w:val="en-GB"/>
        </w:rPr>
        <w:t>” is defined (actually the first definition, even before medicinal product</w:t>
      </w:r>
      <w:r w:rsidR="00131857">
        <w:rPr>
          <w:lang w:val="en-GB"/>
        </w:rPr>
        <w:t>)</w:t>
      </w:r>
      <w:r w:rsidRPr="00C729FE">
        <w:rPr>
          <w:lang w:val="en-GB"/>
        </w:rPr>
        <w:t xml:space="preserve"> </w:t>
      </w:r>
      <w:r w:rsidR="00131857">
        <w:rPr>
          <w:lang w:val="en-GB"/>
        </w:rPr>
        <w:t xml:space="preserve">as </w:t>
      </w:r>
      <w:r w:rsidRPr="00C729FE">
        <w:rPr>
          <w:lang w:val="en-GB"/>
        </w:rPr>
        <w:t xml:space="preserve"> </w:t>
      </w:r>
      <w:r w:rsidR="00131857">
        <w:rPr>
          <w:lang w:val="en-GB"/>
        </w:rPr>
        <w:t>‘</w:t>
      </w:r>
      <w:r w:rsidRPr="00C729FE">
        <w:rPr>
          <w:lang w:val="en-GB"/>
        </w:rPr>
        <w:t>a competent service within the scope of the Ministry of Labour, Health and Social Protection of Georgia, in accordance with this Law carrying out state regulation in the sphere of circulation of medicinal products in Georgia</w:t>
      </w:r>
      <w:r w:rsidR="00131857">
        <w:rPr>
          <w:lang w:val="en-GB"/>
        </w:rPr>
        <w:t xml:space="preserve">’. </w:t>
      </w:r>
      <w:r w:rsidR="0043296E">
        <w:rPr>
          <w:lang w:val="en-GB"/>
        </w:rPr>
        <w:t>There are no other provisions in the draft law about the Agency</w:t>
      </w:r>
      <w:r w:rsidR="006A6E8F">
        <w:rPr>
          <w:lang w:val="en-GB"/>
        </w:rPr>
        <w:t>, while there should be. The definition could refer back to the provisions about the Agency in the bod</w:t>
      </w:r>
      <w:r w:rsidR="000E0455">
        <w:rPr>
          <w:lang w:val="en-GB"/>
        </w:rPr>
        <w:t>y</w:t>
      </w:r>
      <w:r w:rsidR="006A6E8F">
        <w:rPr>
          <w:lang w:val="en-GB"/>
        </w:rPr>
        <w:t xml:space="preserve"> of the </w:t>
      </w:r>
      <w:r w:rsidR="000E0455">
        <w:rPr>
          <w:lang w:val="en-GB"/>
        </w:rPr>
        <w:t>law</w:t>
      </w:r>
      <w:r w:rsidR="0043296E">
        <w:rPr>
          <w:lang w:val="en-GB"/>
        </w:rPr>
        <w:t xml:space="preserve">. </w:t>
      </w:r>
    </w:p>
    <w:p w14:paraId="207EE4A7" w14:textId="77777777" w:rsidR="005D305E" w:rsidRPr="007D1C24" w:rsidRDefault="005D305E" w:rsidP="00006AFB">
      <w:pPr>
        <w:rPr>
          <w:lang w:val="en-GB"/>
        </w:rPr>
      </w:pPr>
      <w:r w:rsidRPr="00B12B43">
        <w:rPr>
          <w:lang w:val="en-GB"/>
        </w:rPr>
        <w:t xml:space="preserve">National regulatory agencies should be established by the legislative power. </w:t>
      </w:r>
      <w:r w:rsidRPr="007D1C24">
        <w:rPr>
          <w:lang w:val="en-GB"/>
        </w:rPr>
        <w:t xml:space="preserve">As the decisions have a high impact on the objectives of the legislation, it is important that the legislator does not allow the executive power – the government or one or more of the government’s ministers - to organise this decision making. It is of course no problem to delegate detailed legislation to the executive, but only with a strong legal basis in the law. The first reason for that is that the </w:t>
      </w:r>
      <w:proofErr w:type="gramStart"/>
      <w:r w:rsidRPr="007D1C24">
        <w:rPr>
          <w:lang w:val="en-GB"/>
        </w:rPr>
        <w:t>constitution of most countries reserve</w:t>
      </w:r>
      <w:proofErr w:type="gramEnd"/>
      <w:r w:rsidRPr="007D1C24">
        <w:rPr>
          <w:lang w:val="en-GB"/>
        </w:rPr>
        <w:t xml:space="preserve"> the attribution of public decision making to the legislator. From the perspective of Good Regulatory Practices, a strong legal basis in the law is required as well. After all, the decisions that influence public health the </w:t>
      </w:r>
      <w:proofErr w:type="gramStart"/>
      <w:r w:rsidRPr="007D1C24">
        <w:rPr>
          <w:lang w:val="en-GB"/>
        </w:rPr>
        <w:t>most,</w:t>
      </w:r>
      <w:proofErr w:type="gramEnd"/>
      <w:r w:rsidRPr="007D1C24">
        <w:rPr>
          <w:lang w:val="en-GB"/>
        </w:rPr>
        <w:t xml:space="preserve"> are the authorisations granted by the regulatory agency. These decisions must be taken impartially, based on clear criteria, in compliance with the legal framework. Therefore, rules about the appointment and dismissal of members or employees, their expertise and independence and the procedures and the criteria that must be followed for the decisions need a legal basis in the law. Also, payments made by the pharmaceutical industry need to </w:t>
      </w:r>
      <w:proofErr w:type="gramStart"/>
      <w:r w:rsidRPr="007D1C24">
        <w:rPr>
          <w:lang w:val="en-GB"/>
        </w:rPr>
        <w:t>regulated</w:t>
      </w:r>
      <w:proofErr w:type="gramEnd"/>
      <w:r w:rsidRPr="007D1C24">
        <w:rPr>
          <w:lang w:val="en-GB"/>
        </w:rPr>
        <w:t xml:space="preserve"> by the law, as well as rules about possible conflicts of interests and transparency. </w:t>
      </w:r>
    </w:p>
    <w:p w14:paraId="3F168CDF" w14:textId="77777777" w:rsidR="005D305E" w:rsidRPr="00BA5D4D" w:rsidRDefault="005D305E" w:rsidP="005D305E">
      <w:pPr>
        <w:pStyle w:val="Default"/>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In short, the law need to contain the following provisions in respect of the regulatory agency:</w:t>
      </w:r>
    </w:p>
    <w:p w14:paraId="5F27154F"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Establishing the Public Health Agency;</w:t>
      </w:r>
    </w:p>
    <w:p w14:paraId="796970C8" w14:textId="66B1F2C9" w:rsidR="005D305E"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rules about appointing the (staff) members</w:t>
      </w:r>
      <w:r w:rsidR="002A60B6">
        <w:rPr>
          <w:rFonts w:asciiTheme="minorHAnsi" w:hAnsiTheme="minorHAnsi" w:cstheme="minorHAnsi"/>
          <w:bCs/>
          <w:color w:val="auto"/>
          <w:sz w:val="20"/>
          <w:szCs w:val="20"/>
        </w:rPr>
        <w:t xml:space="preserve"> and their </w:t>
      </w:r>
      <w:r w:rsidR="004F1072">
        <w:rPr>
          <w:rFonts w:asciiTheme="minorHAnsi" w:hAnsiTheme="minorHAnsi" w:cstheme="minorHAnsi"/>
          <w:bCs/>
          <w:color w:val="auto"/>
          <w:sz w:val="20"/>
          <w:szCs w:val="20"/>
        </w:rPr>
        <w:t>eligibility</w:t>
      </w:r>
      <w:r w:rsidRPr="00BA5D4D">
        <w:rPr>
          <w:rFonts w:asciiTheme="minorHAnsi" w:hAnsiTheme="minorHAnsi" w:cstheme="minorHAnsi"/>
          <w:bCs/>
          <w:color w:val="auto"/>
          <w:sz w:val="20"/>
          <w:szCs w:val="20"/>
        </w:rPr>
        <w:t>;</w:t>
      </w:r>
    </w:p>
    <w:p w14:paraId="6E2A1F82" w14:textId="69B3828A" w:rsidR="00E30875" w:rsidRPr="00BA5D4D" w:rsidRDefault="0014117B"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t>Establishing committees or other decision bodies within the Agency</w:t>
      </w:r>
      <w:r w:rsidR="004277B2">
        <w:rPr>
          <w:rFonts w:asciiTheme="minorHAnsi" w:hAnsiTheme="minorHAnsi" w:cstheme="minorHAnsi"/>
          <w:bCs/>
          <w:color w:val="auto"/>
          <w:sz w:val="20"/>
          <w:szCs w:val="20"/>
        </w:rPr>
        <w:t>, as well as there rules for decision making</w:t>
      </w:r>
      <w:r w:rsidR="00183D5C">
        <w:rPr>
          <w:rFonts w:asciiTheme="minorHAnsi" w:hAnsiTheme="minorHAnsi" w:cstheme="minorHAnsi"/>
          <w:bCs/>
          <w:color w:val="auto"/>
          <w:sz w:val="20"/>
          <w:szCs w:val="20"/>
        </w:rPr>
        <w:t xml:space="preserve"> (</w:t>
      </w:r>
      <w:r w:rsidR="002A60B6">
        <w:rPr>
          <w:rFonts w:asciiTheme="minorHAnsi" w:hAnsiTheme="minorHAnsi" w:cstheme="minorHAnsi"/>
          <w:bCs/>
          <w:color w:val="auto"/>
          <w:sz w:val="20"/>
          <w:szCs w:val="20"/>
        </w:rPr>
        <w:t xml:space="preserve">quorum, </w:t>
      </w:r>
      <w:r w:rsidR="00183D5C">
        <w:rPr>
          <w:rFonts w:asciiTheme="minorHAnsi" w:hAnsiTheme="minorHAnsi" w:cstheme="minorHAnsi"/>
          <w:bCs/>
          <w:color w:val="auto"/>
          <w:sz w:val="20"/>
          <w:szCs w:val="20"/>
        </w:rPr>
        <w:t>majority and dissenting opinion</w:t>
      </w:r>
      <w:r w:rsidR="00D1404E">
        <w:rPr>
          <w:rFonts w:asciiTheme="minorHAnsi" w:hAnsiTheme="minorHAnsi" w:cstheme="minorHAnsi"/>
          <w:bCs/>
          <w:color w:val="auto"/>
          <w:sz w:val="20"/>
          <w:szCs w:val="20"/>
        </w:rPr>
        <w:t>s)</w:t>
      </w:r>
      <w:r w:rsidR="004277B2">
        <w:rPr>
          <w:rFonts w:asciiTheme="minorHAnsi" w:hAnsiTheme="minorHAnsi" w:cstheme="minorHAnsi"/>
          <w:bCs/>
          <w:color w:val="auto"/>
          <w:sz w:val="20"/>
          <w:szCs w:val="20"/>
        </w:rPr>
        <w:t>;</w:t>
      </w:r>
    </w:p>
    <w:p w14:paraId="5D1896E0"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requirements to be appointed, e.g. in respect to other (past) functions in the pharmaceutical area;</w:t>
      </w:r>
    </w:p>
    <w:p w14:paraId="1360F0B6"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Establishing for each type of application the procedure as well as the dossier requirements as a framework, containing bound delegation provisions to lower legislators (government or the minister of health);</w:t>
      </w:r>
    </w:p>
    <w:p w14:paraId="08FF27B9" w14:textId="7EFFC732" w:rsidR="005D305E"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 xml:space="preserve">Provide criteria for the decisions the agency must take: e.g. a positive risk/benefit ratio </w:t>
      </w:r>
    </w:p>
    <w:p w14:paraId="3589B703" w14:textId="3CC34C8A" w:rsidR="00A021F9" w:rsidRPr="00BA5D4D" w:rsidRDefault="00A021F9"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 xml:space="preserve">Guaranteeing decision making is based on scientific criteria by </w:t>
      </w:r>
      <w:r w:rsidR="00656C09">
        <w:rPr>
          <w:rFonts w:asciiTheme="minorHAnsi" w:hAnsiTheme="minorHAnsi" w:cstheme="minorHAnsi"/>
          <w:bCs/>
          <w:color w:val="auto"/>
          <w:sz w:val="20"/>
          <w:szCs w:val="20"/>
        </w:rPr>
        <w:t>excluding politicians like the Minister of Hea</w:t>
      </w:r>
      <w:r w:rsidR="00AB0549">
        <w:rPr>
          <w:rFonts w:asciiTheme="minorHAnsi" w:hAnsiTheme="minorHAnsi" w:cstheme="minorHAnsi"/>
          <w:bCs/>
          <w:color w:val="auto"/>
          <w:sz w:val="20"/>
          <w:szCs w:val="20"/>
        </w:rPr>
        <w:t>lth from the decision making</w:t>
      </w:r>
    </w:p>
    <w:p w14:paraId="2467508C" w14:textId="77777777" w:rsidR="00BF6F80" w:rsidRDefault="006C42F7"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t>Warranties for</w:t>
      </w:r>
      <w:r w:rsidR="00CB051C">
        <w:rPr>
          <w:rFonts w:asciiTheme="minorHAnsi" w:hAnsiTheme="minorHAnsi" w:cstheme="minorHAnsi"/>
          <w:bCs/>
          <w:color w:val="auto"/>
          <w:sz w:val="20"/>
          <w:szCs w:val="20"/>
        </w:rPr>
        <w:t xml:space="preserve"> independency by providing a  budget that enables the Agency decision bodies to perform their tasks </w:t>
      </w:r>
      <w:r w:rsidR="00BF6F80">
        <w:rPr>
          <w:rFonts w:asciiTheme="minorHAnsi" w:hAnsiTheme="minorHAnsi" w:cstheme="minorHAnsi"/>
          <w:bCs/>
          <w:color w:val="auto"/>
          <w:sz w:val="20"/>
          <w:szCs w:val="20"/>
        </w:rPr>
        <w:t>independently;</w:t>
      </w:r>
    </w:p>
    <w:p w14:paraId="3FA3A120" w14:textId="1E441D3B"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a legal basis for the fees for regulatory activities, to be set by lower legislators</w:t>
      </w:r>
      <w:r w:rsidR="00A83502">
        <w:rPr>
          <w:rFonts w:asciiTheme="minorHAnsi" w:hAnsiTheme="minorHAnsi" w:cstheme="minorHAnsi"/>
          <w:bCs/>
          <w:color w:val="auto"/>
          <w:sz w:val="20"/>
          <w:szCs w:val="20"/>
        </w:rPr>
        <w:t xml:space="preserve"> but bound, e.g. follow </w:t>
      </w:r>
      <w:r w:rsidR="00C45AAC">
        <w:rPr>
          <w:rFonts w:asciiTheme="minorHAnsi" w:hAnsiTheme="minorHAnsi" w:cstheme="minorHAnsi"/>
          <w:bCs/>
          <w:color w:val="auto"/>
          <w:sz w:val="20"/>
          <w:szCs w:val="20"/>
        </w:rPr>
        <w:t xml:space="preserve">inflation or </w:t>
      </w:r>
      <w:r w:rsidR="00091783">
        <w:rPr>
          <w:rFonts w:asciiTheme="minorHAnsi" w:hAnsiTheme="minorHAnsi" w:cstheme="minorHAnsi"/>
          <w:bCs/>
          <w:color w:val="auto"/>
          <w:sz w:val="20"/>
          <w:szCs w:val="20"/>
        </w:rPr>
        <w:t>balanced with the costs of the agency.</w:t>
      </w:r>
    </w:p>
    <w:p w14:paraId="036915F4" w14:textId="77777777" w:rsidR="005D305E" w:rsidRPr="00BA5D4D" w:rsidRDefault="005D305E" w:rsidP="005D305E">
      <w:pPr>
        <w:pStyle w:val="Default"/>
        <w:spacing w:after="74"/>
        <w:rPr>
          <w:rFonts w:asciiTheme="minorHAnsi" w:hAnsiTheme="minorHAnsi" w:cstheme="minorHAnsi"/>
          <w:bCs/>
          <w:color w:val="auto"/>
          <w:sz w:val="20"/>
          <w:szCs w:val="20"/>
        </w:rPr>
      </w:pPr>
    </w:p>
    <w:p w14:paraId="3BAC6391" w14:textId="7AB71811" w:rsidR="005D305E" w:rsidRPr="00D77034" w:rsidRDefault="005D305E" w:rsidP="00B12B43">
      <w:pPr>
        <w:rPr>
          <w:lang w:val="en-GB"/>
        </w:rPr>
      </w:pPr>
      <w:r w:rsidRPr="007D1C24">
        <w:rPr>
          <w:lang w:val="en-GB"/>
        </w:rPr>
        <w:t xml:space="preserve">Putting the provisions about the agency’s operations at a lower level is not correct, for a number of reasons. </w:t>
      </w:r>
      <w:r w:rsidRPr="00D77034">
        <w:rPr>
          <w:lang w:val="en-GB"/>
        </w:rPr>
        <w:t xml:space="preserve">The most important one is that it should not be possible that later governments or </w:t>
      </w:r>
      <w:proofErr w:type="gramStart"/>
      <w:r w:rsidRPr="00D77034">
        <w:rPr>
          <w:lang w:val="en-GB"/>
        </w:rPr>
        <w:t>ministers changes</w:t>
      </w:r>
      <w:proofErr w:type="gramEnd"/>
      <w:r w:rsidRPr="00D77034">
        <w:rPr>
          <w:lang w:val="en-GB"/>
        </w:rPr>
        <w:t xml:space="preserve"> the system for their own reasons, abandoning the Good Regulatory Practices.</w:t>
      </w:r>
      <w:r w:rsidR="00D77034" w:rsidRPr="00D77034">
        <w:rPr>
          <w:lang w:val="en-GB"/>
        </w:rPr>
        <w:t xml:space="preserve"> </w:t>
      </w:r>
      <w:r w:rsidR="00D77034">
        <w:rPr>
          <w:lang w:val="en-GB"/>
        </w:rPr>
        <w:t xml:space="preserve">In respect of the decision making procedures </w:t>
      </w:r>
      <w:r w:rsidR="003F5720">
        <w:rPr>
          <w:lang w:val="en-GB"/>
        </w:rPr>
        <w:t>only</w:t>
      </w:r>
      <w:r w:rsidR="00D77034">
        <w:rPr>
          <w:lang w:val="en-GB"/>
        </w:rPr>
        <w:t xml:space="preserve"> criteria for</w:t>
      </w:r>
      <w:r w:rsidR="003F5720">
        <w:rPr>
          <w:lang w:val="en-GB"/>
        </w:rPr>
        <w:t xml:space="preserve"> refusing the marketing authorisation are given.</w:t>
      </w:r>
      <w:r w:rsidR="00D77034">
        <w:rPr>
          <w:lang w:val="en-GB"/>
        </w:rPr>
        <w:t xml:space="preserve"> </w:t>
      </w:r>
    </w:p>
    <w:p w14:paraId="5F748E36" w14:textId="5EC6772E" w:rsidR="005D305E" w:rsidRPr="003E4D35" w:rsidRDefault="0020685A" w:rsidP="005D305E">
      <w:pPr>
        <w:pStyle w:val="Heading4"/>
        <w:rPr>
          <w:lang w:val="en-GB"/>
        </w:rPr>
      </w:pPr>
      <w:r>
        <w:rPr>
          <w:lang w:val="en-GB"/>
        </w:rPr>
        <w:t>3.1.3</w:t>
      </w:r>
      <w:r>
        <w:rPr>
          <w:lang w:val="en-GB"/>
        </w:rPr>
        <w:tab/>
      </w:r>
      <w:r w:rsidR="005D305E" w:rsidRPr="003E4D35">
        <w:rPr>
          <w:lang w:val="en-GB"/>
        </w:rPr>
        <w:t>Marketing authorisation</w:t>
      </w:r>
      <w:r w:rsidR="00FF5ED2">
        <w:rPr>
          <w:lang w:val="en-GB"/>
        </w:rPr>
        <w:t xml:space="preserve"> procedure</w:t>
      </w:r>
    </w:p>
    <w:p w14:paraId="158093F9" w14:textId="4DD10CE0" w:rsidR="005D305E" w:rsidRDefault="005D305E" w:rsidP="00604BC6">
      <w:pPr>
        <w:rPr>
          <w:lang w:val="en-GB"/>
        </w:rPr>
      </w:pPr>
      <w:r w:rsidRPr="00B51672">
        <w:rPr>
          <w:lang w:val="en-GB"/>
        </w:rPr>
        <w:t xml:space="preserve">The main objective of any pharmaceutical legislation is to protect public health by keeping medicinal products that do not comply with scientific standard from the market and so away from the patients. </w:t>
      </w:r>
      <w:r w:rsidR="00B51672" w:rsidRPr="00B51672">
        <w:rPr>
          <w:lang w:val="en-GB"/>
        </w:rPr>
        <w:t>Th</w:t>
      </w:r>
      <w:r w:rsidR="00B51672">
        <w:rPr>
          <w:lang w:val="en-GB"/>
        </w:rPr>
        <w:t>e d</w:t>
      </w:r>
      <w:r w:rsidRPr="00B51672">
        <w:rPr>
          <w:lang w:val="en-GB"/>
        </w:rPr>
        <w:t>raft</w:t>
      </w:r>
      <w:r w:rsidR="00B51672">
        <w:rPr>
          <w:lang w:val="en-GB"/>
        </w:rPr>
        <w:t xml:space="preserve"> law </w:t>
      </w:r>
      <w:r w:rsidRPr="00B51672">
        <w:rPr>
          <w:lang w:val="en-GB"/>
        </w:rPr>
        <w:t>do</w:t>
      </w:r>
      <w:r w:rsidR="004D64E8">
        <w:rPr>
          <w:lang w:val="en-GB"/>
        </w:rPr>
        <w:t>es</w:t>
      </w:r>
      <w:r w:rsidRPr="00B51672">
        <w:rPr>
          <w:lang w:val="en-GB"/>
        </w:rPr>
        <w:t xml:space="preserve"> not provide an application procedure and the decision criteria</w:t>
      </w:r>
      <w:r w:rsidR="00B439CC">
        <w:rPr>
          <w:lang w:val="en-GB"/>
        </w:rPr>
        <w:t>, but only listings of documents to be submitted</w:t>
      </w:r>
      <w:r w:rsidRPr="00B51672">
        <w:rPr>
          <w:lang w:val="en-GB"/>
        </w:rPr>
        <w:t xml:space="preserve">. </w:t>
      </w:r>
      <w:r w:rsidRPr="007D1C24">
        <w:rPr>
          <w:lang w:val="en-GB"/>
        </w:rPr>
        <w:t xml:space="preserve">This may lead to arbitrariness and conflicts of interests. </w:t>
      </w:r>
      <w:r w:rsidR="0081530F">
        <w:rPr>
          <w:lang w:val="en-GB"/>
        </w:rPr>
        <w:t xml:space="preserve">The law contains </w:t>
      </w:r>
      <w:r w:rsidR="00824F55">
        <w:rPr>
          <w:lang w:val="en-GB"/>
        </w:rPr>
        <w:t>a provision for the refusal of a marketing authorisation</w:t>
      </w:r>
      <w:r w:rsidR="00533451">
        <w:rPr>
          <w:rStyle w:val="FootnoteReference"/>
          <w:lang w:val="en-GB"/>
        </w:rPr>
        <w:footnoteReference w:id="8"/>
      </w:r>
      <w:r w:rsidR="00824F55">
        <w:rPr>
          <w:lang w:val="en-GB"/>
        </w:rPr>
        <w:t xml:space="preserve"> but still misses </w:t>
      </w:r>
      <w:r w:rsidR="00CE6D75">
        <w:rPr>
          <w:lang w:val="en-GB"/>
        </w:rPr>
        <w:t xml:space="preserve">the provision to clarify that a marketing authorisation is granted if the competent authority </w:t>
      </w:r>
      <w:r w:rsidR="00132A4C">
        <w:rPr>
          <w:lang w:val="en-GB"/>
        </w:rPr>
        <w:t xml:space="preserve">after scientific evaluation concludes that there is a positive benefit/risk ratio. </w:t>
      </w:r>
    </w:p>
    <w:p w14:paraId="2816428A" w14:textId="77777777" w:rsidR="00802073" w:rsidRPr="00DA6759" w:rsidRDefault="00802073" w:rsidP="00802073">
      <w:pPr>
        <w:pStyle w:val="Default"/>
        <w:spacing w:after="74"/>
        <w:rPr>
          <w:rFonts w:asciiTheme="minorHAnsi" w:hAnsiTheme="minorHAnsi" w:cstheme="minorHAnsi"/>
          <w:sz w:val="22"/>
          <w:szCs w:val="22"/>
        </w:rPr>
      </w:pPr>
    </w:p>
    <w:p w14:paraId="79036F29" w14:textId="66A65414" w:rsidR="00802073" w:rsidRPr="003E4D35" w:rsidRDefault="00802073" w:rsidP="00802073">
      <w:pPr>
        <w:pStyle w:val="Heading4"/>
        <w:rPr>
          <w:lang w:val="en-GB"/>
        </w:rPr>
      </w:pPr>
      <w:r>
        <w:rPr>
          <w:lang w:val="en-GB"/>
        </w:rPr>
        <w:t>3.1.4</w:t>
      </w:r>
      <w:r>
        <w:rPr>
          <w:lang w:val="en-GB"/>
        </w:rPr>
        <w:tab/>
      </w:r>
      <w:r w:rsidRPr="003E4D35">
        <w:rPr>
          <w:lang w:val="en-GB"/>
        </w:rPr>
        <w:t xml:space="preserve">The inspectorate </w:t>
      </w:r>
    </w:p>
    <w:p w14:paraId="13CC7F98" w14:textId="327BE6FC" w:rsidR="00802073" w:rsidRDefault="00802073" w:rsidP="00802073">
      <w:pPr>
        <w:rPr>
          <w:rFonts w:cstheme="minorHAnsi"/>
          <w:lang w:val="en-GB"/>
        </w:rPr>
      </w:pPr>
      <w:r w:rsidRPr="003E4D35">
        <w:rPr>
          <w:lang w:val="en-GB"/>
        </w:rPr>
        <w:t xml:space="preserve">The law is not clear about the competent authority for supervision and enforcement of obligations to conduct business under </w:t>
      </w:r>
      <w:proofErr w:type="spellStart"/>
      <w:r w:rsidRPr="003E4D35">
        <w:rPr>
          <w:lang w:val="en-GB"/>
        </w:rPr>
        <w:t>GxP</w:t>
      </w:r>
      <w:proofErr w:type="spellEnd"/>
      <w:r w:rsidRPr="003E4D35">
        <w:rPr>
          <w:lang w:val="en-GB"/>
        </w:rPr>
        <w:t xml:space="preserve">. </w:t>
      </w:r>
      <w:r w:rsidRPr="003E4D35">
        <w:rPr>
          <w:rFonts w:cstheme="minorHAnsi"/>
          <w:lang w:val="en-GB"/>
        </w:rPr>
        <w:t xml:space="preserve">Article 17 deals with GLP, GCP, GMP, GDP, proper storage practice, good pharmacovigilance. However, no reference is made to the actual </w:t>
      </w:r>
      <w:proofErr w:type="spellStart"/>
      <w:r w:rsidRPr="003E4D35">
        <w:rPr>
          <w:rFonts w:cstheme="minorHAnsi"/>
          <w:lang w:val="en-GB"/>
        </w:rPr>
        <w:t>GxP</w:t>
      </w:r>
      <w:proofErr w:type="spellEnd"/>
      <w:r w:rsidRPr="003E4D35">
        <w:rPr>
          <w:rFonts w:cstheme="minorHAnsi"/>
          <w:lang w:val="en-GB"/>
        </w:rPr>
        <w:t xml:space="preserve"> which applies. This – at least a reference to an international </w:t>
      </w:r>
      <w:proofErr w:type="spellStart"/>
      <w:r w:rsidRPr="003E4D35">
        <w:rPr>
          <w:rFonts w:cstheme="minorHAnsi"/>
          <w:lang w:val="en-GB"/>
        </w:rPr>
        <w:t>GxP</w:t>
      </w:r>
      <w:proofErr w:type="spellEnd"/>
      <w:r w:rsidRPr="003E4D35">
        <w:rPr>
          <w:rFonts w:cstheme="minorHAnsi"/>
          <w:lang w:val="en-GB"/>
        </w:rPr>
        <w:t xml:space="preserve"> - should be in the law, as well as provisions designating the inspection service - which is mandated to enforce – and the procedures to be followed. There is only a delegation to the government, but this means that a future government might decide to divert from the Good Regulatory Practices scheme of things. Furthermore, a gap exists between the </w:t>
      </w:r>
      <w:proofErr w:type="spellStart"/>
      <w:r w:rsidRPr="003E4D35">
        <w:rPr>
          <w:rFonts w:cstheme="minorHAnsi"/>
          <w:lang w:val="en-GB"/>
        </w:rPr>
        <w:t>GxP</w:t>
      </w:r>
      <w:proofErr w:type="spellEnd"/>
      <w:r w:rsidRPr="003E4D35">
        <w:rPr>
          <w:rFonts w:cstheme="minorHAnsi"/>
          <w:lang w:val="en-GB"/>
        </w:rPr>
        <w:t xml:space="preserve"> applicable to holders of a pharmaceutical authorisation and pharmacists who base their status on their profession. For GPP different standards are required.  </w:t>
      </w:r>
    </w:p>
    <w:p w14:paraId="565919ED" w14:textId="77777777" w:rsidR="00802073" w:rsidRPr="003E4D35" w:rsidRDefault="00802073" w:rsidP="00802073">
      <w:pPr>
        <w:rPr>
          <w:rFonts w:cstheme="minorHAnsi"/>
          <w:lang w:val="en-GB"/>
        </w:rPr>
      </w:pPr>
    </w:p>
    <w:p w14:paraId="26D8F038" w14:textId="5E986EDE" w:rsidR="00802073" w:rsidRPr="003E4D35" w:rsidRDefault="00802073" w:rsidP="00802073">
      <w:pPr>
        <w:pStyle w:val="Heading4"/>
        <w:rPr>
          <w:lang w:val="en-GB"/>
        </w:rPr>
      </w:pPr>
      <w:r>
        <w:rPr>
          <w:lang w:val="en-GB"/>
        </w:rPr>
        <w:t>3.1.5</w:t>
      </w:r>
      <w:r>
        <w:rPr>
          <w:lang w:val="en-GB"/>
        </w:rPr>
        <w:tab/>
      </w:r>
      <w:r w:rsidRPr="003E4D35">
        <w:rPr>
          <w:lang w:val="en-GB"/>
        </w:rPr>
        <w:t>Pharmaceutical authorisation</w:t>
      </w:r>
    </w:p>
    <w:p w14:paraId="4FD4D1A8" w14:textId="20594EF1" w:rsidR="00802073" w:rsidRPr="003E4D35" w:rsidRDefault="00802073" w:rsidP="00802073">
      <w:pPr>
        <w:rPr>
          <w:lang w:val="en-GB"/>
        </w:rPr>
      </w:pPr>
      <w:r w:rsidRPr="003E4D35">
        <w:rPr>
          <w:lang w:val="en-GB"/>
        </w:rPr>
        <w:t xml:space="preserve">From the text of the law it appears that entities in the pharmaceutical area have to be ‘licensed’. However, the law does not mention the main criteria are not mentioned and it is also not clarified which procedure has to be followed and what is the competent authority for these procedures. From a practical point of view, the Public Health Authority should grant manufacturing authorisation on the basis of compliance with GMP, wholesale distribution authorisations on the basis of GDP and importer’s authorisation on the basis of compliance with GMP in the country of origin and transfer of liability to the importer. </w:t>
      </w:r>
    </w:p>
    <w:p w14:paraId="3353641C" w14:textId="77777777" w:rsidR="000974A6" w:rsidRPr="00DA6759" w:rsidRDefault="000974A6" w:rsidP="000974A6">
      <w:pPr>
        <w:pStyle w:val="Default"/>
        <w:spacing w:after="74"/>
        <w:rPr>
          <w:rFonts w:asciiTheme="minorHAnsi" w:hAnsiTheme="minorHAnsi" w:cstheme="minorHAnsi"/>
          <w:sz w:val="22"/>
          <w:szCs w:val="22"/>
        </w:rPr>
      </w:pPr>
    </w:p>
    <w:p w14:paraId="21345346" w14:textId="03CEE6BA" w:rsidR="000974A6" w:rsidRDefault="00381B16" w:rsidP="00941C17">
      <w:pPr>
        <w:pStyle w:val="Heading4"/>
        <w:numPr>
          <w:ilvl w:val="2"/>
          <w:numId w:val="21"/>
        </w:numPr>
        <w:rPr>
          <w:lang w:val="en-GB"/>
        </w:rPr>
      </w:pPr>
      <w:r>
        <w:rPr>
          <w:lang w:val="en-GB"/>
        </w:rPr>
        <w:t xml:space="preserve">Legal remedies </w:t>
      </w:r>
    </w:p>
    <w:p w14:paraId="447247C4" w14:textId="0184C4A6" w:rsidR="00381B16" w:rsidRPr="00381B16" w:rsidRDefault="00B521E3" w:rsidP="00381B16">
      <w:pPr>
        <w:rPr>
          <w:lang w:val="en-GB"/>
        </w:rPr>
      </w:pPr>
      <w:r>
        <w:rPr>
          <w:lang w:val="en-GB"/>
        </w:rPr>
        <w:t>One of the main characteristics of a</w:t>
      </w:r>
      <w:r w:rsidR="006411DA">
        <w:rPr>
          <w:lang w:val="en-GB"/>
        </w:rPr>
        <w:t xml:space="preserve"> well-functioning </w:t>
      </w:r>
      <w:r w:rsidR="00236EC3">
        <w:rPr>
          <w:lang w:val="en-GB"/>
        </w:rPr>
        <w:t xml:space="preserve">legal system is that the lawfulness of decisions can be challenged before a court of law. </w:t>
      </w:r>
      <w:r w:rsidR="0005369D">
        <w:rPr>
          <w:lang w:val="en-GB"/>
        </w:rPr>
        <w:t xml:space="preserve">This is one of the principles deriving from the </w:t>
      </w:r>
      <w:proofErr w:type="spellStart"/>
      <w:r w:rsidR="0005369D">
        <w:rPr>
          <w:lang w:val="en-GB"/>
        </w:rPr>
        <w:t>trias</w:t>
      </w:r>
      <w:proofErr w:type="spellEnd"/>
      <w:r w:rsidR="0005369D">
        <w:rPr>
          <w:lang w:val="en-GB"/>
        </w:rPr>
        <w:t xml:space="preserve"> </w:t>
      </w:r>
      <w:proofErr w:type="spellStart"/>
      <w:r w:rsidR="0005369D">
        <w:rPr>
          <w:lang w:val="en-GB"/>
        </w:rPr>
        <w:t>politica</w:t>
      </w:r>
      <w:proofErr w:type="spellEnd"/>
      <w:r w:rsidR="0005369D">
        <w:rPr>
          <w:lang w:val="en-GB"/>
        </w:rPr>
        <w:t xml:space="preserve">. </w:t>
      </w:r>
      <w:r w:rsidR="00111815">
        <w:rPr>
          <w:lang w:val="en-GB"/>
        </w:rPr>
        <w:t xml:space="preserve">In the current </w:t>
      </w:r>
      <w:r w:rsidR="00111815">
        <w:rPr>
          <w:lang w:val="en-GB"/>
        </w:rPr>
        <w:lastRenderedPageBreak/>
        <w:t>draft law no p</w:t>
      </w:r>
      <w:r w:rsidR="00DA0B99">
        <w:rPr>
          <w:lang w:val="en-GB"/>
        </w:rPr>
        <w:t xml:space="preserve">rovisions have been foreseen to allow applicants and third parties who do not agree with decisions of the Agency </w:t>
      </w:r>
      <w:r w:rsidR="00A44F9B">
        <w:rPr>
          <w:lang w:val="en-GB"/>
        </w:rPr>
        <w:t xml:space="preserve">with standing in a procedure before a court or judge to challenge a decision. </w:t>
      </w:r>
      <w:r w:rsidR="00E91BF6">
        <w:rPr>
          <w:lang w:val="en-GB"/>
        </w:rPr>
        <w:t>This possi</w:t>
      </w:r>
      <w:r w:rsidR="0017250A">
        <w:rPr>
          <w:lang w:val="en-GB"/>
        </w:rPr>
        <w:t>bility is considered as fundamental for legality of regulatory decision.</w:t>
      </w:r>
      <w:r w:rsidR="00236EC3">
        <w:rPr>
          <w:lang w:val="en-GB"/>
        </w:rPr>
        <w:t xml:space="preserve"> </w:t>
      </w:r>
    </w:p>
    <w:p w14:paraId="01D9D59D" w14:textId="77777777" w:rsidR="005D305E" w:rsidRPr="003E4D35" w:rsidRDefault="005D305E" w:rsidP="005D305E">
      <w:pPr>
        <w:rPr>
          <w:lang w:val="en-GB"/>
        </w:rPr>
      </w:pPr>
    </w:p>
    <w:p w14:paraId="1CE48C14" w14:textId="1564598B" w:rsidR="005D305E" w:rsidRPr="003E4D35" w:rsidRDefault="00CF36D8" w:rsidP="005D305E">
      <w:pPr>
        <w:pStyle w:val="Heading4"/>
        <w:rPr>
          <w:lang w:val="en-GB"/>
        </w:rPr>
      </w:pPr>
      <w:r>
        <w:rPr>
          <w:lang w:val="en-GB"/>
        </w:rPr>
        <w:t>3.1.7</w:t>
      </w:r>
      <w:r>
        <w:rPr>
          <w:lang w:val="en-GB"/>
        </w:rPr>
        <w:tab/>
      </w:r>
      <w:r w:rsidR="005D305E" w:rsidRPr="003E4D35">
        <w:rPr>
          <w:lang w:val="en-GB"/>
        </w:rPr>
        <w:t xml:space="preserve">Clinical trial authorisation  </w:t>
      </w:r>
    </w:p>
    <w:p w14:paraId="06DE9CE9" w14:textId="77777777" w:rsidR="005D305E" w:rsidRPr="003E4D35" w:rsidRDefault="005D305E" w:rsidP="005D305E">
      <w:pPr>
        <w:rPr>
          <w:lang w:val="en-GB"/>
        </w:rPr>
      </w:pPr>
      <w:r w:rsidRPr="003E4D35">
        <w:rPr>
          <w:lang w:val="en-GB"/>
        </w:rPr>
        <w:t xml:space="preserve">The law also contains provisions on clinical trials. The law, however, does not provide the application procedure to obtain permission to start a clinical trial. This should be an element of the law, as the protection of clinical trial subjects is very important. The WHA Declaration of Helsinki and ICH Good Clinical Practice both offer the necessary protection of clinical trial subjects and the quality of the results of clinical trials. GCP should therefore have a legal basis in the law. Moreover, GCP requires a positive opinion of a medical-ethical committee. Medical-ethical committees must be established in the law, as well as their rules of procedure and the dossier requirements, e.g. the protocol, the Investigational medicinal product dossier and the informed consent form. </w:t>
      </w:r>
    </w:p>
    <w:p w14:paraId="25363F42" w14:textId="77777777" w:rsidR="005D305E" w:rsidRPr="003E4D35" w:rsidRDefault="005D305E" w:rsidP="005D305E">
      <w:pPr>
        <w:rPr>
          <w:lang w:val="en-GB"/>
        </w:rPr>
      </w:pPr>
    </w:p>
    <w:p w14:paraId="2D258BB0" w14:textId="24E93FC8" w:rsidR="005D305E" w:rsidRPr="003E4D35" w:rsidRDefault="00CF36D8" w:rsidP="005D305E">
      <w:pPr>
        <w:pStyle w:val="Heading4"/>
        <w:rPr>
          <w:lang w:val="en-GB"/>
        </w:rPr>
      </w:pPr>
      <w:r>
        <w:rPr>
          <w:lang w:val="en-GB"/>
        </w:rPr>
        <w:t>3</w:t>
      </w:r>
      <w:r w:rsidR="004A3C06">
        <w:rPr>
          <w:lang w:val="en-GB"/>
        </w:rPr>
        <w:t>.1.8</w:t>
      </w:r>
      <w:r w:rsidR="004A3C06">
        <w:rPr>
          <w:lang w:val="en-GB"/>
        </w:rPr>
        <w:tab/>
      </w:r>
      <w:r w:rsidR="005D305E" w:rsidRPr="003E4D35">
        <w:rPr>
          <w:lang w:val="en-GB"/>
        </w:rPr>
        <w:t>Competent authority for clinical trials</w:t>
      </w:r>
    </w:p>
    <w:p w14:paraId="146CA812" w14:textId="77777777" w:rsidR="005D305E" w:rsidRPr="003E4D35" w:rsidRDefault="005D305E" w:rsidP="005D305E">
      <w:pPr>
        <w:rPr>
          <w:lang w:val="en-GB"/>
        </w:rPr>
      </w:pPr>
      <w:r w:rsidRPr="003E4D35">
        <w:rPr>
          <w:lang w:val="en-GB"/>
        </w:rPr>
        <w:t>In the law the ultimate competent authority to authorise clinical research has to be appointed. The law and implementing acts should give rules for appointment of members and staff as well as rules about the financial management of the medical-ethical committees.</w:t>
      </w:r>
    </w:p>
    <w:p w14:paraId="277878CE" w14:textId="77777777" w:rsidR="005D305E" w:rsidRPr="003E4D35" w:rsidRDefault="005D305E" w:rsidP="005D305E">
      <w:pPr>
        <w:rPr>
          <w:lang w:val="en-GB"/>
        </w:rPr>
      </w:pPr>
    </w:p>
    <w:p w14:paraId="53BF4E80" w14:textId="73F3A093" w:rsidR="005D305E" w:rsidRPr="003E4D35" w:rsidRDefault="004A3C06" w:rsidP="005D305E">
      <w:pPr>
        <w:pStyle w:val="Heading3"/>
        <w:rPr>
          <w:lang w:val="en-GB"/>
        </w:rPr>
      </w:pPr>
      <w:r>
        <w:rPr>
          <w:lang w:val="en-GB"/>
        </w:rPr>
        <w:t>3.2</w:t>
      </w:r>
      <w:r>
        <w:rPr>
          <w:lang w:val="en-GB"/>
        </w:rPr>
        <w:tab/>
      </w:r>
      <w:r w:rsidR="005D305E" w:rsidRPr="003E4D35">
        <w:rPr>
          <w:lang w:val="en-GB"/>
        </w:rPr>
        <w:t>Impartiality</w:t>
      </w:r>
    </w:p>
    <w:p w14:paraId="6D337244" w14:textId="77777777" w:rsidR="005D305E" w:rsidRPr="003E4D35" w:rsidRDefault="005D305E" w:rsidP="005D305E">
      <w:pPr>
        <w:rPr>
          <w:lang w:val="en-GB"/>
        </w:rPr>
      </w:pPr>
      <w:r w:rsidRPr="003E4D35">
        <w:rPr>
          <w:lang w:val="en-GB"/>
        </w:rPr>
        <w:t>Regulatory decisions have an impact on both public health and honest business. Therefore, it is important to include in the law as many safeguards as possible to guarantee impartiality. In practical terms this means that the law should lie down criteria for the appointment of members and staff of competent authorities. Members and staff of competent authorities – the Public Health Agency, the competent authority for manufacturing, import and wholesale distribution authorisations and the competent authority for clinical trials including the medical-ethical committees – should not be acceptable if they have (financial) relations with pharmaceutical companies. Moreover, all members and staff members should be appointed based on their scientific expertise. Conflicts of Interest have to be avoided at all times</w:t>
      </w:r>
    </w:p>
    <w:p w14:paraId="2AE2E11A" w14:textId="46F47A12" w:rsidR="005D305E" w:rsidRDefault="005D305E" w:rsidP="00FD3842">
      <w:pPr>
        <w:rPr>
          <w:lang w:val="en-GB"/>
        </w:rPr>
      </w:pPr>
      <w:r w:rsidRPr="003E4D35">
        <w:rPr>
          <w:lang w:val="en-GB"/>
        </w:rPr>
        <w:t xml:space="preserve">To guarantee impartiality, clear procedures and clear criteria are </w:t>
      </w:r>
      <w:proofErr w:type="gramStart"/>
      <w:r w:rsidRPr="003E4D35">
        <w:rPr>
          <w:lang w:val="en-GB"/>
        </w:rPr>
        <w:t>key</w:t>
      </w:r>
      <w:proofErr w:type="gramEnd"/>
      <w:r w:rsidRPr="003E4D35">
        <w:rPr>
          <w:lang w:val="en-GB"/>
        </w:rPr>
        <w:t>.</w:t>
      </w:r>
    </w:p>
    <w:p w14:paraId="2BFBEEB7" w14:textId="77777777" w:rsidR="00FD3842" w:rsidRPr="003E4D35" w:rsidRDefault="00FD3842" w:rsidP="00FD3842">
      <w:pPr>
        <w:rPr>
          <w:lang w:val="en-GB"/>
        </w:rPr>
      </w:pPr>
    </w:p>
    <w:p w14:paraId="5CE2613C" w14:textId="46DC001F" w:rsidR="005D305E" w:rsidRPr="003E4D35" w:rsidRDefault="00FD3842" w:rsidP="00FD3842">
      <w:pPr>
        <w:pStyle w:val="Heading3"/>
        <w:rPr>
          <w:lang w:val="en-GB"/>
        </w:rPr>
      </w:pPr>
      <w:r>
        <w:rPr>
          <w:lang w:val="en-GB"/>
        </w:rPr>
        <w:t>3.3</w:t>
      </w:r>
      <w:r>
        <w:rPr>
          <w:lang w:val="en-GB"/>
        </w:rPr>
        <w:tab/>
      </w:r>
      <w:r w:rsidR="00A924E4" w:rsidRPr="003E4D35">
        <w:rPr>
          <w:caps w:val="0"/>
          <w:lang w:val="en-GB"/>
        </w:rPr>
        <w:t>C</w:t>
      </w:r>
      <w:r w:rsidR="00A924E4" w:rsidRPr="00A924E4">
        <w:rPr>
          <w:caps w:val="0"/>
          <w:lang w:val="en-GB"/>
        </w:rPr>
        <w:t>ONSISTENCY, PROPORTIONALITY, FLEXIBILITY, EFFECTIVENESS, EFFICIENCY, CLARITY AND TRANSPARENCY</w:t>
      </w:r>
      <w:r w:rsidR="00A924E4" w:rsidRPr="003E4D35">
        <w:rPr>
          <w:caps w:val="0"/>
          <w:lang w:val="en-GB"/>
        </w:rPr>
        <w:t xml:space="preserve"> </w:t>
      </w:r>
    </w:p>
    <w:p w14:paraId="18B9E8D9" w14:textId="1556C4C1" w:rsidR="00A924E4" w:rsidRDefault="005D305E" w:rsidP="005D305E">
      <w:pPr>
        <w:rPr>
          <w:lang w:val="en-GB"/>
        </w:rPr>
      </w:pPr>
      <w:r w:rsidRPr="003E4D35">
        <w:rPr>
          <w:lang w:val="en-GB"/>
        </w:rPr>
        <w:t xml:space="preserve">The other issues of Good Regulatory Practices have to be implemented for each and any provision separately. In this respect the current law sometimes shows an unhelpful ‘grammar’: first the exceptions to a rule are presented, and the </w:t>
      </w:r>
      <w:proofErr w:type="gramStart"/>
      <w:r w:rsidRPr="003E4D35">
        <w:rPr>
          <w:lang w:val="en-GB"/>
        </w:rPr>
        <w:t>rules comes</w:t>
      </w:r>
      <w:proofErr w:type="gramEnd"/>
      <w:r w:rsidRPr="003E4D35">
        <w:rPr>
          <w:lang w:val="en-GB"/>
        </w:rPr>
        <w:t xml:space="preserve"> afterwards. These issues can be repaired rather easy. They are of a legal-technical nature. </w:t>
      </w:r>
    </w:p>
    <w:p w14:paraId="3CC6EF8A" w14:textId="77777777" w:rsidR="00220F49" w:rsidRPr="00A924E4" w:rsidRDefault="00220F49" w:rsidP="005D305E">
      <w:pPr>
        <w:rPr>
          <w:lang w:val="en-GB"/>
        </w:rPr>
      </w:pPr>
    </w:p>
    <w:p w14:paraId="45BEF5FA" w14:textId="417710FB" w:rsidR="00AE5D83" w:rsidRDefault="00AE5D83" w:rsidP="00220F49">
      <w:pPr>
        <w:pStyle w:val="Heading2"/>
        <w:numPr>
          <w:ilvl w:val="0"/>
          <w:numId w:val="3"/>
        </w:numPr>
        <w:rPr>
          <w:lang w:val="en-GB"/>
        </w:rPr>
      </w:pPr>
      <w:r w:rsidRPr="003E4D35">
        <w:rPr>
          <w:lang w:val="en-GB"/>
        </w:rPr>
        <w:t>Technical issues</w:t>
      </w:r>
    </w:p>
    <w:p w14:paraId="22B97965" w14:textId="77777777" w:rsidR="005D305E" w:rsidRDefault="005D305E" w:rsidP="005D305E">
      <w:pPr>
        <w:pStyle w:val="ListParagraph"/>
      </w:pPr>
    </w:p>
    <w:p w14:paraId="4072E491" w14:textId="27F1E426" w:rsidR="005D305E" w:rsidRDefault="00944DCD" w:rsidP="00944DCD">
      <w:pPr>
        <w:pStyle w:val="Heading3"/>
      </w:pPr>
      <w:r>
        <w:t>4.1</w:t>
      </w:r>
      <w:r>
        <w:tab/>
      </w:r>
      <w:r w:rsidR="005D305E">
        <w:t>Definitions and scope provisions</w:t>
      </w:r>
    </w:p>
    <w:p w14:paraId="12B77674" w14:textId="2DE3C205" w:rsidR="005D305E" w:rsidRDefault="005D305E" w:rsidP="005D305E">
      <w:pPr>
        <w:rPr>
          <w:lang w:val="en-GB"/>
        </w:rPr>
      </w:pPr>
      <w:r w:rsidRPr="003E4D35">
        <w:rPr>
          <w:lang w:val="en-GB"/>
        </w:rPr>
        <w:t xml:space="preserve">Many definitions in the law are not necessary, because the defined term is not used anywhere else in the law. Furthermore, some of the definitions are not used consistently and are not clear. Possibly this is caused by the translation to the English language, so this should be checked in the </w:t>
      </w:r>
      <w:r w:rsidR="00A5290F">
        <w:rPr>
          <w:lang w:val="en-GB"/>
        </w:rPr>
        <w:t xml:space="preserve">Georgian </w:t>
      </w:r>
      <w:r w:rsidRPr="003E4D35">
        <w:rPr>
          <w:lang w:val="en-GB"/>
        </w:rPr>
        <w:t xml:space="preserve">version as well. </w:t>
      </w:r>
    </w:p>
    <w:p w14:paraId="15970DBD" w14:textId="73223A81" w:rsidR="007E2773" w:rsidRPr="003E4D35" w:rsidRDefault="00AA7E60" w:rsidP="005D305E">
      <w:pPr>
        <w:rPr>
          <w:lang w:val="en-GB"/>
        </w:rPr>
      </w:pPr>
      <w:r>
        <w:rPr>
          <w:lang w:val="en-GB"/>
        </w:rPr>
        <w:t xml:space="preserve">It is not in line with GRP if definitions contain norms. This </w:t>
      </w:r>
      <w:r w:rsidR="0056702A">
        <w:rPr>
          <w:lang w:val="en-GB"/>
        </w:rPr>
        <w:t xml:space="preserve">causes </w:t>
      </w:r>
      <w:r>
        <w:rPr>
          <w:lang w:val="en-GB"/>
        </w:rPr>
        <w:t xml:space="preserve">unnecessarily </w:t>
      </w:r>
      <w:r w:rsidR="00560A1B">
        <w:rPr>
          <w:lang w:val="en-GB"/>
        </w:rPr>
        <w:t>difficulti</w:t>
      </w:r>
      <w:r w:rsidR="0056702A">
        <w:rPr>
          <w:lang w:val="en-GB"/>
        </w:rPr>
        <w:t>es in the use and interpretat</w:t>
      </w:r>
      <w:r w:rsidR="00206EA8">
        <w:rPr>
          <w:lang w:val="en-GB"/>
        </w:rPr>
        <w:t xml:space="preserve">ion of the law. Definitions are only useful if they </w:t>
      </w:r>
      <w:r w:rsidR="0062147C">
        <w:rPr>
          <w:lang w:val="en-GB"/>
        </w:rPr>
        <w:t xml:space="preserve">lead to </w:t>
      </w:r>
      <w:r w:rsidR="00B3125E">
        <w:rPr>
          <w:lang w:val="en-GB"/>
        </w:rPr>
        <w:t xml:space="preserve">simplification of the law, because one definition replaces many long legal texts. </w:t>
      </w:r>
      <w:r>
        <w:rPr>
          <w:lang w:val="en-GB"/>
        </w:rPr>
        <w:t xml:space="preserve"> </w:t>
      </w:r>
    </w:p>
    <w:p w14:paraId="23480993" w14:textId="77777777" w:rsidR="005D305E" w:rsidRPr="003E4D35" w:rsidRDefault="005D305E" w:rsidP="005D305E">
      <w:pPr>
        <w:rPr>
          <w:lang w:val="en-GB"/>
        </w:rPr>
      </w:pPr>
      <w:r w:rsidRPr="003E4D35">
        <w:rPr>
          <w:lang w:val="en-GB"/>
        </w:rPr>
        <w:t xml:space="preserve">The scope provisions in the law are not consistent and logic. It is important for compliance and enforcement that it is absolutely clear which rule applies. </w:t>
      </w:r>
    </w:p>
    <w:p w14:paraId="1DA4002E" w14:textId="03ED8A38" w:rsidR="005D305E" w:rsidRDefault="005D305E" w:rsidP="005D305E">
      <w:pPr>
        <w:rPr>
          <w:lang w:val="en-GB"/>
        </w:rPr>
      </w:pPr>
      <w:r w:rsidRPr="003E4D35">
        <w:rPr>
          <w:lang w:val="en-GB"/>
        </w:rPr>
        <w:t xml:space="preserve">The readability and clarity of the law could further be improved by clarifying in the provisions who are the addressees of the specific norms.  </w:t>
      </w:r>
    </w:p>
    <w:p w14:paraId="0E5E085C" w14:textId="295A7C8C" w:rsidR="00CD0F1A" w:rsidRDefault="00944DCD" w:rsidP="00944DCD">
      <w:pPr>
        <w:pStyle w:val="Heading3"/>
      </w:pPr>
      <w:r w:rsidRPr="00944DCD">
        <w:t>4.2</w:t>
      </w:r>
      <w:r w:rsidRPr="00944DCD">
        <w:tab/>
      </w:r>
      <w:r w:rsidR="000F6C64" w:rsidRPr="00944DCD">
        <w:t>Concept of parallel trade</w:t>
      </w:r>
    </w:p>
    <w:p w14:paraId="0F68C0BF" w14:textId="79C27499" w:rsidR="00944DCD" w:rsidRDefault="00A1209D" w:rsidP="00944DCD">
      <w:pPr>
        <w:rPr>
          <w:lang w:val="en-GB"/>
        </w:rPr>
      </w:pPr>
      <w:r w:rsidRPr="00D21B6B">
        <w:rPr>
          <w:lang w:val="en-GB"/>
        </w:rPr>
        <w:t>The draft</w:t>
      </w:r>
      <w:r w:rsidR="00D21B6B" w:rsidRPr="00D21B6B">
        <w:rPr>
          <w:lang w:val="en-GB"/>
        </w:rPr>
        <w:t xml:space="preserve"> law contains t</w:t>
      </w:r>
      <w:r w:rsidR="00D21B6B">
        <w:rPr>
          <w:lang w:val="en-GB"/>
        </w:rPr>
        <w:t xml:space="preserve">he concept of parallel import. This is a longstanding topic in the EU in which originally </w:t>
      </w:r>
      <w:r w:rsidR="00F6496A">
        <w:rPr>
          <w:lang w:val="en-GB"/>
        </w:rPr>
        <w:t xml:space="preserve">was decided by the Court of Justice that in case a medicinal product was authorised in member state A and in member state B </w:t>
      </w:r>
      <w:r w:rsidR="006644F7">
        <w:rPr>
          <w:lang w:val="en-GB"/>
        </w:rPr>
        <w:t xml:space="preserve">the product could be imported in member state B </w:t>
      </w:r>
      <w:r w:rsidR="00D54251">
        <w:rPr>
          <w:lang w:val="en-GB"/>
        </w:rPr>
        <w:t xml:space="preserve">although the actual product differs from the product in member state A unless </w:t>
      </w:r>
      <w:r w:rsidR="00880B38">
        <w:rPr>
          <w:lang w:val="en-GB"/>
        </w:rPr>
        <w:t>the differences could cause a serious risk to public health.</w:t>
      </w:r>
      <w:r w:rsidR="00291286">
        <w:rPr>
          <w:rStyle w:val="FootnoteReference"/>
          <w:lang w:val="en-GB"/>
        </w:rPr>
        <w:footnoteReference w:id="9"/>
      </w:r>
      <w:r w:rsidR="00880B38">
        <w:rPr>
          <w:lang w:val="en-GB"/>
        </w:rPr>
        <w:t xml:space="preserve"> </w:t>
      </w:r>
      <w:r w:rsidR="00E03573">
        <w:rPr>
          <w:lang w:val="en-GB"/>
        </w:rPr>
        <w:t xml:space="preserve">The concept of </w:t>
      </w:r>
      <w:r w:rsidR="00E10BAB">
        <w:rPr>
          <w:lang w:val="en-GB"/>
        </w:rPr>
        <w:t xml:space="preserve">parallel import to Georgia could be understood as the import into Georgia of a medicinal product from </w:t>
      </w:r>
      <w:proofErr w:type="gramStart"/>
      <w:r w:rsidR="00E10BAB">
        <w:rPr>
          <w:lang w:val="en-GB"/>
        </w:rPr>
        <w:t>a</w:t>
      </w:r>
      <w:proofErr w:type="gramEnd"/>
      <w:r w:rsidR="00E10BAB">
        <w:rPr>
          <w:lang w:val="en-GB"/>
        </w:rPr>
        <w:t xml:space="preserve"> EU member state </w:t>
      </w:r>
      <w:r w:rsidR="00D12DD0">
        <w:rPr>
          <w:lang w:val="en-GB"/>
        </w:rPr>
        <w:t xml:space="preserve">in case it is authorised both in that member state and in Georgia. </w:t>
      </w:r>
      <w:r w:rsidR="00585D81">
        <w:rPr>
          <w:lang w:val="en-GB"/>
        </w:rPr>
        <w:t>However, parallel trade in the draft law is defined as</w:t>
      </w:r>
      <w:r w:rsidR="007C157B">
        <w:rPr>
          <w:lang w:val="en-GB"/>
        </w:rPr>
        <w:t>:</w:t>
      </w:r>
      <w:r w:rsidR="00A916B6">
        <w:rPr>
          <w:rStyle w:val="FootnoteReference"/>
          <w:lang w:val="en-GB"/>
        </w:rPr>
        <w:footnoteReference w:id="10"/>
      </w:r>
      <w:r w:rsidR="00585D81">
        <w:rPr>
          <w:lang w:val="en-GB"/>
        </w:rPr>
        <w:t xml:space="preserve"> </w:t>
      </w:r>
    </w:p>
    <w:p w14:paraId="285B0975" w14:textId="7B011639" w:rsidR="007C157B" w:rsidRPr="007C157B" w:rsidRDefault="007C157B" w:rsidP="007C157B">
      <w:pPr>
        <w:ind w:left="708" w:firstLine="2"/>
        <w:jc w:val="both"/>
        <w:rPr>
          <w:sz w:val="18"/>
          <w:lang w:val="en-GB"/>
        </w:rPr>
      </w:pPr>
      <w:r w:rsidRPr="007C157B">
        <w:rPr>
          <w:sz w:val="18"/>
          <w:lang w:val="en-GB"/>
        </w:rPr>
        <w:t>Parallel import of medicinal product - import of a medicinal product, registered in Georgia in accordance with this Law, to the territory of Georgia from a country with a strict regulatory system in the sphere of medicinal products circulation by an importer of medicinal products that does not have contractual relations with the owner of a trade licence of medicinal products for the right to import medicinal products;</w:t>
      </w:r>
    </w:p>
    <w:p w14:paraId="1F6002F1" w14:textId="082841A3" w:rsidR="00585D81" w:rsidRPr="00D21B6B" w:rsidRDefault="00231427" w:rsidP="00944DCD">
      <w:pPr>
        <w:rPr>
          <w:lang w:val="en-GB"/>
        </w:rPr>
      </w:pPr>
      <w:r>
        <w:rPr>
          <w:lang w:val="en-GB"/>
        </w:rPr>
        <w:t xml:space="preserve">There are two possible interpretations: the first being that a product </w:t>
      </w:r>
      <w:r w:rsidR="003A1AF4">
        <w:rPr>
          <w:lang w:val="en-GB"/>
        </w:rPr>
        <w:t>is actually authorised in Georgia and also in the exporting country</w:t>
      </w:r>
      <w:r w:rsidR="00A44DA7">
        <w:rPr>
          <w:lang w:val="en-GB"/>
        </w:rPr>
        <w:t xml:space="preserve">, the second that the (reference) product is not authorised in Georgia. </w:t>
      </w:r>
      <w:r w:rsidR="0051450B">
        <w:rPr>
          <w:lang w:val="en-GB"/>
        </w:rPr>
        <w:t>The last interpretation would mean that Georgia adopts a system of unilateral recognition</w:t>
      </w:r>
      <w:r w:rsidR="007936C6">
        <w:rPr>
          <w:lang w:val="en-GB"/>
        </w:rPr>
        <w:t xml:space="preserve"> from “strictly regulated countries”. The first interpretation </w:t>
      </w:r>
      <w:r w:rsidR="00EA0C37">
        <w:rPr>
          <w:lang w:val="en-GB"/>
        </w:rPr>
        <w:t xml:space="preserve">would </w:t>
      </w:r>
      <w:r w:rsidR="00D36F2C">
        <w:rPr>
          <w:lang w:val="en-GB"/>
        </w:rPr>
        <w:t>have similarities with EU parallel import.</w:t>
      </w:r>
      <w:r w:rsidR="00411282">
        <w:rPr>
          <w:lang w:val="en-GB"/>
        </w:rPr>
        <w:t xml:space="preserve"> From the text of Article 83 appears that </w:t>
      </w:r>
      <w:r w:rsidR="001067E8">
        <w:rPr>
          <w:lang w:val="en-GB"/>
        </w:rPr>
        <w:t xml:space="preserve">indeed a sort of parallel trade to the trade of the MA holder is envisaged. </w:t>
      </w:r>
      <w:proofErr w:type="gramStart"/>
      <w:r w:rsidR="001067E8">
        <w:rPr>
          <w:lang w:val="en-GB"/>
        </w:rPr>
        <w:t>Remains the question whic</w:t>
      </w:r>
      <w:r w:rsidR="00230C3E">
        <w:rPr>
          <w:lang w:val="en-GB"/>
        </w:rPr>
        <w:t>h countries meet the criteria for having a strict regulatory system.</w:t>
      </w:r>
      <w:proofErr w:type="gramEnd"/>
      <w:r w:rsidR="00230C3E">
        <w:rPr>
          <w:lang w:val="en-GB"/>
        </w:rPr>
        <w:t xml:space="preserve"> This should be </w:t>
      </w:r>
      <w:r w:rsidR="00016582">
        <w:rPr>
          <w:lang w:val="en-GB"/>
        </w:rPr>
        <w:t xml:space="preserve">laid down in the law, or at least the criteria. </w:t>
      </w:r>
      <w:r w:rsidR="00E11B86">
        <w:rPr>
          <w:lang w:val="en-GB"/>
        </w:rPr>
        <w:t xml:space="preserve">Moreover, for other countries that EU member states this provision has to be </w:t>
      </w:r>
      <w:r w:rsidR="00032073">
        <w:rPr>
          <w:lang w:val="en-GB"/>
        </w:rPr>
        <w:t xml:space="preserve">changed allowing access for parallel trade for EU medicinal products only.  </w:t>
      </w:r>
    </w:p>
    <w:p w14:paraId="37A7ABE5" w14:textId="32592A72" w:rsidR="005D305E" w:rsidRDefault="005D305E" w:rsidP="005D305E">
      <w:pPr>
        <w:pStyle w:val="Default"/>
        <w:spacing w:after="74"/>
        <w:rPr>
          <w:rFonts w:asciiTheme="minorHAnsi" w:hAnsiTheme="minorHAnsi" w:cstheme="minorHAnsi"/>
          <w:sz w:val="22"/>
          <w:szCs w:val="22"/>
        </w:rPr>
      </w:pPr>
    </w:p>
    <w:p w14:paraId="21BE1B9A" w14:textId="41846966" w:rsidR="00540D5C" w:rsidRDefault="007A4D7D" w:rsidP="00A22D8A">
      <w:pPr>
        <w:pStyle w:val="Heading3"/>
      </w:pPr>
      <w:r>
        <w:t>4.3</w:t>
      </w:r>
      <w:r>
        <w:tab/>
        <w:t>Refer</w:t>
      </w:r>
      <w:r w:rsidR="00A22D8A">
        <w:t>ence</w:t>
      </w:r>
      <w:r>
        <w:t xml:space="preserve"> or na</w:t>
      </w:r>
      <w:r w:rsidR="00A22D8A">
        <w:t xml:space="preserve">tional legislation </w:t>
      </w:r>
    </w:p>
    <w:p w14:paraId="0FCC432D" w14:textId="34C68468" w:rsidR="00A22D8A" w:rsidRDefault="00211FF0" w:rsidP="00A22D8A">
      <w:pPr>
        <w:rPr>
          <w:lang w:val="en-GB"/>
        </w:rPr>
      </w:pPr>
      <w:r>
        <w:rPr>
          <w:lang w:val="en-GB"/>
        </w:rPr>
        <w:lastRenderedPageBreak/>
        <w:t xml:space="preserve">On many places the draft law suggests </w:t>
      </w:r>
      <w:r w:rsidR="00DE1528">
        <w:rPr>
          <w:lang w:val="en-GB"/>
        </w:rPr>
        <w:t>to adopt in</w:t>
      </w:r>
      <w:r>
        <w:rPr>
          <w:lang w:val="en-GB"/>
        </w:rPr>
        <w:t xml:space="preserve"> national</w:t>
      </w:r>
      <w:r w:rsidR="00DE1528">
        <w:rPr>
          <w:lang w:val="en-GB"/>
        </w:rPr>
        <w:t xml:space="preserve"> legislation</w:t>
      </w:r>
      <w:r w:rsidR="00D50C0F">
        <w:rPr>
          <w:lang w:val="en-GB"/>
        </w:rPr>
        <w:t xml:space="preserve"> international standards,</w:t>
      </w:r>
      <w:r w:rsidR="00DE1528">
        <w:rPr>
          <w:lang w:val="en-GB"/>
        </w:rPr>
        <w:t xml:space="preserve"> </w:t>
      </w:r>
      <w:proofErr w:type="gramStart"/>
      <w:r w:rsidR="00DE1528">
        <w:rPr>
          <w:lang w:val="en-GB"/>
        </w:rPr>
        <w:t>like  Good</w:t>
      </w:r>
      <w:proofErr w:type="gramEnd"/>
      <w:r w:rsidR="00DE1528">
        <w:rPr>
          <w:lang w:val="en-GB"/>
        </w:rPr>
        <w:t xml:space="preserve"> Manufacturing Practices</w:t>
      </w:r>
      <w:r w:rsidR="00A633FC">
        <w:rPr>
          <w:lang w:val="en-GB"/>
        </w:rPr>
        <w:t>, Good Clinical Practices, Good Dist</w:t>
      </w:r>
      <w:r w:rsidR="00362C11">
        <w:rPr>
          <w:lang w:val="en-GB"/>
        </w:rPr>
        <w:t>r</w:t>
      </w:r>
      <w:r w:rsidR="00A633FC">
        <w:rPr>
          <w:lang w:val="en-GB"/>
        </w:rPr>
        <w:t xml:space="preserve">ibution Practices and </w:t>
      </w:r>
      <w:r w:rsidR="00362C11">
        <w:rPr>
          <w:lang w:val="en-GB"/>
        </w:rPr>
        <w:t>Good Vigilance Practices.</w:t>
      </w:r>
      <w:r w:rsidR="00546FC9">
        <w:rPr>
          <w:rStyle w:val="FootnoteReference"/>
          <w:lang w:val="en-GB"/>
        </w:rPr>
        <w:footnoteReference w:id="11"/>
      </w:r>
      <w:r w:rsidR="00362C11">
        <w:rPr>
          <w:lang w:val="en-GB"/>
        </w:rPr>
        <w:t xml:space="preserve"> This is not legally correct</w:t>
      </w:r>
      <w:r w:rsidR="005D60BE">
        <w:rPr>
          <w:lang w:val="en-GB"/>
        </w:rPr>
        <w:t>: the choice is either to have national standards that can be based upon/inspired by international standards</w:t>
      </w:r>
      <w:r w:rsidR="00F661DA">
        <w:rPr>
          <w:lang w:val="en-GB"/>
        </w:rPr>
        <w:t xml:space="preserve">, or adoption by reference. If the Georgian law </w:t>
      </w:r>
      <w:r w:rsidR="000D7822">
        <w:rPr>
          <w:lang w:val="en-GB"/>
        </w:rPr>
        <w:t xml:space="preserve">orders the Georgian government to adopt an international standard as national legislation chances are that two versions of the standard apply in Georgia in case the international standard is amended. </w:t>
      </w:r>
      <w:r w:rsidR="009E1E07">
        <w:rPr>
          <w:lang w:val="en-GB"/>
        </w:rPr>
        <w:t>This is prevented if one of the two choices is made.</w:t>
      </w:r>
    </w:p>
    <w:p w14:paraId="3ED25622" w14:textId="44963C9D" w:rsidR="004437B0" w:rsidRPr="00211FF0" w:rsidRDefault="004437B0" w:rsidP="00A22D8A">
      <w:pPr>
        <w:rPr>
          <w:lang w:val="en-GB"/>
        </w:rPr>
      </w:pPr>
      <w:r>
        <w:rPr>
          <w:lang w:val="en-GB"/>
        </w:rPr>
        <w:t xml:space="preserve">Another risk of </w:t>
      </w:r>
      <w:r w:rsidR="0056169B">
        <w:rPr>
          <w:lang w:val="en-GB"/>
        </w:rPr>
        <w:t xml:space="preserve">duplication is the Listing of all executive </w:t>
      </w:r>
      <w:r w:rsidR="000762C6">
        <w:rPr>
          <w:lang w:val="en-GB"/>
        </w:rPr>
        <w:t xml:space="preserve">implementing legislation in the end of the law, next to the delegation provision </w:t>
      </w:r>
    </w:p>
    <w:p w14:paraId="6450D3D8" w14:textId="77777777" w:rsidR="005D305E" w:rsidRPr="003E4D35" w:rsidRDefault="005D305E" w:rsidP="005D305E">
      <w:pPr>
        <w:rPr>
          <w:rFonts w:cstheme="minorHAnsi"/>
          <w:lang w:val="en-GB"/>
        </w:rPr>
      </w:pPr>
    </w:p>
    <w:p w14:paraId="0BDBF99C" w14:textId="1F676EA3" w:rsidR="005D305E" w:rsidRPr="003E4D35" w:rsidRDefault="00843F48" w:rsidP="00135004">
      <w:pPr>
        <w:pStyle w:val="Heading2"/>
        <w:numPr>
          <w:ilvl w:val="0"/>
          <w:numId w:val="3"/>
        </w:numPr>
        <w:rPr>
          <w:lang w:val="en-GB"/>
        </w:rPr>
      </w:pPr>
      <w:r>
        <w:rPr>
          <w:lang w:val="en-GB"/>
        </w:rPr>
        <w:t>recommendation</w:t>
      </w:r>
      <w:r w:rsidR="005D305E" w:rsidRPr="003E4D35">
        <w:rPr>
          <w:lang w:val="en-GB"/>
        </w:rPr>
        <w:t xml:space="preserve">s for improvement   </w:t>
      </w:r>
    </w:p>
    <w:p w14:paraId="11CF2A77" w14:textId="3133B930" w:rsidR="00843F48" w:rsidRDefault="00843F48" w:rsidP="00843F48">
      <w:pPr>
        <w:pStyle w:val="Heading3"/>
        <w:rPr>
          <w:lang w:val="en-GB"/>
        </w:rPr>
      </w:pPr>
      <w:r>
        <w:rPr>
          <w:lang w:val="en-GB"/>
        </w:rPr>
        <w:t>5.1</w:t>
      </w:r>
      <w:r>
        <w:rPr>
          <w:lang w:val="en-GB"/>
        </w:rPr>
        <w:tab/>
        <w:t>General issues</w:t>
      </w:r>
    </w:p>
    <w:p w14:paraId="2854429A" w14:textId="78DB3E09" w:rsidR="00D636C0" w:rsidRPr="00D636C0" w:rsidRDefault="00D636C0" w:rsidP="00D636C0">
      <w:pPr>
        <w:pStyle w:val="Heading4"/>
        <w:rPr>
          <w:lang w:val="en-GB"/>
        </w:rPr>
      </w:pPr>
      <w:r>
        <w:rPr>
          <w:lang w:val="en-GB"/>
        </w:rPr>
        <w:t>5.1.1</w:t>
      </w:r>
      <w:r>
        <w:rPr>
          <w:lang w:val="en-GB"/>
        </w:rPr>
        <w:tab/>
        <w:t>Size</w:t>
      </w:r>
    </w:p>
    <w:p w14:paraId="50400A90" w14:textId="77777777" w:rsidR="00B51652" w:rsidRDefault="00843F48" w:rsidP="005D305E">
      <w:pPr>
        <w:rPr>
          <w:lang w:val="en-GB"/>
        </w:rPr>
      </w:pPr>
      <w:r>
        <w:rPr>
          <w:lang w:val="en-GB"/>
        </w:rPr>
        <w:t xml:space="preserve">The draft law is very comprehensive and this also the weakness. </w:t>
      </w:r>
      <w:r w:rsidR="00A05B2E">
        <w:rPr>
          <w:lang w:val="en-GB"/>
        </w:rPr>
        <w:t xml:space="preserve">The legal provisions are not very accessible for the users of the law and there may well be conflicting provisions in the draft. </w:t>
      </w:r>
      <w:r w:rsidR="004437B0">
        <w:rPr>
          <w:lang w:val="en-GB"/>
        </w:rPr>
        <w:t xml:space="preserve">I have read the document about a dozen times and have still not been able to get completely familiar with all the provisions. </w:t>
      </w:r>
      <w:r w:rsidR="008A0706">
        <w:rPr>
          <w:lang w:val="en-GB"/>
        </w:rPr>
        <w:t xml:space="preserve">It is also very complicated to go from article 1 with the definitions and return to </w:t>
      </w:r>
      <w:r w:rsidR="00021A7F">
        <w:rPr>
          <w:lang w:val="en-GB"/>
        </w:rPr>
        <w:t>the norms, because of the number of definitions and pages of the document.</w:t>
      </w:r>
    </w:p>
    <w:p w14:paraId="445FEB13" w14:textId="6B18A461" w:rsidR="00843F48" w:rsidRDefault="00B51652" w:rsidP="00B51652">
      <w:pPr>
        <w:pStyle w:val="Heading4"/>
        <w:rPr>
          <w:lang w:val="en-GB"/>
        </w:rPr>
      </w:pPr>
      <w:r>
        <w:rPr>
          <w:lang w:val="en-GB"/>
        </w:rPr>
        <w:t>5.1.2</w:t>
      </w:r>
      <w:r>
        <w:rPr>
          <w:lang w:val="en-GB"/>
        </w:rPr>
        <w:tab/>
        <w:t>Scope</w:t>
      </w:r>
      <w:r w:rsidR="004437B0">
        <w:rPr>
          <w:lang w:val="en-GB"/>
        </w:rPr>
        <w:t xml:space="preserve"> </w:t>
      </w:r>
    </w:p>
    <w:p w14:paraId="6FC8A2E3" w14:textId="53A62906" w:rsidR="00206966" w:rsidRDefault="00B63E4A" w:rsidP="005D305E">
      <w:pPr>
        <w:rPr>
          <w:lang w:val="en-GB"/>
        </w:rPr>
      </w:pPr>
      <w:r>
        <w:rPr>
          <w:lang w:val="en-GB"/>
        </w:rPr>
        <w:t xml:space="preserve">I recommend </w:t>
      </w:r>
      <w:proofErr w:type="gramStart"/>
      <w:r>
        <w:rPr>
          <w:lang w:val="en-GB"/>
        </w:rPr>
        <w:t>to limit</w:t>
      </w:r>
      <w:proofErr w:type="gramEnd"/>
      <w:r>
        <w:rPr>
          <w:lang w:val="en-GB"/>
        </w:rPr>
        <w:t xml:space="preserve"> the scope of this law to what is regulated in the EU by Directive 2001/83/</w:t>
      </w:r>
      <w:r w:rsidR="00DF131D">
        <w:rPr>
          <w:lang w:val="en-GB"/>
        </w:rPr>
        <w:t>EC and Regulation (EC) no 726/2014</w:t>
      </w:r>
      <w:r w:rsidR="00FD3986">
        <w:rPr>
          <w:lang w:val="en-GB"/>
        </w:rPr>
        <w:t xml:space="preserve">. The topics of Orphan Medicinal products, Supplementary Protection Certificate </w:t>
      </w:r>
      <w:r w:rsidR="00B51652">
        <w:rPr>
          <w:lang w:val="en-GB"/>
        </w:rPr>
        <w:t xml:space="preserve">and – most – important clinical research </w:t>
      </w:r>
      <w:r w:rsidR="00E87A60">
        <w:rPr>
          <w:lang w:val="en-GB"/>
        </w:rPr>
        <w:t xml:space="preserve">can be better regulated in separate legislation. This would improve </w:t>
      </w:r>
      <w:r w:rsidR="006D5E97">
        <w:rPr>
          <w:lang w:val="en-GB"/>
        </w:rPr>
        <w:t>readability, accessibility and clarity of each of the legal documents.</w:t>
      </w:r>
    </w:p>
    <w:p w14:paraId="39A59889" w14:textId="0B7D64FC" w:rsidR="00B65EE5" w:rsidRDefault="00B65EE5" w:rsidP="00B65EE5">
      <w:pPr>
        <w:pStyle w:val="Heading4"/>
        <w:rPr>
          <w:lang w:val="en-GB"/>
        </w:rPr>
      </w:pPr>
      <w:r>
        <w:rPr>
          <w:lang w:val="en-GB"/>
        </w:rPr>
        <w:t>5.1.3</w:t>
      </w:r>
      <w:r>
        <w:rPr>
          <w:lang w:val="en-GB"/>
        </w:rPr>
        <w:tab/>
        <w:t>Structure</w:t>
      </w:r>
    </w:p>
    <w:p w14:paraId="6497D86F" w14:textId="135DD00A" w:rsidR="00B65EE5" w:rsidRDefault="00B65EE5" w:rsidP="00B65EE5">
      <w:pPr>
        <w:rPr>
          <w:lang w:val="en-GB"/>
        </w:rPr>
      </w:pPr>
      <w:r>
        <w:rPr>
          <w:lang w:val="en-GB"/>
        </w:rPr>
        <w:t xml:space="preserve">Improvements may be made to the structure of the draft. </w:t>
      </w:r>
      <w:r w:rsidR="001D3466">
        <w:rPr>
          <w:lang w:val="en-GB"/>
        </w:rPr>
        <w:t xml:space="preserve">An important </w:t>
      </w:r>
      <w:r w:rsidR="003C5678">
        <w:rPr>
          <w:lang w:val="en-GB"/>
        </w:rPr>
        <w:t xml:space="preserve">issue in this perspective are the definitions. These should all be reconsidered for their need. Definitions </w:t>
      </w:r>
      <w:r w:rsidR="00C86F4C">
        <w:rPr>
          <w:lang w:val="en-GB"/>
        </w:rPr>
        <w:t xml:space="preserve">should serve as a method for shortening the text of </w:t>
      </w:r>
      <w:proofErr w:type="gramStart"/>
      <w:r w:rsidR="00C86F4C">
        <w:rPr>
          <w:lang w:val="en-GB"/>
        </w:rPr>
        <w:t>a legislation</w:t>
      </w:r>
      <w:proofErr w:type="gramEnd"/>
      <w:r w:rsidR="00C86F4C">
        <w:rPr>
          <w:lang w:val="en-GB"/>
        </w:rPr>
        <w:t xml:space="preserve"> or as </w:t>
      </w:r>
      <w:r w:rsidR="00BA5FF3">
        <w:rPr>
          <w:lang w:val="en-GB"/>
        </w:rPr>
        <w:t xml:space="preserve">clarifier of the scope of provisions or the law as a whole. </w:t>
      </w:r>
      <w:r w:rsidR="00404170">
        <w:rPr>
          <w:lang w:val="en-GB"/>
        </w:rPr>
        <w:t>And they should not contain a norm.</w:t>
      </w:r>
    </w:p>
    <w:p w14:paraId="1102BC25" w14:textId="0D75B747" w:rsidR="00BC5495" w:rsidRDefault="00BC5495" w:rsidP="00B65EE5">
      <w:pPr>
        <w:rPr>
          <w:lang w:val="en-GB"/>
        </w:rPr>
      </w:pPr>
      <w:r>
        <w:rPr>
          <w:lang w:val="en-GB"/>
        </w:rPr>
        <w:t xml:space="preserve">Furthermore, </w:t>
      </w:r>
      <w:r w:rsidR="001C7926">
        <w:rPr>
          <w:lang w:val="en-GB"/>
        </w:rPr>
        <w:t xml:space="preserve">articles should have a reasonable size and not </w:t>
      </w:r>
      <w:r w:rsidR="00964425">
        <w:rPr>
          <w:lang w:val="en-GB"/>
        </w:rPr>
        <w:t xml:space="preserve">be too extensive. </w:t>
      </w:r>
      <w:r w:rsidR="00DD41F5">
        <w:rPr>
          <w:lang w:val="en-GB"/>
        </w:rPr>
        <w:t xml:space="preserve">To have one provision regulating the complete full dossier application </w:t>
      </w:r>
      <w:r w:rsidR="00D82806">
        <w:rPr>
          <w:lang w:val="en-GB"/>
        </w:rPr>
        <w:t xml:space="preserve">does not deliver transparency of the legislation. </w:t>
      </w:r>
    </w:p>
    <w:p w14:paraId="61CF9F8A" w14:textId="35B9B177" w:rsidR="00023286" w:rsidRDefault="00023286" w:rsidP="00E367C1">
      <w:pPr>
        <w:pStyle w:val="Heading4"/>
        <w:rPr>
          <w:lang w:val="en-GB"/>
        </w:rPr>
      </w:pPr>
      <w:r>
        <w:rPr>
          <w:lang w:val="en-GB"/>
        </w:rPr>
        <w:t>5.1.4</w:t>
      </w:r>
      <w:r>
        <w:rPr>
          <w:lang w:val="en-GB"/>
        </w:rPr>
        <w:tab/>
      </w:r>
      <w:r w:rsidR="000A1BAE">
        <w:rPr>
          <w:lang w:val="en-GB"/>
        </w:rPr>
        <w:t>redundancies and repetition</w:t>
      </w:r>
      <w:r w:rsidR="00E367C1">
        <w:rPr>
          <w:lang w:val="en-GB"/>
        </w:rPr>
        <w:t>s</w:t>
      </w:r>
    </w:p>
    <w:p w14:paraId="2FD9FE05" w14:textId="2DF8BF6D" w:rsidR="00E367C1" w:rsidRPr="00E367C1" w:rsidRDefault="00D82806" w:rsidP="00E367C1">
      <w:pPr>
        <w:rPr>
          <w:lang w:val="en-GB"/>
        </w:rPr>
      </w:pPr>
      <w:r>
        <w:rPr>
          <w:lang w:val="en-GB"/>
        </w:rPr>
        <w:t xml:space="preserve">Check the draft for </w:t>
      </w:r>
      <w:r w:rsidR="006E64E5">
        <w:rPr>
          <w:lang w:val="en-GB"/>
        </w:rPr>
        <w:t xml:space="preserve">provisions without legal effect. They should not be in the draft law. </w:t>
      </w:r>
      <w:r w:rsidR="00700159">
        <w:rPr>
          <w:lang w:val="en-GB"/>
        </w:rPr>
        <w:t xml:space="preserve">Avoid repeating similar lists of dossier requirements or submissions. Instead, </w:t>
      </w:r>
      <w:r w:rsidR="00AF7DFE">
        <w:rPr>
          <w:lang w:val="en-GB"/>
        </w:rPr>
        <w:t xml:space="preserve">give these provisions once and focus on differences for </w:t>
      </w:r>
      <w:r w:rsidR="007F6C88">
        <w:rPr>
          <w:lang w:val="en-GB"/>
        </w:rPr>
        <w:t>specific different procedures.</w:t>
      </w:r>
    </w:p>
    <w:p w14:paraId="5204067A" w14:textId="09B29935" w:rsidR="00807107" w:rsidRDefault="00807107" w:rsidP="00807107">
      <w:pPr>
        <w:pStyle w:val="Heading3"/>
        <w:rPr>
          <w:lang w:val="en-GB"/>
        </w:rPr>
      </w:pPr>
      <w:r>
        <w:rPr>
          <w:lang w:val="en-GB"/>
        </w:rPr>
        <w:t>5.2</w:t>
      </w:r>
      <w:r>
        <w:rPr>
          <w:lang w:val="en-GB"/>
        </w:rPr>
        <w:tab/>
        <w:t>Legal issues</w:t>
      </w:r>
    </w:p>
    <w:p w14:paraId="23AC2F9E" w14:textId="53E24738" w:rsidR="009F404D" w:rsidRDefault="009F404D" w:rsidP="00B11887">
      <w:pPr>
        <w:pStyle w:val="Heading4"/>
        <w:rPr>
          <w:lang w:val="en-GB"/>
        </w:rPr>
      </w:pPr>
      <w:r>
        <w:rPr>
          <w:lang w:val="en-GB"/>
        </w:rPr>
        <w:t>5.2.1</w:t>
      </w:r>
      <w:r>
        <w:rPr>
          <w:lang w:val="en-GB"/>
        </w:rPr>
        <w:tab/>
        <w:t>attribution: the Agency and other authorities</w:t>
      </w:r>
    </w:p>
    <w:p w14:paraId="222D302E" w14:textId="77777777" w:rsidR="000B72B1" w:rsidRDefault="00B11887" w:rsidP="00B11887">
      <w:pPr>
        <w:rPr>
          <w:lang w:val="en-GB"/>
        </w:rPr>
      </w:pPr>
      <w:r>
        <w:rPr>
          <w:lang w:val="en-GB"/>
        </w:rPr>
        <w:lastRenderedPageBreak/>
        <w:t xml:space="preserve">As stipulated before, it is </w:t>
      </w:r>
      <w:r w:rsidR="00222B65">
        <w:rPr>
          <w:lang w:val="en-GB"/>
        </w:rPr>
        <w:t xml:space="preserve">both under EU law and under GRP necessary to </w:t>
      </w:r>
      <w:r w:rsidR="00C12EAD">
        <w:rPr>
          <w:lang w:val="en-GB"/>
        </w:rPr>
        <w:t xml:space="preserve">establish the competent authorities and their powers on the level of the parliamentary act. </w:t>
      </w:r>
      <w:r w:rsidR="008A7BCD">
        <w:rPr>
          <w:lang w:val="en-GB"/>
        </w:rPr>
        <w:t>In order to guarantee current and future impartiality and to avoid conflicts of interest</w:t>
      </w:r>
      <w:r w:rsidR="009A0E6C">
        <w:rPr>
          <w:lang w:val="en-GB"/>
        </w:rPr>
        <w:t>, the law should decide on eligibility of membership and employment of the agency as well a</w:t>
      </w:r>
      <w:r w:rsidR="00813CF3">
        <w:rPr>
          <w:lang w:val="en-GB"/>
        </w:rPr>
        <w:t xml:space="preserve">s give the procedural instruments. Furthermore, the Agency should take their decisions </w:t>
      </w:r>
      <w:r w:rsidR="00727D6E">
        <w:rPr>
          <w:lang w:val="en-GB"/>
        </w:rPr>
        <w:t xml:space="preserve">independent from politicians. Therefore, staffing and budget have to be guaranteed without any influence by ministers and other </w:t>
      </w:r>
      <w:r w:rsidR="00642A5C">
        <w:rPr>
          <w:lang w:val="en-GB"/>
        </w:rPr>
        <w:t>politicians on the scientific evaluations and decisions.</w:t>
      </w:r>
    </w:p>
    <w:p w14:paraId="609D9C3E" w14:textId="77777777" w:rsidR="00CA1FAE" w:rsidRDefault="000B72B1" w:rsidP="00CA1FAE">
      <w:pPr>
        <w:pStyle w:val="Heading4"/>
        <w:rPr>
          <w:lang w:val="en-GB"/>
        </w:rPr>
      </w:pPr>
      <w:r>
        <w:rPr>
          <w:lang w:val="en-GB"/>
        </w:rPr>
        <w:t>5.2.2</w:t>
      </w:r>
      <w:r>
        <w:rPr>
          <w:lang w:val="en-GB"/>
        </w:rPr>
        <w:tab/>
        <w:t xml:space="preserve">Delegation and </w:t>
      </w:r>
      <w:r w:rsidR="00CA1FAE">
        <w:rPr>
          <w:lang w:val="en-GB"/>
        </w:rPr>
        <w:t>soft law</w:t>
      </w:r>
    </w:p>
    <w:p w14:paraId="72C6B395" w14:textId="11AE5249" w:rsidR="00A4222D" w:rsidRDefault="00CA1FAE" w:rsidP="00CA1FAE">
      <w:pPr>
        <w:rPr>
          <w:lang w:val="en-GB"/>
        </w:rPr>
      </w:pPr>
      <w:r>
        <w:rPr>
          <w:lang w:val="en-GB"/>
        </w:rPr>
        <w:t xml:space="preserve">For reasons of flexibility and ease of use </w:t>
      </w:r>
      <w:r w:rsidR="00BB6101">
        <w:rPr>
          <w:lang w:val="en-GB"/>
        </w:rPr>
        <w:t>delegation and soft law may</w:t>
      </w:r>
      <w:r>
        <w:rPr>
          <w:lang w:val="en-GB"/>
        </w:rPr>
        <w:t xml:space="preserve"> be used for everything that is </w:t>
      </w:r>
      <w:r w:rsidR="00941B54">
        <w:rPr>
          <w:lang w:val="en-GB"/>
        </w:rPr>
        <w:t xml:space="preserve">not essential to the law. The legislator should adopt clear instructions for the </w:t>
      </w:r>
      <w:proofErr w:type="spellStart"/>
      <w:r w:rsidR="00941B54">
        <w:rPr>
          <w:lang w:val="en-GB"/>
        </w:rPr>
        <w:t>delegate</w:t>
      </w:r>
      <w:r w:rsidR="008A6D46">
        <w:rPr>
          <w:lang w:val="en-GB"/>
        </w:rPr>
        <w:t>e</w:t>
      </w:r>
      <w:proofErr w:type="spellEnd"/>
      <w:r w:rsidR="008A6D46">
        <w:rPr>
          <w:lang w:val="en-GB"/>
        </w:rPr>
        <w:t xml:space="preserve"> to maintain the legal framework of the law. Sometimes instead of hard law </w:t>
      </w:r>
      <w:r w:rsidR="00F54E63">
        <w:rPr>
          <w:lang w:val="en-GB"/>
        </w:rPr>
        <w:t xml:space="preserve">guidelines can be used, to assist stakeholders in communicating with the authorities. These guidelines </w:t>
      </w:r>
      <w:r w:rsidR="00D83C1D">
        <w:rPr>
          <w:lang w:val="en-GB"/>
        </w:rPr>
        <w:t>are not laws, but any deviation by either applicants or holders and the competent authority have to be motivated.</w:t>
      </w:r>
    </w:p>
    <w:p w14:paraId="69F6C386" w14:textId="2344D6B5" w:rsidR="002743B6" w:rsidRDefault="00A4222D" w:rsidP="002743B6">
      <w:pPr>
        <w:pStyle w:val="Heading4"/>
        <w:rPr>
          <w:lang w:val="en-GB"/>
        </w:rPr>
      </w:pPr>
      <w:r>
        <w:rPr>
          <w:lang w:val="en-GB"/>
        </w:rPr>
        <w:t>5.2.3</w:t>
      </w:r>
      <w:r>
        <w:rPr>
          <w:lang w:val="en-GB"/>
        </w:rPr>
        <w:tab/>
      </w:r>
      <w:r w:rsidR="007F6C88">
        <w:rPr>
          <w:lang w:val="en-GB"/>
        </w:rPr>
        <w:t xml:space="preserve">legal </w:t>
      </w:r>
      <w:r w:rsidR="002743B6">
        <w:rPr>
          <w:lang w:val="en-GB"/>
        </w:rPr>
        <w:t>protection</w:t>
      </w:r>
    </w:p>
    <w:p w14:paraId="22ED96C7" w14:textId="24CC9ECB" w:rsidR="002743B6" w:rsidRDefault="00725073" w:rsidP="002743B6">
      <w:pPr>
        <w:rPr>
          <w:lang w:val="en-GB"/>
        </w:rPr>
      </w:pPr>
      <w:r>
        <w:rPr>
          <w:lang w:val="en-GB"/>
        </w:rPr>
        <w:t xml:space="preserve">The </w:t>
      </w:r>
      <w:r w:rsidR="008C7D38">
        <w:rPr>
          <w:lang w:val="en-GB"/>
        </w:rPr>
        <w:t>Eur</w:t>
      </w:r>
      <w:r w:rsidR="00E53C33">
        <w:rPr>
          <w:lang w:val="en-GB"/>
        </w:rPr>
        <w:t>opean C</w:t>
      </w:r>
      <w:r w:rsidR="00C71585">
        <w:rPr>
          <w:lang w:val="en-GB"/>
        </w:rPr>
        <w:t>harter</w:t>
      </w:r>
      <w:r w:rsidR="00E53C33">
        <w:rPr>
          <w:lang w:val="en-GB"/>
        </w:rPr>
        <w:t xml:space="preserve"> o</w:t>
      </w:r>
      <w:r w:rsidR="00C71585">
        <w:rPr>
          <w:lang w:val="en-GB"/>
        </w:rPr>
        <w:t>f</w:t>
      </w:r>
      <w:r w:rsidR="00E53C33">
        <w:rPr>
          <w:lang w:val="en-GB"/>
        </w:rPr>
        <w:t xml:space="preserve"> Human Rights</w:t>
      </w:r>
      <w:r w:rsidR="00C71585">
        <w:rPr>
          <w:lang w:val="en-GB"/>
        </w:rPr>
        <w:t xml:space="preserve">, article 47, </w:t>
      </w:r>
      <w:r w:rsidR="00E53C33">
        <w:rPr>
          <w:lang w:val="en-GB"/>
        </w:rPr>
        <w:t>as well as the</w:t>
      </w:r>
      <w:r w:rsidR="00E9695C">
        <w:rPr>
          <w:lang w:val="en-GB"/>
        </w:rPr>
        <w:t xml:space="preserve"> European </w:t>
      </w:r>
      <w:r w:rsidR="00B25B25">
        <w:rPr>
          <w:lang w:val="en-GB"/>
        </w:rPr>
        <w:t>Convention on Human rights</w:t>
      </w:r>
      <w:r w:rsidR="00754469">
        <w:rPr>
          <w:lang w:val="en-GB"/>
        </w:rPr>
        <w:t>,</w:t>
      </w:r>
      <w:r w:rsidR="00B25B25">
        <w:rPr>
          <w:lang w:val="en-GB"/>
        </w:rPr>
        <w:t xml:space="preserve"> article 6</w:t>
      </w:r>
      <w:proofErr w:type="gramStart"/>
      <w:r w:rsidR="00B25B25">
        <w:rPr>
          <w:lang w:val="en-GB"/>
        </w:rPr>
        <w:t>,</w:t>
      </w:r>
      <w:r w:rsidR="00C1687E">
        <w:rPr>
          <w:lang w:val="en-GB"/>
        </w:rPr>
        <w:t xml:space="preserve"> </w:t>
      </w:r>
      <w:r w:rsidR="00754469">
        <w:rPr>
          <w:lang w:val="en-GB"/>
        </w:rPr>
        <w:t xml:space="preserve"> guarantee</w:t>
      </w:r>
      <w:proofErr w:type="gramEnd"/>
      <w:r w:rsidR="00754469">
        <w:rPr>
          <w:lang w:val="en-GB"/>
        </w:rPr>
        <w:t xml:space="preserve"> a</w:t>
      </w:r>
      <w:r w:rsidR="008B04FC">
        <w:rPr>
          <w:lang w:val="en-GB"/>
        </w:rPr>
        <w:t>n effect</w:t>
      </w:r>
      <w:r w:rsidR="00C1687E">
        <w:rPr>
          <w:lang w:val="en-GB"/>
        </w:rPr>
        <w:t>ive</w:t>
      </w:r>
      <w:r w:rsidR="008B04FC">
        <w:rPr>
          <w:lang w:val="en-GB"/>
        </w:rPr>
        <w:t xml:space="preserve"> remedy and a</w:t>
      </w:r>
      <w:r w:rsidR="00754469">
        <w:rPr>
          <w:lang w:val="en-GB"/>
        </w:rPr>
        <w:t xml:space="preserve"> fair trial</w:t>
      </w:r>
      <w:r w:rsidR="00C1687E">
        <w:rPr>
          <w:lang w:val="en-GB"/>
        </w:rPr>
        <w:t xml:space="preserve"> </w:t>
      </w:r>
      <w:r w:rsidR="00C160BF">
        <w:rPr>
          <w:lang w:val="en-GB"/>
        </w:rPr>
        <w:t xml:space="preserve">for everyone </w:t>
      </w:r>
      <w:r w:rsidR="00186145">
        <w:rPr>
          <w:lang w:val="en-GB"/>
        </w:rPr>
        <w:t xml:space="preserve">whose interests are </w:t>
      </w:r>
      <w:r w:rsidR="00B67E8F">
        <w:rPr>
          <w:lang w:val="en-GB"/>
        </w:rPr>
        <w:t xml:space="preserve">affected by a decision of a competent authority. </w:t>
      </w:r>
      <w:r w:rsidR="00D36031">
        <w:rPr>
          <w:lang w:val="en-GB"/>
        </w:rPr>
        <w:t xml:space="preserve">This means that the applicant and third parties </w:t>
      </w:r>
      <w:r w:rsidR="00CA64A7">
        <w:rPr>
          <w:lang w:val="en-GB"/>
        </w:rPr>
        <w:t xml:space="preserve">whose interests are at stake in a regulatory decision should be enabled to </w:t>
      </w:r>
      <w:r w:rsidR="00A4747A">
        <w:rPr>
          <w:lang w:val="en-GB"/>
        </w:rPr>
        <w:t>bring his case before a judge or court. This should be an element of pharmace</w:t>
      </w:r>
      <w:r w:rsidR="009C7BA1">
        <w:rPr>
          <w:lang w:val="en-GB"/>
        </w:rPr>
        <w:t xml:space="preserve">utical legislation. </w:t>
      </w:r>
      <w:r w:rsidR="00B67E8F">
        <w:rPr>
          <w:lang w:val="en-GB"/>
        </w:rPr>
        <w:t xml:space="preserve"> </w:t>
      </w:r>
      <w:r w:rsidR="00754469">
        <w:rPr>
          <w:lang w:val="en-GB"/>
        </w:rPr>
        <w:t xml:space="preserve"> </w:t>
      </w:r>
    </w:p>
    <w:p w14:paraId="58F49CF9" w14:textId="1653AA50" w:rsidR="00652678" w:rsidRDefault="00095E0A" w:rsidP="00095E0A">
      <w:pPr>
        <w:pStyle w:val="Heading3"/>
        <w:rPr>
          <w:lang w:val="en-GB"/>
        </w:rPr>
      </w:pPr>
      <w:r>
        <w:rPr>
          <w:lang w:val="en-GB"/>
        </w:rPr>
        <w:t>5.3</w:t>
      </w:r>
      <w:r>
        <w:rPr>
          <w:lang w:val="en-GB"/>
        </w:rPr>
        <w:tab/>
        <w:t>practical recommendations</w:t>
      </w:r>
    </w:p>
    <w:p w14:paraId="22B9746A" w14:textId="69B3B345" w:rsidR="00095E0A" w:rsidRPr="00095E0A" w:rsidRDefault="00CF2175" w:rsidP="00095E0A">
      <w:pPr>
        <w:rPr>
          <w:lang w:val="en-GB"/>
        </w:rPr>
      </w:pPr>
      <w:r>
        <w:rPr>
          <w:lang w:val="en-GB"/>
        </w:rPr>
        <w:t>In the attached version of the draft law comments</w:t>
      </w:r>
      <w:r w:rsidR="00072C06">
        <w:rPr>
          <w:lang w:val="en-GB"/>
        </w:rPr>
        <w:t xml:space="preserve"> are given that are self-explanatory.  </w:t>
      </w:r>
      <w:r w:rsidR="008C57F9">
        <w:rPr>
          <w:lang w:val="en-GB"/>
        </w:rPr>
        <w:t xml:space="preserve">Please do not hesitate to </w:t>
      </w:r>
      <w:r w:rsidR="00C90F0A">
        <w:rPr>
          <w:lang w:val="en-GB"/>
        </w:rPr>
        <w:t>refer to the comments and ask for clarification.</w:t>
      </w:r>
    </w:p>
    <w:p w14:paraId="2AD31AB8" w14:textId="0A1886C4" w:rsidR="00B11887" w:rsidRPr="00B11887" w:rsidRDefault="00642A5C" w:rsidP="002743B6">
      <w:pPr>
        <w:pStyle w:val="Heading3"/>
        <w:rPr>
          <w:lang w:val="en-GB"/>
        </w:rPr>
      </w:pPr>
      <w:r>
        <w:rPr>
          <w:lang w:val="en-GB"/>
        </w:rPr>
        <w:t xml:space="preserve"> </w:t>
      </w:r>
    </w:p>
    <w:p w14:paraId="7682EA91" w14:textId="2DF15282" w:rsidR="008E3F16" w:rsidRDefault="008E3F16" w:rsidP="003E4D35">
      <w:pPr>
        <w:rPr>
          <w:lang w:val="en-GB"/>
        </w:rPr>
      </w:pPr>
    </w:p>
    <w:p w14:paraId="1DF7030B" w14:textId="10CD165A" w:rsidR="00C90F0A" w:rsidRPr="003E4D35" w:rsidRDefault="00C90F0A" w:rsidP="003E4D35">
      <w:pPr>
        <w:rPr>
          <w:lang w:val="en-GB"/>
        </w:rPr>
      </w:pPr>
      <w:proofErr w:type="gramStart"/>
      <w:r>
        <w:rPr>
          <w:lang w:val="en-GB"/>
        </w:rPr>
        <w:t>11 November 2018, John Lisman.</w:t>
      </w:r>
      <w:proofErr w:type="gramEnd"/>
    </w:p>
    <w:p w14:paraId="31E6CD8E" w14:textId="77777777" w:rsidR="008C2633" w:rsidRDefault="008C2633" w:rsidP="00DF1650">
      <w:pPr>
        <w:rPr>
          <w:rStyle w:val="Heading1Char"/>
          <w:lang w:val="en-US"/>
        </w:rPr>
      </w:pPr>
    </w:p>
    <w:p w14:paraId="5AF00432" w14:textId="77777777" w:rsidR="009D7CB1" w:rsidRDefault="009D7CB1" w:rsidP="00DF1650">
      <w:pPr>
        <w:rPr>
          <w:rStyle w:val="Heading1Char"/>
          <w:lang w:val="en-US"/>
        </w:rPr>
      </w:pPr>
    </w:p>
    <w:p w14:paraId="09A3F710" w14:textId="77777777" w:rsidR="009D7CB1" w:rsidRDefault="009D7CB1" w:rsidP="00DF1650">
      <w:pPr>
        <w:rPr>
          <w:rStyle w:val="Heading1Char"/>
          <w:lang w:val="en-US"/>
        </w:rPr>
      </w:pPr>
    </w:p>
    <w:p w14:paraId="181F4D00" w14:textId="77777777" w:rsidR="009D7CB1" w:rsidRDefault="009D7CB1" w:rsidP="00DF1650">
      <w:pPr>
        <w:rPr>
          <w:rStyle w:val="Heading1Char"/>
          <w:lang w:val="en-US"/>
        </w:rPr>
      </w:pPr>
    </w:p>
    <w:p w14:paraId="55386243" w14:textId="77777777" w:rsidR="009D7CB1" w:rsidRDefault="009D7CB1" w:rsidP="00DF1650">
      <w:pPr>
        <w:rPr>
          <w:rStyle w:val="Heading1Char"/>
          <w:lang w:val="en-US"/>
        </w:rPr>
      </w:pPr>
    </w:p>
    <w:p w14:paraId="7FF83B16" w14:textId="77777777" w:rsidR="009D7CB1" w:rsidRDefault="009D7CB1" w:rsidP="00DF1650">
      <w:pPr>
        <w:rPr>
          <w:rStyle w:val="Heading1Char"/>
          <w:lang w:val="en-US"/>
        </w:rPr>
      </w:pPr>
    </w:p>
    <w:p w14:paraId="1D3EC49B" w14:textId="77777777" w:rsidR="009D7CB1" w:rsidRDefault="009D7CB1" w:rsidP="00DF1650">
      <w:pPr>
        <w:rPr>
          <w:rStyle w:val="Heading1Char"/>
          <w:lang w:val="en-US"/>
        </w:rPr>
      </w:pPr>
    </w:p>
    <w:p w14:paraId="36685640" w14:textId="4C410D95" w:rsidR="00DF1650" w:rsidRDefault="00DF1650" w:rsidP="00DF1650">
      <w:pPr>
        <w:rPr>
          <w:lang w:val="en-US"/>
        </w:rPr>
      </w:pPr>
    </w:p>
    <w:sectPr w:rsidR="00DF16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781F" w14:textId="77777777" w:rsidR="007D6C17" w:rsidRDefault="007D6C17" w:rsidP="00340894">
      <w:pPr>
        <w:spacing w:before="0" w:after="0" w:line="240" w:lineRule="auto"/>
      </w:pPr>
      <w:r>
        <w:separator/>
      </w:r>
    </w:p>
  </w:endnote>
  <w:endnote w:type="continuationSeparator" w:id="0">
    <w:p w14:paraId="38356427" w14:textId="77777777" w:rsidR="007D6C17" w:rsidRDefault="007D6C17" w:rsidP="003408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56092"/>
      <w:docPartObj>
        <w:docPartGallery w:val="Page Numbers (Bottom of Page)"/>
        <w:docPartUnique/>
      </w:docPartObj>
    </w:sdtPr>
    <w:sdtEndPr/>
    <w:sdtContent>
      <w:p w14:paraId="0965D810" w14:textId="4E58D04C" w:rsidR="00462462" w:rsidRDefault="00462462">
        <w:pPr>
          <w:pStyle w:val="Footer"/>
          <w:jc w:val="right"/>
        </w:pPr>
        <w:r>
          <w:fldChar w:fldCharType="begin"/>
        </w:r>
        <w:r>
          <w:instrText>PAGE   \* MERGEFORMAT</w:instrText>
        </w:r>
        <w:r>
          <w:fldChar w:fldCharType="separate"/>
        </w:r>
        <w:r w:rsidR="004D483D">
          <w:rPr>
            <w:noProof/>
          </w:rPr>
          <w:t>1</w:t>
        </w:r>
        <w:r>
          <w:fldChar w:fldCharType="end"/>
        </w:r>
      </w:p>
    </w:sdtContent>
  </w:sdt>
  <w:p w14:paraId="296DD6F2" w14:textId="77777777" w:rsidR="00462462" w:rsidRDefault="0046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F1AF7" w14:textId="77777777" w:rsidR="007D6C17" w:rsidRDefault="007D6C17" w:rsidP="00340894">
      <w:pPr>
        <w:spacing w:before="0" w:after="0" w:line="240" w:lineRule="auto"/>
      </w:pPr>
      <w:r>
        <w:separator/>
      </w:r>
    </w:p>
  </w:footnote>
  <w:footnote w:type="continuationSeparator" w:id="0">
    <w:p w14:paraId="3A97A3CA" w14:textId="77777777" w:rsidR="007D6C17" w:rsidRDefault="007D6C17" w:rsidP="00340894">
      <w:pPr>
        <w:spacing w:before="0" w:after="0" w:line="240" w:lineRule="auto"/>
      </w:pPr>
      <w:r>
        <w:continuationSeparator/>
      </w:r>
    </w:p>
  </w:footnote>
  <w:footnote w:id="1">
    <w:p w14:paraId="149CB54F" w14:textId="7715C00E" w:rsidR="00F90128" w:rsidRPr="00F90128" w:rsidRDefault="00F90128">
      <w:pPr>
        <w:pStyle w:val="FootnoteText"/>
        <w:rPr>
          <w:lang w:val="en-GB"/>
        </w:rPr>
      </w:pPr>
      <w:r>
        <w:rPr>
          <w:rStyle w:val="FootnoteReference"/>
        </w:rPr>
        <w:footnoteRef/>
      </w:r>
      <w:r w:rsidRPr="00F90128">
        <w:rPr>
          <w:lang w:val="en-GB"/>
        </w:rPr>
        <w:t xml:space="preserve"> http://www.who.int/medicines/areas/regulation/Fact_sheets_01_RS_V4.3_DRAFT_clean.pdf?ua=1</w:t>
      </w:r>
    </w:p>
  </w:footnote>
  <w:footnote w:id="2">
    <w:p w14:paraId="68E9C2FF" w14:textId="10EDE8DD" w:rsidR="00FE190E" w:rsidRPr="00FE190E" w:rsidRDefault="00FE190E">
      <w:pPr>
        <w:pStyle w:val="FootnoteText"/>
        <w:rPr>
          <w:lang w:val="en-GB"/>
        </w:rPr>
      </w:pPr>
      <w:r>
        <w:rPr>
          <w:rStyle w:val="FootnoteReference"/>
        </w:rPr>
        <w:footnoteRef/>
      </w:r>
      <w:r w:rsidRPr="00FE190E">
        <w:rPr>
          <w:lang w:val="en-GB"/>
        </w:rPr>
        <w:t xml:space="preserve"> </w:t>
      </w:r>
      <w:r w:rsidR="00D17966" w:rsidRPr="00D17966">
        <w:rPr>
          <w:lang w:val="en-GB"/>
        </w:rPr>
        <w:t>http://www.who.int/medicines/regulation/Fact_sheets_02_MA_V4.3_DRAFT_clean.pdf?ua=1</w:t>
      </w:r>
    </w:p>
  </w:footnote>
  <w:footnote w:id="3">
    <w:p w14:paraId="5C765413" w14:textId="392911F0" w:rsidR="00462462" w:rsidRPr="002F69D2" w:rsidRDefault="00462462">
      <w:pPr>
        <w:pStyle w:val="FootnoteText"/>
        <w:rPr>
          <w:lang w:val="en-GB"/>
        </w:rPr>
      </w:pPr>
      <w:r>
        <w:rPr>
          <w:rStyle w:val="FootnoteReference"/>
        </w:rPr>
        <w:footnoteRef/>
      </w:r>
      <w:r w:rsidRPr="002F69D2">
        <w:rPr>
          <w:lang w:val="en-GB"/>
        </w:rPr>
        <w:t xml:space="preserve"> </w:t>
      </w:r>
      <w:r>
        <w:rPr>
          <w:lang w:val="en-GB"/>
        </w:rPr>
        <w:t xml:space="preserve">The EU legislation consists of Directive 2001/83/EC and Regulation (EC) No. 726/2004 together with many other directives and regulations on the level of the Council and the Parliament, but also delegated legislation on the level of the Commission. An overview can be found on the Commission website under the tag EUDRALEX: </w:t>
      </w:r>
      <w:hyperlink r:id="rId1" w:history="1">
        <w:r w:rsidRPr="00E73870">
          <w:rPr>
            <w:rStyle w:val="Hyperlink"/>
            <w:lang w:val="en-GB"/>
          </w:rPr>
          <w:t>http://ec.europa.eu/health/documents/eudralex/index_en.htm</w:t>
        </w:r>
      </w:hyperlink>
      <w:r>
        <w:rPr>
          <w:lang w:val="en-GB"/>
        </w:rPr>
        <w:t>.</w:t>
      </w:r>
    </w:p>
  </w:footnote>
  <w:footnote w:id="4">
    <w:p w14:paraId="5C985C22" w14:textId="77777777" w:rsidR="005D305E" w:rsidRPr="00462462" w:rsidRDefault="005D305E" w:rsidP="005D305E">
      <w:pPr>
        <w:pStyle w:val="FootnoteText"/>
        <w:rPr>
          <w:lang w:val="en-GB"/>
        </w:rPr>
      </w:pPr>
      <w:r>
        <w:rPr>
          <w:rStyle w:val="FootnoteReference"/>
        </w:rPr>
        <w:footnoteRef/>
      </w:r>
      <w:r w:rsidRPr="00462462">
        <w:rPr>
          <w:lang w:val="en-GB"/>
        </w:rPr>
        <w:t xml:space="preserve"> </w:t>
      </w:r>
      <w:r>
        <w:rPr>
          <w:lang w:val="en-GB"/>
        </w:rPr>
        <w:t xml:space="preserve">Next to the issues mentioned here, special legislation can and should be adopted with respect to Orphan medicinal products, development of medicines for children, advanced therapies, medicines derived from blood, et cetera. </w:t>
      </w:r>
    </w:p>
  </w:footnote>
  <w:footnote w:id="5">
    <w:p w14:paraId="5C135E57" w14:textId="77777777" w:rsidR="005D305E" w:rsidRPr="004D380B" w:rsidRDefault="005D305E" w:rsidP="005D305E">
      <w:pPr>
        <w:pStyle w:val="FootnoteText"/>
        <w:rPr>
          <w:lang w:val="en-GB"/>
        </w:rPr>
      </w:pPr>
      <w:r>
        <w:rPr>
          <w:rStyle w:val="FootnoteReference"/>
        </w:rPr>
        <w:footnoteRef/>
      </w:r>
      <w:r w:rsidRPr="004D380B">
        <w:rPr>
          <w:lang w:val="en-GB"/>
        </w:rPr>
        <w:t xml:space="preserve"> </w:t>
      </w:r>
      <w:r>
        <w:rPr>
          <w:lang w:val="en-GB"/>
        </w:rPr>
        <w:t xml:space="preserve">Definitions should only be included if they can function as an abbreviation for an otherwise long term or if the definition serves as a legal delimiter in the legislation. The most important function of definitions </w:t>
      </w:r>
      <w:proofErr w:type="gramStart"/>
      <w:r>
        <w:rPr>
          <w:lang w:val="en-GB"/>
        </w:rPr>
        <w:t>relate</w:t>
      </w:r>
      <w:proofErr w:type="gramEnd"/>
      <w:r>
        <w:rPr>
          <w:lang w:val="en-GB"/>
        </w:rPr>
        <w:t xml:space="preserve"> to the explanation of internal and external scope provisions. </w:t>
      </w:r>
    </w:p>
  </w:footnote>
  <w:footnote w:id="6">
    <w:p w14:paraId="6E170F36" w14:textId="77777777" w:rsidR="005D305E" w:rsidRPr="00340894" w:rsidRDefault="005D305E" w:rsidP="005D305E">
      <w:pPr>
        <w:pStyle w:val="FootnoteText"/>
        <w:rPr>
          <w:lang w:val="en-US"/>
        </w:rPr>
      </w:pPr>
      <w:r>
        <w:rPr>
          <w:rStyle w:val="FootnoteReference"/>
        </w:rPr>
        <w:footnoteRef/>
      </w:r>
      <w:r w:rsidRPr="00DD3603">
        <w:rPr>
          <w:lang w:val="en-GB"/>
        </w:rPr>
        <w:t xml:space="preserve"> </w:t>
      </w:r>
      <w:r w:rsidRPr="00340894">
        <w:rPr>
          <w:lang w:val="en-US"/>
        </w:rPr>
        <w:t>Orphan medicinal products: Reg. EC/141/2000; pediatric medicinal products</w:t>
      </w:r>
      <w:r w:rsidRPr="00DD3603">
        <w:rPr>
          <w:lang w:val="en-GB"/>
        </w:rPr>
        <w:t>: Reg. EC/1901/2006; advanced therapies: Reg. EC/1394/2007.</w:t>
      </w:r>
    </w:p>
  </w:footnote>
  <w:footnote w:id="7">
    <w:p w14:paraId="05AF8222" w14:textId="77777777" w:rsidR="005D305E" w:rsidRPr="00B86A4A" w:rsidRDefault="005D305E" w:rsidP="005D305E">
      <w:pPr>
        <w:pStyle w:val="FootnoteText"/>
        <w:rPr>
          <w:lang w:val="en-US"/>
        </w:rPr>
      </w:pPr>
      <w:r>
        <w:rPr>
          <w:rStyle w:val="FootnoteReference"/>
        </w:rPr>
        <w:footnoteRef/>
      </w:r>
      <w:r w:rsidRPr="00DD3603">
        <w:rPr>
          <w:lang w:val="en-GB"/>
        </w:rPr>
        <w:t xml:space="preserve"> </w:t>
      </w:r>
      <w:r w:rsidRPr="00B86A4A">
        <w:rPr>
          <w:lang w:val="en-US"/>
        </w:rPr>
        <w:t xml:space="preserve">A regulation is an EU law that binds natural and legal persons directly. </w:t>
      </w:r>
      <w:r w:rsidRPr="00DD3603">
        <w:rPr>
          <w:lang w:val="en-GB"/>
        </w:rPr>
        <w:t>A directive is directed at the member states and has to be transposed (implemented) into national legislation.</w:t>
      </w:r>
    </w:p>
  </w:footnote>
  <w:footnote w:id="8">
    <w:p w14:paraId="67E7DBAB" w14:textId="7F28EE44" w:rsidR="00533451" w:rsidRPr="001336A4" w:rsidRDefault="00533451">
      <w:pPr>
        <w:pStyle w:val="FootnoteText"/>
        <w:rPr>
          <w:lang w:val="en-GB"/>
        </w:rPr>
      </w:pPr>
      <w:r>
        <w:rPr>
          <w:rStyle w:val="FootnoteReference"/>
        </w:rPr>
        <w:footnoteRef/>
      </w:r>
      <w:r w:rsidRPr="001336A4">
        <w:rPr>
          <w:lang w:val="en-GB"/>
        </w:rPr>
        <w:t xml:space="preserve"> </w:t>
      </w:r>
      <w:proofErr w:type="gramStart"/>
      <w:r w:rsidR="001336A4" w:rsidRPr="001336A4">
        <w:rPr>
          <w:lang w:val="en-GB"/>
        </w:rPr>
        <w:t>A</w:t>
      </w:r>
      <w:r w:rsidR="001336A4">
        <w:rPr>
          <w:lang w:val="en-GB"/>
        </w:rPr>
        <w:t>rticl</w:t>
      </w:r>
      <w:r w:rsidR="004661C5">
        <w:rPr>
          <w:lang w:val="en-GB"/>
        </w:rPr>
        <w:t xml:space="preserve">e 13 paragraph </w:t>
      </w:r>
      <w:r w:rsidR="001872C5">
        <w:rPr>
          <w:lang w:val="en-GB"/>
        </w:rPr>
        <w:t>38.</w:t>
      </w:r>
      <w:proofErr w:type="gramEnd"/>
    </w:p>
  </w:footnote>
  <w:footnote w:id="9">
    <w:p w14:paraId="7C311457" w14:textId="21F5D9FC" w:rsidR="00291286" w:rsidRPr="00624223" w:rsidRDefault="00291286">
      <w:pPr>
        <w:pStyle w:val="FootnoteText"/>
        <w:rPr>
          <w:lang w:val="en-GB"/>
        </w:rPr>
      </w:pPr>
      <w:r>
        <w:rPr>
          <w:rStyle w:val="FootnoteReference"/>
        </w:rPr>
        <w:footnoteRef/>
      </w:r>
      <w:r w:rsidRPr="00291286">
        <w:rPr>
          <w:lang w:val="en-GB"/>
        </w:rPr>
        <w:t xml:space="preserve"> </w:t>
      </w:r>
      <w:r>
        <w:rPr>
          <w:lang w:val="en-GB"/>
        </w:rPr>
        <w:t xml:space="preserve">First ruling about parallel import: ECJ </w:t>
      </w:r>
      <w:r w:rsidR="00A102B1">
        <w:rPr>
          <w:lang w:val="en-GB"/>
        </w:rPr>
        <w:t xml:space="preserve">20 May 1976, case 104/75, </w:t>
      </w:r>
      <w:r w:rsidR="00A102B1">
        <w:rPr>
          <w:i/>
          <w:lang w:val="en-GB"/>
        </w:rPr>
        <w:t xml:space="preserve">De </w:t>
      </w:r>
      <w:proofErr w:type="spellStart"/>
      <w:r w:rsidR="00A102B1">
        <w:rPr>
          <w:i/>
          <w:lang w:val="en-GB"/>
        </w:rPr>
        <w:t>Peijper</w:t>
      </w:r>
      <w:proofErr w:type="spellEnd"/>
      <w:r w:rsidR="00A102B1">
        <w:rPr>
          <w:lang w:val="en-GB"/>
        </w:rPr>
        <w:t xml:space="preserve">, </w:t>
      </w:r>
      <w:r w:rsidR="0024537B" w:rsidRPr="0024537B">
        <w:rPr>
          <w:lang w:val="en-GB"/>
        </w:rPr>
        <w:t>ECLI</w:t>
      </w:r>
      <w:proofErr w:type="gramStart"/>
      <w:r w:rsidR="0024537B" w:rsidRPr="0024537B">
        <w:rPr>
          <w:lang w:val="en-GB"/>
        </w:rPr>
        <w:t>:EU:C:1976:67</w:t>
      </w:r>
      <w:proofErr w:type="gramEnd"/>
      <w:r w:rsidR="00956598">
        <w:rPr>
          <w:lang w:val="en-GB"/>
        </w:rPr>
        <w:t xml:space="preserve">. This ruling was followed by many other cases. The last </w:t>
      </w:r>
      <w:r w:rsidR="00F65810">
        <w:rPr>
          <w:lang w:val="en-GB"/>
        </w:rPr>
        <w:t xml:space="preserve">important one was ECJ 1 April </w:t>
      </w:r>
      <w:r w:rsidR="005001F5">
        <w:rPr>
          <w:lang w:val="en-GB"/>
        </w:rPr>
        <w:t xml:space="preserve">2004, </w:t>
      </w:r>
      <w:r w:rsidR="006E2850">
        <w:rPr>
          <w:lang w:val="en-GB"/>
        </w:rPr>
        <w:t xml:space="preserve">C-112/02, </w:t>
      </w:r>
      <w:proofErr w:type="spellStart"/>
      <w:r w:rsidR="005001F5" w:rsidRPr="006E2850">
        <w:rPr>
          <w:i/>
          <w:lang w:val="en-GB"/>
        </w:rPr>
        <w:t>Kohlpharma</w:t>
      </w:r>
      <w:proofErr w:type="spellEnd"/>
      <w:r w:rsidR="006E2850">
        <w:rPr>
          <w:lang w:val="en-GB"/>
        </w:rPr>
        <w:t xml:space="preserve">, </w:t>
      </w:r>
      <w:r w:rsidR="005001F5" w:rsidRPr="006E2850">
        <w:rPr>
          <w:lang w:val="en-GB"/>
        </w:rPr>
        <w:t>ECLI</w:t>
      </w:r>
      <w:proofErr w:type="gramStart"/>
      <w:r w:rsidR="005001F5" w:rsidRPr="005001F5">
        <w:rPr>
          <w:lang w:val="en-GB"/>
        </w:rPr>
        <w:t>:EU:C:2004:208</w:t>
      </w:r>
      <w:proofErr w:type="gramEnd"/>
      <w:r w:rsidR="006E2850">
        <w:rPr>
          <w:lang w:val="en-GB"/>
        </w:rPr>
        <w:t>. There were also Commission Communications about parallel trade</w:t>
      </w:r>
      <w:r w:rsidR="000C0801">
        <w:rPr>
          <w:lang w:val="en-GB"/>
        </w:rPr>
        <w:t xml:space="preserve">. The most recent one is </w:t>
      </w:r>
      <w:r w:rsidR="00624223" w:rsidRPr="00624223">
        <w:rPr>
          <w:lang w:val="en-GB"/>
        </w:rPr>
        <w:t>Commission Communication on parallel imports of proprietary medicinal products for which marketing authorisations have already been granted</w:t>
      </w:r>
      <w:r w:rsidR="00624223">
        <w:rPr>
          <w:lang w:val="en-GB"/>
        </w:rPr>
        <w:t xml:space="preserve">, </w:t>
      </w:r>
      <w:r w:rsidR="00624223" w:rsidRPr="00624223">
        <w:rPr>
          <w:lang w:val="en-GB"/>
        </w:rPr>
        <w:t>COM(2003) 839 final</w:t>
      </w:r>
      <w:r w:rsidR="00C02DC4">
        <w:rPr>
          <w:lang w:val="en-GB"/>
        </w:rPr>
        <w:t>, 30 December 2003.</w:t>
      </w:r>
    </w:p>
  </w:footnote>
  <w:footnote w:id="10">
    <w:p w14:paraId="33FFFA08" w14:textId="669C56D9" w:rsidR="00A916B6" w:rsidRPr="00A916B6" w:rsidRDefault="00A916B6">
      <w:pPr>
        <w:pStyle w:val="FootnoteText"/>
        <w:rPr>
          <w:lang w:val="en-GB"/>
        </w:rPr>
      </w:pPr>
      <w:r>
        <w:rPr>
          <w:rStyle w:val="FootnoteReference"/>
        </w:rPr>
        <w:footnoteRef/>
      </w:r>
      <w:r w:rsidRPr="00A916B6">
        <w:rPr>
          <w:lang w:val="en-GB"/>
        </w:rPr>
        <w:t xml:space="preserve"> </w:t>
      </w:r>
      <w:proofErr w:type="gramStart"/>
      <w:r>
        <w:rPr>
          <w:lang w:val="en-GB"/>
        </w:rPr>
        <w:t>Article 1 (67).</w:t>
      </w:r>
      <w:proofErr w:type="gramEnd"/>
    </w:p>
  </w:footnote>
  <w:footnote w:id="11">
    <w:p w14:paraId="72ABD1A4" w14:textId="15875A1A" w:rsidR="00546FC9" w:rsidRPr="00546FC9" w:rsidRDefault="00546FC9">
      <w:pPr>
        <w:pStyle w:val="FootnoteText"/>
        <w:rPr>
          <w:lang w:val="en-GB"/>
        </w:rPr>
      </w:pPr>
      <w:r>
        <w:rPr>
          <w:rStyle w:val="FootnoteReference"/>
        </w:rPr>
        <w:footnoteRef/>
      </w:r>
      <w:r w:rsidRPr="00546FC9">
        <w:rPr>
          <w:lang w:val="en-GB"/>
        </w:rPr>
        <w:t xml:space="preserve"> </w:t>
      </w:r>
      <w:proofErr w:type="gramStart"/>
      <w:r>
        <w:rPr>
          <w:lang w:val="en-GB"/>
        </w:rPr>
        <w:t>E.g. in the listing of measures to be taken</w:t>
      </w:r>
      <w:r w:rsidR="00244CF3">
        <w:rPr>
          <w:lang w:val="en-GB"/>
        </w:rPr>
        <w:t xml:space="preserve"> after adoption of the draft law</w:t>
      </w:r>
      <w:r>
        <w:rPr>
          <w:lang w:val="en-GB"/>
        </w:rPr>
        <w:t xml:space="preserve"> in Article 127.</w:t>
      </w:r>
      <w:proofErr w:type="gramEnd"/>
      <w:r>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3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B33D2D"/>
    <w:multiLevelType w:val="hybridMultilevel"/>
    <w:tmpl w:val="A64E8358"/>
    <w:lvl w:ilvl="0" w:tplc="815410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7D12F6"/>
    <w:multiLevelType w:val="hybridMultilevel"/>
    <w:tmpl w:val="58485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B82D3F"/>
    <w:multiLevelType w:val="hybridMultilevel"/>
    <w:tmpl w:val="BC06D132"/>
    <w:lvl w:ilvl="0" w:tplc="F98C2BF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E860AF"/>
    <w:multiLevelType w:val="hybridMultilevel"/>
    <w:tmpl w:val="6340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922F3"/>
    <w:multiLevelType w:val="multilevel"/>
    <w:tmpl w:val="0296B0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A44B34"/>
    <w:multiLevelType w:val="multilevel"/>
    <w:tmpl w:val="693CB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1E5893"/>
    <w:multiLevelType w:val="hybridMultilevel"/>
    <w:tmpl w:val="106A0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CA3089"/>
    <w:multiLevelType w:val="hybridMultilevel"/>
    <w:tmpl w:val="4FA8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755379"/>
    <w:multiLevelType w:val="multilevel"/>
    <w:tmpl w:val="2EB05F6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882790"/>
    <w:multiLevelType w:val="hybridMultilevel"/>
    <w:tmpl w:val="0AA8394E"/>
    <w:lvl w:ilvl="0" w:tplc="F98C2BF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FA36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AB33C1"/>
    <w:multiLevelType w:val="multilevel"/>
    <w:tmpl w:val="74FA0A0A"/>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333D50"/>
    <w:multiLevelType w:val="multilevel"/>
    <w:tmpl w:val="F2069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2D1A28"/>
    <w:multiLevelType w:val="multilevel"/>
    <w:tmpl w:val="693CB776"/>
    <w:lvl w:ilvl="0">
      <w:start w:val="2"/>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5">
    <w:nsid w:val="6C5A180E"/>
    <w:multiLevelType w:val="multilevel"/>
    <w:tmpl w:val="693CB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2D0ABE"/>
    <w:multiLevelType w:val="hybridMultilevel"/>
    <w:tmpl w:val="BCF8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CF2F1F"/>
    <w:multiLevelType w:val="multilevel"/>
    <w:tmpl w:val="FB24407A"/>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nsid w:val="75DF416C"/>
    <w:multiLevelType w:val="hybridMultilevel"/>
    <w:tmpl w:val="17E636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801013A"/>
    <w:multiLevelType w:val="hybridMultilevel"/>
    <w:tmpl w:val="5C68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4F71BD"/>
    <w:multiLevelType w:val="multilevel"/>
    <w:tmpl w:val="4DF2A6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5B9BD5"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0"/>
  </w:num>
  <w:num w:numId="4">
    <w:abstractNumId w:val="20"/>
  </w:num>
  <w:num w:numId="5">
    <w:abstractNumId w:val="6"/>
  </w:num>
  <w:num w:numId="6">
    <w:abstractNumId w:val="14"/>
  </w:num>
  <w:num w:numId="7">
    <w:abstractNumId w:val="15"/>
  </w:num>
  <w:num w:numId="8">
    <w:abstractNumId w:val="19"/>
  </w:num>
  <w:num w:numId="9">
    <w:abstractNumId w:val="16"/>
  </w:num>
  <w:num w:numId="10">
    <w:abstractNumId w:val="17"/>
  </w:num>
  <w:num w:numId="11">
    <w:abstractNumId w:val="13"/>
  </w:num>
  <w:num w:numId="12">
    <w:abstractNumId w:val="4"/>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8"/>
  </w:num>
  <w:num w:numId="18">
    <w:abstractNumId w:val="11"/>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CF"/>
    <w:rsid w:val="00003622"/>
    <w:rsid w:val="00006AFB"/>
    <w:rsid w:val="00015AAF"/>
    <w:rsid w:val="00016582"/>
    <w:rsid w:val="00021A7F"/>
    <w:rsid w:val="00023286"/>
    <w:rsid w:val="00032073"/>
    <w:rsid w:val="00036FBE"/>
    <w:rsid w:val="000458B6"/>
    <w:rsid w:val="0005025D"/>
    <w:rsid w:val="00051F11"/>
    <w:rsid w:val="0005203F"/>
    <w:rsid w:val="0005369D"/>
    <w:rsid w:val="0006641D"/>
    <w:rsid w:val="00066867"/>
    <w:rsid w:val="00072C06"/>
    <w:rsid w:val="000762C6"/>
    <w:rsid w:val="00086342"/>
    <w:rsid w:val="00091783"/>
    <w:rsid w:val="00095E0A"/>
    <w:rsid w:val="000963CF"/>
    <w:rsid w:val="000974A6"/>
    <w:rsid w:val="000A1BAE"/>
    <w:rsid w:val="000A7C69"/>
    <w:rsid w:val="000B3F39"/>
    <w:rsid w:val="000B72B1"/>
    <w:rsid w:val="000C0801"/>
    <w:rsid w:val="000D0D6E"/>
    <w:rsid w:val="000D5119"/>
    <w:rsid w:val="000D5D9B"/>
    <w:rsid w:val="000D678D"/>
    <w:rsid w:val="000D7822"/>
    <w:rsid w:val="000E0455"/>
    <w:rsid w:val="000E05BA"/>
    <w:rsid w:val="000E6426"/>
    <w:rsid w:val="000F6C64"/>
    <w:rsid w:val="001014D8"/>
    <w:rsid w:val="001067E8"/>
    <w:rsid w:val="00110866"/>
    <w:rsid w:val="00111815"/>
    <w:rsid w:val="00112248"/>
    <w:rsid w:val="001166E2"/>
    <w:rsid w:val="00117DC8"/>
    <w:rsid w:val="00131857"/>
    <w:rsid w:val="00132A4C"/>
    <w:rsid w:val="001336A4"/>
    <w:rsid w:val="00135004"/>
    <w:rsid w:val="00137FF6"/>
    <w:rsid w:val="0014117B"/>
    <w:rsid w:val="00143665"/>
    <w:rsid w:val="0014481B"/>
    <w:rsid w:val="00155829"/>
    <w:rsid w:val="0016138E"/>
    <w:rsid w:val="00162815"/>
    <w:rsid w:val="00163219"/>
    <w:rsid w:val="001632D8"/>
    <w:rsid w:val="00164AAC"/>
    <w:rsid w:val="0017250A"/>
    <w:rsid w:val="00177B5B"/>
    <w:rsid w:val="001813FF"/>
    <w:rsid w:val="00183D5C"/>
    <w:rsid w:val="00186145"/>
    <w:rsid w:val="00186DB4"/>
    <w:rsid w:val="001872C5"/>
    <w:rsid w:val="0019185D"/>
    <w:rsid w:val="00194ACC"/>
    <w:rsid w:val="00195478"/>
    <w:rsid w:val="001962E2"/>
    <w:rsid w:val="001A1018"/>
    <w:rsid w:val="001A6DB8"/>
    <w:rsid w:val="001B0001"/>
    <w:rsid w:val="001B14E2"/>
    <w:rsid w:val="001C15F6"/>
    <w:rsid w:val="001C6F69"/>
    <w:rsid w:val="001C7926"/>
    <w:rsid w:val="001D3466"/>
    <w:rsid w:val="001E3F7E"/>
    <w:rsid w:val="001E7399"/>
    <w:rsid w:val="001F24E3"/>
    <w:rsid w:val="001F5086"/>
    <w:rsid w:val="001F6DCD"/>
    <w:rsid w:val="001F7D92"/>
    <w:rsid w:val="0020685A"/>
    <w:rsid w:val="00206966"/>
    <w:rsid w:val="00206EA8"/>
    <w:rsid w:val="00211FF0"/>
    <w:rsid w:val="00212C36"/>
    <w:rsid w:val="00215831"/>
    <w:rsid w:val="00220F49"/>
    <w:rsid w:val="00222B65"/>
    <w:rsid w:val="00230C3E"/>
    <w:rsid w:val="00230E7E"/>
    <w:rsid w:val="00231427"/>
    <w:rsid w:val="0023401C"/>
    <w:rsid w:val="00236EC3"/>
    <w:rsid w:val="00236FD0"/>
    <w:rsid w:val="002413B8"/>
    <w:rsid w:val="00244CF3"/>
    <w:rsid w:val="0024537B"/>
    <w:rsid w:val="002533C0"/>
    <w:rsid w:val="00266954"/>
    <w:rsid w:val="002743B6"/>
    <w:rsid w:val="0027535A"/>
    <w:rsid w:val="002778F6"/>
    <w:rsid w:val="00287CDB"/>
    <w:rsid w:val="00291286"/>
    <w:rsid w:val="00292E9B"/>
    <w:rsid w:val="00295C64"/>
    <w:rsid w:val="00297130"/>
    <w:rsid w:val="002A60B6"/>
    <w:rsid w:val="002B7A3B"/>
    <w:rsid w:val="002C4C3B"/>
    <w:rsid w:val="002C61D1"/>
    <w:rsid w:val="002D67EE"/>
    <w:rsid w:val="002E5E56"/>
    <w:rsid w:val="002F174F"/>
    <w:rsid w:val="002F5625"/>
    <w:rsid w:val="002F69D2"/>
    <w:rsid w:val="00301CDE"/>
    <w:rsid w:val="003044AA"/>
    <w:rsid w:val="00304D47"/>
    <w:rsid w:val="00311CD8"/>
    <w:rsid w:val="003122C5"/>
    <w:rsid w:val="00321653"/>
    <w:rsid w:val="00333A7A"/>
    <w:rsid w:val="00340894"/>
    <w:rsid w:val="00342ECF"/>
    <w:rsid w:val="00350E38"/>
    <w:rsid w:val="0035144B"/>
    <w:rsid w:val="00361F6F"/>
    <w:rsid w:val="00362C11"/>
    <w:rsid w:val="00363274"/>
    <w:rsid w:val="0036475A"/>
    <w:rsid w:val="00366C3B"/>
    <w:rsid w:val="0037079F"/>
    <w:rsid w:val="00372A72"/>
    <w:rsid w:val="00381B16"/>
    <w:rsid w:val="003832D9"/>
    <w:rsid w:val="003A1AF4"/>
    <w:rsid w:val="003A3BA0"/>
    <w:rsid w:val="003B5F8E"/>
    <w:rsid w:val="003B6540"/>
    <w:rsid w:val="003C5678"/>
    <w:rsid w:val="003E4D35"/>
    <w:rsid w:val="003F1211"/>
    <w:rsid w:val="003F24B7"/>
    <w:rsid w:val="003F5720"/>
    <w:rsid w:val="003F578F"/>
    <w:rsid w:val="00403C77"/>
    <w:rsid w:val="00404170"/>
    <w:rsid w:val="00411282"/>
    <w:rsid w:val="00413692"/>
    <w:rsid w:val="0042096B"/>
    <w:rsid w:val="00423762"/>
    <w:rsid w:val="004273A6"/>
    <w:rsid w:val="004277B2"/>
    <w:rsid w:val="0043296E"/>
    <w:rsid w:val="00441C14"/>
    <w:rsid w:val="004437B0"/>
    <w:rsid w:val="0045167A"/>
    <w:rsid w:val="00462462"/>
    <w:rsid w:val="004661C5"/>
    <w:rsid w:val="00483DF3"/>
    <w:rsid w:val="00484753"/>
    <w:rsid w:val="0049001D"/>
    <w:rsid w:val="004938D0"/>
    <w:rsid w:val="0049475F"/>
    <w:rsid w:val="004A3C06"/>
    <w:rsid w:val="004A5D16"/>
    <w:rsid w:val="004B5EA4"/>
    <w:rsid w:val="004B7465"/>
    <w:rsid w:val="004D380B"/>
    <w:rsid w:val="004D483D"/>
    <w:rsid w:val="004D5EB6"/>
    <w:rsid w:val="004D64E8"/>
    <w:rsid w:val="004E248D"/>
    <w:rsid w:val="004F1072"/>
    <w:rsid w:val="004F2171"/>
    <w:rsid w:val="005001F5"/>
    <w:rsid w:val="00502ACD"/>
    <w:rsid w:val="00505D7D"/>
    <w:rsid w:val="005071A2"/>
    <w:rsid w:val="005139FE"/>
    <w:rsid w:val="0051450B"/>
    <w:rsid w:val="00515ED6"/>
    <w:rsid w:val="0051625F"/>
    <w:rsid w:val="00523B32"/>
    <w:rsid w:val="00525236"/>
    <w:rsid w:val="00530DF2"/>
    <w:rsid w:val="00531280"/>
    <w:rsid w:val="00533451"/>
    <w:rsid w:val="00535168"/>
    <w:rsid w:val="00540D5C"/>
    <w:rsid w:val="00546FC9"/>
    <w:rsid w:val="00560A1B"/>
    <w:rsid w:val="0056169B"/>
    <w:rsid w:val="005656FE"/>
    <w:rsid w:val="0056702A"/>
    <w:rsid w:val="00585D81"/>
    <w:rsid w:val="00597B57"/>
    <w:rsid w:val="005B01C6"/>
    <w:rsid w:val="005B574C"/>
    <w:rsid w:val="005D2A5C"/>
    <w:rsid w:val="005D305E"/>
    <w:rsid w:val="005D5822"/>
    <w:rsid w:val="005D60BE"/>
    <w:rsid w:val="005E1B0A"/>
    <w:rsid w:val="00601404"/>
    <w:rsid w:val="00604BC6"/>
    <w:rsid w:val="0061637F"/>
    <w:rsid w:val="0062147C"/>
    <w:rsid w:val="00622C87"/>
    <w:rsid w:val="00624223"/>
    <w:rsid w:val="00632B08"/>
    <w:rsid w:val="00633A51"/>
    <w:rsid w:val="006411DA"/>
    <w:rsid w:val="00642A5C"/>
    <w:rsid w:val="00645A68"/>
    <w:rsid w:val="00652678"/>
    <w:rsid w:val="00656C09"/>
    <w:rsid w:val="00662D76"/>
    <w:rsid w:val="006644F7"/>
    <w:rsid w:val="00664B6E"/>
    <w:rsid w:val="006737FA"/>
    <w:rsid w:val="006800B4"/>
    <w:rsid w:val="00682D31"/>
    <w:rsid w:val="006879D4"/>
    <w:rsid w:val="006A6E8F"/>
    <w:rsid w:val="006B10E7"/>
    <w:rsid w:val="006B4EA1"/>
    <w:rsid w:val="006C2F68"/>
    <w:rsid w:val="006C3900"/>
    <w:rsid w:val="006C42F7"/>
    <w:rsid w:val="006C6FAF"/>
    <w:rsid w:val="006D01F6"/>
    <w:rsid w:val="006D5E97"/>
    <w:rsid w:val="006E0A25"/>
    <w:rsid w:val="006E2850"/>
    <w:rsid w:val="006E64E5"/>
    <w:rsid w:val="00700159"/>
    <w:rsid w:val="00725073"/>
    <w:rsid w:val="007261C7"/>
    <w:rsid w:val="00727D6E"/>
    <w:rsid w:val="0073414B"/>
    <w:rsid w:val="0073657A"/>
    <w:rsid w:val="00740146"/>
    <w:rsid w:val="007504B5"/>
    <w:rsid w:val="00754469"/>
    <w:rsid w:val="00772DB9"/>
    <w:rsid w:val="00774CFA"/>
    <w:rsid w:val="00775DC4"/>
    <w:rsid w:val="00777E45"/>
    <w:rsid w:val="00784819"/>
    <w:rsid w:val="00791FCF"/>
    <w:rsid w:val="0079212E"/>
    <w:rsid w:val="007936C6"/>
    <w:rsid w:val="0079494C"/>
    <w:rsid w:val="007A4D7D"/>
    <w:rsid w:val="007B51E4"/>
    <w:rsid w:val="007C00A1"/>
    <w:rsid w:val="007C03AE"/>
    <w:rsid w:val="007C157B"/>
    <w:rsid w:val="007D1C24"/>
    <w:rsid w:val="007D6C17"/>
    <w:rsid w:val="007E2773"/>
    <w:rsid w:val="007E505B"/>
    <w:rsid w:val="007E67D8"/>
    <w:rsid w:val="007F6C88"/>
    <w:rsid w:val="00802073"/>
    <w:rsid w:val="0080473E"/>
    <w:rsid w:val="0080696A"/>
    <w:rsid w:val="00807107"/>
    <w:rsid w:val="008072BB"/>
    <w:rsid w:val="00813CF3"/>
    <w:rsid w:val="0081530F"/>
    <w:rsid w:val="00820CDA"/>
    <w:rsid w:val="008246D1"/>
    <w:rsid w:val="00824F55"/>
    <w:rsid w:val="00826BEA"/>
    <w:rsid w:val="008336D3"/>
    <w:rsid w:val="00843F48"/>
    <w:rsid w:val="00844FB4"/>
    <w:rsid w:val="00865336"/>
    <w:rsid w:val="008677FE"/>
    <w:rsid w:val="00874B8A"/>
    <w:rsid w:val="00875B08"/>
    <w:rsid w:val="00880B38"/>
    <w:rsid w:val="008914E0"/>
    <w:rsid w:val="00891992"/>
    <w:rsid w:val="00893833"/>
    <w:rsid w:val="00896336"/>
    <w:rsid w:val="008A0706"/>
    <w:rsid w:val="008A6368"/>
    <w:rsid w:val="008A6D46"/>
    <w:rsid w:val="008A7BCD"/>
    <w:rsid w:val="008B04FC"/>
    <w:rsid w:val="008C2633"/>
    <w:rsid w:val="008C57F9"/>
    <w:rsid w:val="008C7D38"/>
    <w:rsid w:val="008D0EA2"/>
    <w:rsid w:val="008D29D5"/>
    <w:rsid w:val="008D304F"/>
    <w:rsid w:val="008E3F16"/>
    <w:rsid w:val="008F6C96"/>
    <w:rsid w:val="00901E13"/>
    <w:rsid w:val="00906FA5"/>
    <w:rsid w:val="00927D0F"/>
    <w:rsid w:val="0094141E"/>
    <w:rsid w:val="00941B54"/>
    <w:rsid w:val="00941C17"/>
    <w:rsid w:val="00941F83"/>
    <w:rsid w:val="00943017"/>
    <w:rsid w:val="00944DCD"/>
    <w:rsid w:val="009474BA"/>
    <w:rsid w:val="00956598"/>
    <w:rsid w:val="009604AB"/>
    <w:rsid w:val="009604CA"/>
    <w:rsid w:val="00964425"/>
    <w:rsid w:val="009710F0"/>
    <w:rsid w:val="00980F3A"/>
    <w:rsid w:val="00983273"/>
    <w:rsid w:val="009A0E6C"/>
    <w:rsid w:val="009A31E3"/>
    <w:rsid w:val="009B14B8"/>
    <w:rsid w:val="009B4B31"/>
    <w:rsid w:val="009B66C4"/>
    <w:rsid w:val="009C35F9"/>
    <w:rsid w:val="009C7BA1"/>
    <w:rsid w:val="009D32F2"/>
    <w:rsid w:val="009D37F4"/>
    <w:rsid w:val="009D465C"/>
    <w:rsid w:val="009D7CB1"/>
    <w:rsid w:val="009E0E37"/>
    <w:rsid w:val="009E1E07"/>
    <w:rsid w:val="009E62CF"/>
    <w:rsid w:val="009F404D"/>
    <w:rsid w:val="009F5466"/>
    <w:rsid w:val="00A01B15"/>
    <w:rsid w:val="00A021F9"/>
    <w:rsid w:val="00A05B2E"/>
    <w:rsid w:val="00A10223"/>
    <w:rsid w:val="00A102B1"/>
    <w:rsid w:val="00A1209D"/>
    <w:rsid w:val="00A12DEE"/>
    <w:rsid w:val="00A15C49"/>
    <w:rsid w:val="00A20800"/>
    <w:rsid w:val="00A22D8A"/>
    <w:rsid w:val="00A3114D"/>
    <w:rsid w:val="00A31831"/>
    <w:rsid w:val="00A4222D"/>
    <w:rsid w:val="00A44DA7"/>
    <w:rsid w:val="00A44F9B"/>
    <w:rsid w:val="00A4747A"/>
    <w:rsid w:val="00A522C6"/>
    <w:rsid w:val="00A5290F"/>
    <w:rsid w:val="00A633FC"/>
    <w:rsid w:val="00A73B0D"/>
    <w:rsid w:val="00A82CAC"/>
    <w:rsid w:val="00A83502"/>
    <w:rsid w:val="00A916B6"/>
    <w:rsid w:val="00A924E4"/>
    <w:rsid w:val="00A92C0A"/>
    <w:rsid w:val="00A93EC7"/>
    <w:rsid w:val="00A97298"/>
    <w:rsid w:val="00AA2CD1"/>
    <w:rsid w:val="00AA639D"/>
    <w:rsid w:val="00AA7430"/>
    <w:rsid w:val="00AA7E60"/>
    <w:rsid w:val="00AB0549"/>
    <w:rsid w:val="00AC1439"/>
    <w:rsid w:val="00AC3B2C"/>
    <w:rsid w:val="00AD31E6"/>
    <w:rsid w:val="00AD7C4C"/>
    <w:rsid w:val="00AE5D83"/>
    <w:rsid w:val="00AF6F43"/>
    <w:rsid w:val="00AF7DFE"/>
    <w:rsid w:val="00B0166A"/>
    <w:rsid w:val="00B11887"/>
    <w:rsid w:val="00B12B43"/>
    <w:rsid w:val="00B147D6"/>
    <w:rsid w:val="00B25B25"/>
    <w:rsid w:val="00B2623B"/>
    <w:rsid w:val="00B3125E"/>
    <w:rsid w:val="00B3563A"/>
    <w:rsid w:val="00B362D8"/>
    <w:rsid w:val="00B42919"/>
    <w:rsid w:val="00B439CC"/>
    <w:rsid w:val="00B4439E"/>
    <w:rsid w:val="00B51652"/>
    <w:rsid w:val="00B51672"/>
    <w:rsid w:val="00B521E3"/>
    <w:rsid w:val="00B544C6"/>
    <w:rsid w:val="00B565C1"/>
    <w:rsid w:val="00B56A6D"/>
    <w:rsid w:val="00B63E4A"/>
    <w:rsid w:val="00B65EE5"/>
    <w:rsid w:val="00B67E8F"/>
    <w:rsid w:val="00B86A4A"/>
    <w:rsid w:val="00B875A6"/>
    <w:rsid w:val="00BA5D4D"/>
    <w:rsid w:val="00BA5FF3"/>
    <w:rsid w:val="00BB6101"/>
    <w:rsid w:val="00BC2C9C"/>
    <w:rsid w:val="00BC4CAC"/>
    <w:rsid w:val="00BC5495"/>
    <w:rsid w:val="00BC669C"/>
    <w:rsid w:val="00BD34DE"/>
    <w:rsid w:val="00BE0B19"/>
    <w:rsid w:val="00BE3EE7"/>
    <w:rsid w:val="00BF153F"/>
    <w:rsid w:val="00BF4288"/>
    <w:rsid w:val="00BF6F80"/>
    <w:rsid w:val="00C010D5"/>
    <w:rsid w:val="00C019B9"/>
    <w:rsid w:val="00C02DC4"/>
    <w:rsid w:val="00C12EAD"/>
    <w:rsid w:val="00C160BF"/>
    <w:rsid w:val="00C1687E"/>
    <w:rsid w:val="00C17C5F"/>
    <w:rsid w:val="00C2626B"/>
    <w:rsid w:val="00C277A0"/>
    <w:rsid w:val="00C30CEE"/>
    <w:rsid w:val="00C3794C"/>
    <w:rsid w:val="00C45AAC"/>
    <w:rsid w:val="00C4689C"/>
    <w:rsid w:val="00C5280C"/>
    <w:rsid w:val="00C52C5A"/>
    <w:rsid w:val="00C539FD"/>
    <w:rsid w:val="00C70529"/>
    <w:rsid w:val="00C71585"/>
    <w:rsid w:val="00C729FE"/>
    <w:rsid w:val="00C814E5"/>
    <w:rsid w:val="00C86F4C"/>
    <w:rsid w:val="00C90F0A"/>
    <w:rsid w:val="00C95016"/>
    <w:rsid w:val="00CA1C6E"/>
    <w:rsid w:val="00CA1FAE"/>
    <w:rsid w:val="00CA383B"/>
    <w:rsid w:val="00CA3848"/>
    <w:rsid w:val="00CA64A7"/>
    <w:rsid w:val="00CA76E4"/>
    <w:rsid w:val="00CB051C"/>
    <w:rsid w:val="00CB6248"/>
    <w:rsid w:val="00CC2AA1"/>
    <w:rsid w:val="00CD0F1A"/>
    <w:rsid w:val="00CD1FE9"/>
    <w:rsid w:val="00CD4EA4"/>
    <w:rsid w:val="00CD7068"/>
    <w:rsid w:val="00CE101D"/>
    <w:rsid w:val="00CE3FEB"/>
    <w:rsid w:val="00CE6D75"/>
    <w:rsid w:val="00CF2175"/>
    <w:rsid w:val="00CF36D8"/>
    <w:rsid w:val="00D12DD0"/>
    <w:rsid w:val="00D1404E"/>
    <w:rsid w:val="00D17966"/>
    <w:rsid w:val="00D21B6B"/>
    <w:rsid w:val="00D2366B"/>
    <w:rsid w:val="00D36031"/>
    <w:rsid w:val="00D36862"/>
    <w:rsid w:val="00D36F2C"/>
    <w:rsid w:val="00D37574"/>
    <w:rsid w:val="00D41B46"/>
    <w:rsid w:val="00D438FF"/>
    <w:rsid w:val="00D50C0F"/>
    <w:rsid w:val="00D54251"/>
    <w:rsid w:val="00D636C0"/>
    <w:rsid w:val="00D64992"/>
    <w:rsid w:val="00D77034"/>
    <w:rsid w:val="00D77840"/>
    <w:rsid w:val="00D82806"/>
    <w:rsid w:val="00D83C1D"/>
    <w:rsid w:val="00D93F71"/>
    <w:rsid w:val="00DA0B99"/>
    <w:rsid w:val="00DA53F2"/>
    <w:rsid w:val="00DA557A"/>
    <w:rsid w:val="00DA7F5D"/>
    <w:rsid w:val="00DB23B7"/>
    <w:rsid w:val="00DC25EE"/>
    <w:rsid w:val="00DD2255"/>
    <w:rsid w:val="00DD2C78"/>
    <w:rsid w:val="00DD3603"/>
    <w:rsid w:val="00DD41F5"/>
    <w:rsid w:val="00DE1528"/>
    <w:rsid w:val="00DF131D"/>
    <w:rsid w:val="00DF1650"/>
    <w:rsid w:val="00DF2E31"/>
    <w:rsid w:val="00DF3EFC"/>
    <w:rsid w:val="00E03573"/>
    <w:rsid w:val="00E10BAB"/>
    <w:rsid w:val="00E11B86"/>
    <w:rsid w:val="00E13CBD"/>
    <w:rsid w:val="00E24438"/>
    <w:rsid w:val="00E30875"/>
    <w:rsid w:val="00E367C1"/>
    <w:rsid w:val="00E53C33"/>
    <w:rsid w:val="00E56564"/>
    <w:rsid w:val="00E60729"/>
    <w:rsid w:val="00E65D5A"/>
    <w:rsid w:val="00E72FE6"/>
    <w:rsid w:val="00E87323"/>
    <w:rsid w:val="00E87A60"/>
    <w:rsid w:val="00E91BF6"/>
    <w:rsid w:val="00E9695C"/>
    <w:rsid w:val="00EA019D"/>
    <w:rsid w:val="00EA0C37"/>
    <w:rsid w:val="00EB5E54"/>
    <w:rsid w:val="00ED3CF7"/>
    <w:rsid w:val="00ED5100"/>
    <w:rsid w:val="00ED5858"/>
    <w:rsid w:val="00ED58C5"/>
    <w:rsid w:val="00ED7EC4"/>
    <w:rsid w:val="00EE066C"/>
    <w:rsid w:val="00EF0D56"/>
    <w:rsid w:val="00F019D7"/>
    <w:rsid w:val="00F07773"/>
    <w:rsid w:val="00F219C9"/>
    <w:rsid w:val="00F4107E"/>
    <w:rsid w:val="00F45D88"/>
    <w:rsid w:val="00F507AE"/>
    <w:rsid w:val="00F53BEF"/>
    <w:rsid w:val="00F54E63"/>
    <w:rsid w:val="00F617AD"/>
    <w:rsid w:val="00F6496A"/>
    <w:rsid w:val="00F65810"/>
    <w:rsid w:val="00F661DA"/>
    <w:rsid w:val="00F743D7"/>
    <w:rsid w:val="00F871CA"/>
    <w:rsid w:val="00F90041"/>
    <w:rsid w:val="00F90128"/>
    <w:rsid w:val="00F90A3B"/>
    <w:rsid w:val="00F948E7"/>
    <w:rsid w:val="00FA0AA0"/>
    <w:rsid w:val="00FA2605"/>
    <w:rsid w:val="00FA5849"/>
    <w:rsid w:val="00FA7B66"/>
    <w:rsid w:val="00FB55D9"/>
    <w:rsid w:val="00FB63F9"/>
    <w:rsid w:val="00FB7D28"/>
    <w:rsid w:val="00FC0901"/>
    <w:rsid w:val="00FC482A"/>
    <w:rsid w:val="00FD2A29"/>
    <w:rsid w:val="00FD3842"/>
    <w:rsid w:val="00FD3986"/>
    <w:rsid w:val="00FE190E"/>
    <w:rsid w:val="00FE21DB"/>
    <w:rsid w:val="00FF077B"/>
    <w:rsid w:val="00FF09C3"/>
    <w:rsid w:val="00FF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D8"/>
  </w:style>
  <w:style w:type="paragraph" w:styleId="Heading1">
    <w:name w:val="heading 1"/>
    <w:basedOn w:val="Normal"/>
    <w:next w:val="Normal"/>
    <w:link w:val="Heading1Char"/>
    <w:uiPriority w:val="9"/>
    <w:qFormat/>
    <w:rsid w:val="00B362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362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362D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B362D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362D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362D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362D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362D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62D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0894"/>
    <w:pPr>
      <w:spacing w:after="0" w:line="240" w:lineRule="auto"/>
    </w:pPr>
  </w:style>
  <w:style w:type="character" w:customStyle="1" w:styleId="FootnoteTextChar">
    <w:name w:val="Footnote Text Char"/>
    <w:basedOn w:val="DefaultParagraphFont"/>
    <w:link w:val="FootnoteText"/>
    <w:uiPriority w:val="99"/>
    <w:semiHidden/>
    <w:rsid w:val="00340894"/>
    <w:rPr>
      <w:sz w:val="20"/>
      <w:szCs w:val="20"/>
      <w:lang w:val="en-US"/>
    </w:rPr>
  </w:style>
  <w:style w:type="character" w:styleId="FootnoteReference">
    <w:name w:val="footnote reference"/>
    <w:basedOn w:val="DefaultParagraphFont"/>
    <w:uiPriority w:val="99"/>
    <w:semiHidden/>
    <w:unhideWhenUsed/>
    <w:rsid w:val="00340894"/>
    <w:rPr>
      <w:vertAlign w:val="superscript"/>
    </w:rPr>
  </w:style>
  <w:style w:type="character" w:customStyle="1" w:styleId="Heading1Char">
    <w:name w:val="Heading 1 Char"/>
    <w:basedOn w:val="DefaultParagraphFont"/>
    <w:link w:val="Heading1"/>
    <w:uiPriority w:val="9"/>
    <w:rsid w:val="00B362D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B362D8"/>
    <w:rPr>
      <w:caps/>
      <w:spacing w:val="15"/>
      <w:shd w:val="clear" w:color="auto" w:fill="DEEAF6" w:themeFill="accent1" w:themeFillTint="33"/>
    </w:rPr>
  </w:style>
  <w:style w:type="character" w:customStyle="1" w:styleId="Heading3Char">
    <w:name w:val="Heading 3 Char"/>
    <w:basedOn w:val="DefaultParagraphFont"/>
    <w:link w:val="Heading3"/>
    <w:uiPriority w:val="9"/>
    <w:rsid w:val="00B362D8"/>
    <w:rPr>
      <w:caps/>
      <w:color w:val="1F4D78" w:themeColor="accent1" w:themeShade="7F"/>
      <w:spacing w:val="15"/>
    </w:rPr>
  </w:style>
  <w:style w:type="character" w:customStyle="1" w:styleId="Heading4Char">
    <w:name w:val="Heading 4 Char"/>
    <w:basedOn w:val="DefaultParagraphFont"/>
    <w:link w:val="Heading4"/>
    <w:uiPriority w:val="9"/>
    <w:rsid w:val="00B362D8"/>
    <w:rPr>
      <w:caps/>
      <w:color w:val="2E74B5" w:themeColor="accent1" w:themeShade="BF"/>
      <w:spacing w:val="10"/>
    </w:rPr>
  </w:style>
  <w:style w:type="character" w:customStyle="1" w:styleId="Heading5Char">
    <w:name w:val="Heading 5 Char"/>
    <w:basedOn w:val="DefaultParagraphFont"/>
    <w:link w:val="Heading5"/>
    <w:uiPriority w:val="9"/>
    <w:semiHidden/>
    <w:rsid w:val="00B362D8"/>
    <w:rPr>
      <w:caps/>
      <w:color w:val="2E74B5" w:themeColor="accent1" w:themeShade="BF"/>
      <w:spacing w:val="10"/>
    </w:rPr>
  </w:style>
  <w:style w:type="character" w:customStyle="1" w:styleId="Heading6Char">
    <w:name w:val="Heading 6 Char"/>
    <w:basedOn w:val="DefaultParagraphFont"/>
    <w:link w:val="Heading6"/>
    <w:uiPriority w:val="9"/>
    <w:semiHidden/>
    <w:rsid w:val="00B362D8"/>
    <w:rPr>
      <w:caps/>
      <w:color w:val="2E74B5" w:themeColor="accent1" w:themeShade="BF"/>
      <w:spacing w:val="10"/>
    </w:rPr>
  </w:style>
  <w:style w:type="character" w:customStyle="1" w:styleId="Heading7Char">
    <w:name w:val="Heading 7 Char"/>
    <w:basedOn w:val="DefaultParagraphFont"/>
    <w:link w:val="Heading7"/>
    <w:uiPriority w:val="9"/>
    <w:semiHidden/>
    <w:rsid w:val="00B362D8"/>
    <w:rPr>
      <w:caps/>
      <w:color w:val="2E74B5" w:themeColor="accent1" w:themeShade="BF"/>
      <w:spacing w:val="10"/>
    </w:rPr>
  </w:style>
  <w:style w:type="character" w:customStyle="1" w:styleId="Heading8Char">
    <w:name w:val="Heading 8 Char"/>
    <w:basedOn w:val="DefaultParagraphFont"/>
    <w:link w:val="Heading8"/>
    <w:uiPriority w:val="9"/>
    <w:semiHidden/>
    <w:rsid w:val="00B362D8"/>
    <w:rPr>
      <w:caps/>
      <w:spacing w:val="10"/>
      <w:sz w:val="18"/>
      <w:szCs w:val="18"/>
    </w:rPr>
  </w:style>
  <w:style w:type="character" w:customStyle="1" w:styleId="Heading9Char">
    <w:name w:val="Heading 9 Char"/>
    <w:basedOn w:val="DefaultParagraphFont"/>
    <w:link w:val="Heading9"/>
    <w:uiPriority w:val="9"/>
    <w:semiHidden/>
    <w:rsid w:val="00B362D8"/>
    <w:rPr>
      <w:i/>
      <w:iCs/>
      <w:caps/>
      <w:spacing w:val="10"/>
      <w:sz w:val="18"/>
      <w:szCs w:val="18"/>
    </w:rPr>
  </w:style>
  <w:style w:type="paragraph" w:styleId="Caption">
    <w:name w:val="caption"/>
    <w:basedOn w:val="Normal"/>
    <w:next w:val="Normal"/>
    <w:uiPriority w:val="35"/>
    <w:unhideWhenUsed/>
    <w:qFormat/>
    <w:rsid w:val="00B362D8"/>
    <w:rPr>
      <w:b/>
      <w:bCs/>
      <w:color w:val="2E74B5" w:themeColor="accent1" w:themeShade="BF"/>
      <w:sz w:val="16"/>
      <w:szCs w:val="16"/>
    </w:rPr>
  </w:style>
  <w:style w:type="paragraph" w:styleId="Title">
    <w:name w:val="Title"/>
    <w:basedOn w:val="Normal"/>
    <w:next w:val="Normal"/>
    <w:link w:val="TitleChar"/>
    <w:uiPriority w:val="10"/>
    <w:qFormat/>
    <w:rsid w:val="00B362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362D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362D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362D8"/>
    <w:rPr>
      <w:caps/>
      <w:color w:val="595959" w:themeColor="text1" w:themeTint="A6"/>
      <w:spacing w:val="10"/>
      <w:sz w:val="21"/>
      <w:szCs w:val="21"/>
    </w:rPr>
  </w:style>
  <w:style w:type="character" w:styleId="Strong">
    <w:name w:val="Strong"/>
    <w:uiPriority w:val="22"/>
    <w:qFormat/>
    <w:rsid w:val="00B362D8"/>
    <w:rPr>
      <w:b/>
      <w:bCs/>
    </w:rPr>
  </w:style>
  <w:style w:type="character" w:styleId="Emphasis">
    <w:name w:val="Emphasis"/>
    <w:uiPriority w:val="20"/>
    <w:qFormat/>
    <w:rsid w:val="00B362D8"/>
    <w:rPr>
      <w:caps/>
      <w:color w:val="1F4D78" w:themeColor="accent1" w:themeShade="7F"/>
      <w:spacing w:val="5"/>
    </w:rPr>
  </w:style>
  <w:style w:type="paragraph" w:styleId="NoSpacing">
    <w:name w:val="No Spacing"/>
    <w:uiPriority w:val="1"/>
    <w:qFormat/>
    <w:rsid w:val="00B362D8"/>
    <w:pPr>
      <w:spacing w:after="0" w:line="240" w:lineRule="auto"/>
    </w:pPr>
  </w:style>
  <w:style w:type="paragraph" w:styleId="Quote">
    <w:name w:val="Quote"/>
    <w:basedOn w:val="Normal"/>
    <w:next w:val="Normal"/>
    <w:link w:val="QuoteChar"/>
    <w:uiPriority w:val="29"/>
    <w:qFormat/>
    <w:rsid w:val="00B362D8"/>
    <w:rPr>
      <w:i/>
      <w:iCs/>
      <w:sz w:val="24"/>
      <w:szCs w:val="24"/>
    </w:rPr>
  </w:style>
  <w:style w:type="character" w:customStyle="1" w:styleId="QuoteChar">
    <w:name w:val="Quote Char"/>
    <w:basedOn w:val="DefaultParagraphFont"/>
    <w:link w:val="Quote"/>
    <w:uiPriority w:val="29"/>
    <w:rsid w:val="00B362D8"/>
    <w:rPr>
      <w:i/>
      <w:iCs/>
      <w:sz w:val="24"/>
      <w:szCs w:val="24"/>
    </w:rPr>
  </w:style>
  <w:style w:type="paragraph" w:styleId="IntenseQuote">
    <w:name w:val="Intense Quote"/>
    <w:basedOn w:val="Normal"/>
    <w:next w:val="Normal"/>
    <w:link w:val="IntenseQuoteChar"/>
    <w:uiPriority w:val="30"/>
    <w:qFormat/>
    <w:rsid w:val="00B362D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362D8"/>
    <w:rPr>
      <w:color w:val="5B9BD5" w:themeColor="accent1"/>
      <w:sz w:val="24"/>
      <w:szCs w:val="24"/>
    </w:rPr>
  </w:style>
  <w:style w:type="character" w:styleId="SubtleEmphasis">
    <w:name w:val="Subtle Emphasis"/>
    <w:uiPriority w:val="19"/>
    <w:qFormat/>
    <w:rsid w:val="00B362D8"/>
    <w:rPr>
      <w:i/>
      <w:iCs/>
      <w:color w:val="1F4D78" w:themeColor="accent1" w:themeShade="7F"/>
    </w:rPr>
  </w:style>
  <w:style w:type="character" w:styleId="IntenseEmphasis">
    <w:name w:val="Intense Emphasis"/>
    <w:uiPriority w:val="21"/>
    <w:qFormat/>
    <w:rsid w:val="00B362D8"/>
    <w:rPr>
      <w:b/>
      <w:bCs/>
      <w:caps/>
      <w:color w:val="1F4D78" w:themeColor="accent1" w:themeShade="7F"/>
      <w:spacing w:val="10"/>
    </w:rPr>
  </w:style>
  <w:style w:type="character" w:styleId="SubtleReference">
    <w:name w:val="Subtle Reference"/>
    <w:uiPriority w:val="31"/>
    <w:qFormat/>
    <w:rsid w:val="00B362D8"/>
    <w:rPr>
      <w:b/>
      <w:bCs/>
      <w:color w:val="5B9BD5" w:themeColor="accent1"/>
    </w:rPr>
  </w:style>
  <w:style w:type="character" w:styleId="IntenseReference">
    <w:name w:val="Intense Reference"/>
    <w:uiPriority w:val="32"/>
    <w:qFormat/>
    <w:rsid w:val="00B362D8"/>
    <w:rPr>
      <w:b/>
      <w:bCs/>
      <w:i/>
      <w:iCs/>
      <w:caps/>
      <w:color w:val="5B9BD5" w:themeColor="accent1"/>
    </w:rPr>
  </w:style>
  <w:style w:type="character" w:styleId="BookTitle">
    <w:name w:val="Book Title"/>
    <w:uiPriority w:val="33"/>
    <w:qFormat/>
    <w:rsid w:val="00B362D8"/>
    <w:rPr>
      <w:b/>
      <w:bCs/>
      <w:i/>
      <w:iCs/>
      <w:spacing w:val="0"/>
    </w:rPr>
  </w:style>
  <w:style w:type="paragraph" w:styleId="TOCHeading">
    <w:name w:val="TOC Heading"/>
    <w:basedOn w:val="Heading1"/>
    <w:next w:val="Normal"/>
    <w:uiPriority w:val="39"/>
    <w:semiHidden/>
    <w:unhideWhenUsed/>
    <w:qFormat/>
    <w:rsid w:val="00B362D8"/>
    <w:pPr>
      <w:outlineLvl w:val="9"/>
    </w:pPr>
  </w:style>
  <w:style w:type="paragraph" w:styleId="ListParagraph">
    <w:name w:val="List Paragraph"/>
    <w:basedOn w:val="Normal"/>
    <w:uiPriority w:val="34"/>
    <w:qFormat/>
    <w:rsid w:val="00B362D8"/>
    <w:pPr>
      <w:ind w:left="720"/>
      <w:contextualSpacing/>
    </w:pPr>
  </w:style>
  <w:style w:type="paragraph" w:styleId="Header">
    <w:name w:val="header"/>
    <w:basedOn w:val="Normal"/>
    <w:link w:val="HeaderChar"/>
    <w:uiPriority w:val="99"/>
    <w:unhideWhenUsed/>
    <w:rsid w:val="000E05BA"/>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E05BA"/>
  </w:style>
  <w:style w:type="paragraph" w:styleId="Footer">
    <w:name w:val="footer"/>
    <w:basedOn w:val="Normal"/>
    <w:link w:val="FooterChar"/>
    <w:unhideWhenUsed/>
    <w:rsid w:val="000E05BA"/>
    <w:pPr>
      <w:tabs>
        <w:tab w:val="center" w:pos="4536"/>
        <w:tab w:val="right" w:pos="9072"/>
      </w:tabs>
      <w:spacing w:before="0" w:after="0" w:line="240" w:lineRule="auto"/>
    </w:pPr>
  </w:style>
  <w:style w:type="character" w:customStyle="1" w:styleId="FooterChar">
    <w:name w:val="Footer Char"/>
    <w:basedOn w:val="DefaultParagraphFont"/>
    <w:link w:val="Footer"/>
    <w:rsid w:val="000E05BA"/>
  </w:style>
  <w:style w:type="paragraph" w:styleId="BalloonText">
    <w:name w:val="Balloon Text"/>
    <w:basedOn w:val="Normal"/>
    <w:link w:val="BalloonTextChar"/>
    <w:uiPriority w:val="99"/>
    <w:semiHidden/>
    <w:unhideWhenUsed/>
    <w:rsid w:val="00EB5E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54"/>
    <w:rPr>
      <w:rFonts w:ascii="Segoe UI" w:hAnsi="Segoe UI" w:cs="Segoe UI"/>
      <w:sz w:val="18"/>
      <w:szCs w:val="18"/>
    </w:rPr>
  </w:style>
  <w:style w:type="paragraph" w:customStyle="1" w:styleId="Default">
    <w:name w:val="Default"/>
    <w:rsid w:val="009D37F4"/>
    <w:pPr>
      <w:autoSpaceDE w:val="0"/>
      <w:autoSpaceDN w:val="0"/>
      <w:adjustRightInd w:val="0"/>
      <w:spacing w:before="0"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5E1B0A"/>
    <w:rPr>
      <w:color w:val="0563C1" w:themeColor="hyperlink"/>
      <w:u w:val="single"/>
    </w:rPr>
  </w:style>
  <w:style w:type="character" w:styleId="CommentReference">
    <w:name w:val="annotation reference"/>
    <w:basedOn w:val="DefaultParagraphFont"/>
    <w:uiPriority w:val="99"/>
    <w:semiHidden/>
    <w:unhideWhenUsed/>
    <w:rsid w:val="00865336"/>
    <w:rPr>
      <w:sz w:val="16"/>
      <w:szCs w:val="16"/>
    </w:rPr>
  </w:style>
  <w:style w:type="paragraph" w:styleId="CommentText">
    <w:name w:val="annotation text"/>
    <w:basedOn w:val="Normal"/>
    <w:link w:val="CommentTextChar"/>
    <w:uiPriority w:val="99"/>
    <w:semiHidden/>
    <w:unhideWhenUsed/>
    <w:rsid w:val="00865336"/>
    <w:pPr>
      <w:spacing w:before="0" w:after="160" w:line="240" w:lineRule="auto"/>
    </w:pPr>
    <w:rPr>
      <w:rFonts w:ascii="Calibri" w:eastAsia="Calibri" w:hAnsi="Calibri" w:cs="Times New Roman"/>
      <w:lang w:val="en-GB"/>
    </w:rPr>
  </w:style>
  <w:style w:type="character" w:customStyle="1" w:styleId="CommentTextChar">
    <w:name w:val="Comment Text Char"/>
    <w:basedOn w:val="DefaultParagraphFont"/>
    <w:link w:val="CommentText"/>
    <w:uiPriority w:val="99"/>
    <w:semiHidden/>
    <w:rsid w:val="00865336"/>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D8"/>
  </w:style>
  <w:style w:type="paragraph" w:styleId="Heading1">
    <w:name w:val="heading 1"/>
    <w:basedOn w:val="Normal"/>
    <w:next w:val="Normal"/>
    <w:link w:val="Heading1Char"/>
    <w:uiPriority w:val="9"/>
    <w:qFormat/>
    <w:rsid w:val="00B362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362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362D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B362D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362D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362D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362D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362D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62D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0894"/>
    <w:pPr>
      <w:spacing w:after="0" w:line="240" w:lineRule="auto"/>
    </w:pPr>
  </w:style>
  <w:style w:type="character" w:customStyle="1" w:styleId="FootnoteTextChar">
    <w:name w:val="Footnote Text Char"/>
    <w:basedOn w:val="DefaultParagraphFont"/>
    <w:link w:val="FootnoteText"/>
    <w:uiPriority w:val="99"/>
    <w:semiHidden/>
    <w:rsid w:val="00340894"/>
    <w:rPr>
      <w:sz w:val="20"/>
      <w:szCs w:val="20"/>
      <w:lang w:val="en-US"/>
    </w:rPr>
  </w:style>
  <w:style w:type="character" w:styleId="FootnoteReference">
    <w:name w:val="footnote reference"/>
    <w:basedOn w:val="DefaultParagraphFont"/>
    <w:uiPriority w:val="99"/>
    <w:semiHidden/>
    <w:unhideWhenUsed/>
    <w:rsid w:val="00340894"/>
    <w:rPr>
      <w:vertAlign w:val="superscript"/>
    </w:rPr>
  </w:style>
  <w:style w:type="character" w:customStyle="1" w:styleId="Heading1Char">
    <w:name w:val="Heading 1 Char"/>
    <w:basedOn w:val="DefaultParagraphFont"/>
    <w:link w:val="Heading1"/>
    <w:uiPriority w:val="9"/>
    <w:rsid w:val="00B362D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B362D8"/>
    <w:rPr>
      <w:caps/>
      <w:spacing w:val="15"/>
      <w:shd w:val="clear" w:color="auto" w:fill="DEEAF6" w:themeFill="accent1" w:themeFillTint="33"/>
    </w:rPr>
  </w:style>
  <w:style w:type="character" w:customStyle="1" w:styleId="Heading3Char">
    <w:name w:val="Heading 3 Char"/>
    <w:basedOn w:val="DefaultParagraphFont"/>
    <w:link w:val="Heading3"/>
    <w:uiPriority w:val="9"/>
    <w:rsid w:val="00B362D8"/>
    <w:rPr>
      <w:caps/>
      <w:color w:val="1F4D78" w:themeColor="accent1" w:themeShade="7F"/>
      <w:spacing w:val="15"/>
    </w:rPr>
  </w:style>
  <w:style w:type="character" w:customStyle="1" w:styleId="Heading4Char">
    <w:name w:val="Heading 4 Char"/>
    <w:basedOn w:val="DefaultParagraphFont"/>
    <w:link w:val="Heading4"/>
    <w:uiPriority w:val="9"/>
    <w:rsid w:val="00B362D8"/>
    <w:rPr>
      <w:caps/>
      <w:color w:val="2E74B5" w:themeColor="accent1" w:themeShade="BF"/>
      <w:spacing w:val="10"/>
    </w:rPr>
  </w:style>
  <w:style w:type="character" w:customStyle="1" w:styleId="Heading5Char">
    <w:name w:val="Heading 5 Char"/>
    <w:basedOn w:val="DefaultParagraphFont"/>
    <w:link w:val="Heading5"/>
    <w:uiPriority w:val="9"/>
    <w:semiHidden/>
    <w:rsid w:val="00B362D8"/>
    <w:rPr>
      <w:caps/>
      <w:color w:val="2E74B5" w:themeColor="accent1" w:themeShade="BF"/>
      <w:spacing w:val="10"/>
    </w:rPr>
  </w:style>
  <w:style w:type="character" w:customStyle="1" w:styleId="Heading6Char">
    <w:name w:val="Heading 6 Char"/>
    <w:basedOn w:val="DefaultParagraphFont"/>
    <w:link w:val="Heading6"/>
    <w:uiPriority w:val="9"/>
    <w:semiHidden/>
    <w:rsid w:val="00B362D8"/>
    <w:rPr>
      <w:caps/>
      <w:color w:val="2E74B5" w:themeColor="accent1" w:themeShade="BF"/>
      <w:spacing w:val="10"/>
    </w:rPr>
  </w:style>
  <w:style w:type="character" w:customStyle="1" w:styleId="Heading7Char">
    <w:name w:val="Heading 7 Char"/>
    <w:basedOn w:val="DefaultParagraphFont"/>
    <w:link w:val="Heading7"/>
    <w:uiPriority w:val="9"/>
    <w:semiHidden/>
    <w:rsid w:val="00B362D8"/>
    <w:rPr>
      <w:caps/>
      <w:color w:val="2E74B5" w:themeColor="accent1" w:themeShade="BF"/>
      <w:spacing w:val="10"/>
    </w:rPr>
  </w:style>
  <w:style w:type="character" w:customStyle="1" w:styleId="Heading8Char">
    <w:name w:val="Heading 8 Char"/>
    <w:basedOn w:val="DefaultParagraphFont"/>
    <w:link w:val="Heading8"/>
    <w:uiPriority w:val="9"/>
    <w:semiHidden/>
    <w:rsid w:val="00B362D8"/>
    <w:rPr>
      <w:caps/>
      <w:spacing w:val="10"/>
      <w:sz w:val="18"/>
      <w:szCs w:val="18"/>
    </w:rPr>
  </w:style>
  <w:style w:type="character" w:customStyle="1" w:styleId="Heading9Char">
    <w:name w:val="Heading 9 Char"/>
    <w:basedOn w:val="DefaultParagraphFont"/>
    <w:link w:val="Heading9"/>
    <w:uiPriority w:val="9"/>
    <w:semiHidden/>
    <w:rsid w:val="00B362D8"/>
    <w:rPr>
      <w:i/>
      <w:iCs/>
      <w:caps/>
      <w:spacing w:val="10"/>
      <w:sz w:val="18"/>
      <w:szCs w:val="18"/>
    </w:rPr>
  </w:style>
  <w:style w:type="paragraph" w:styleId="Caption">
    <w:name w:val="caption"/>
    <w:basedOn w:val="Normal"/>
    <w:next w:val="Normal"/>
    <w:uiPriority w:val="35"/>
    <w:unhideWhenUsed/>
    <w:qFormat/>
    <w:rsid w:val="00B362D8"/>
    <w:rPr>
      <w:b/>
      <w:bCs/>
      <w:color w:val="2E74B5" w:themeColor="accent1" w:themeShade="BF"/>
      <w:sz w:val="16"/>
      <w:szCs w:val="16"/>
    </w:rPr>
  </w:style>
  <w:style w:type="paragraph" w:styleId="Title">
    <w:name w:val="Title"/>
    <w:basedOn w:val="Normal"/>
    <w:next w:val="Normal"/>
    <w:link w:val="TitleChar"/>
    <w:uiPriority w:val="10"/>
    <w:qFormat/>
    <w:rsid w:val="00B362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362D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362D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362D8"/>
    <w:rPr>
      <w:caps/>
      <w:color w:val="595959" w:themeColor="text1" w:themeTint="A6"/>
      <w:spacing w:val="10"/>
      <w:sz w:val="21"/>
      <w:szCs w:val="21"/>
    </w:rPr>
  </w:style>
  <w:style w:type="character" w:styleId="Strong">
    <w:name w:val="Strong"/>
    <w:uiPriority w:val="22"/>
    <w:qFormat/>
    <w:rsid w:val="00B362D8"/>
    <w:rPr>
      <w:b/>
      <w:bCs/>
    </w:rPr>
  </w:style>
  <w:style w:type="character" w:styleId="Emphasis">
    <w:name w:val="Emphasis"/>
    <w:uiPriority w:val="20"/>
    <w:qFormat/>
    <w:rsid w:val="00B362D8"/>
    <w:rPr>
      <w:caps/>
      <w:color w:val="1F4D78" w:themeColor="accent1" w:themeShade="7F"/>
      <w:spacing w:val="5"/>
    </w:rPr>
  </w:style>
  <w:style w:type="paragraph" w:styleId="NoSpacing">
    <w:name w:val="No Spacing"/>
    <w:uiPriority w:val="1"/>
    <w:qFormat/>
    <w:rsid w:val="00B362D8"/>
    <w:pPr>
      <w:spacing w:after="0" w:line="240" w:lineRule="auto"/>
    </w:pPr>
  </w:style>
  <w:style w:type="paragraph" w:styleId="Quote">
    <w:name w:val="Quote"/>
    <w:basedOn w:val="Normal"/>
    <w:next w:val="Normal"/>
    <w:link w:val="QuoteChar"/>
    <w:uiPriority w:val="29"/>
    <w:qFormat/>
    <w:rsid w:val="00B362D8"/>
    <w:rPr>
      <w:i/>
      <w:iCs/>
      <w:sz w:val="24"/>
      <w:szCs w:val="24"/>
    </w:rPr>
  </w:style>
  <w:style w:type="character" w:customStyle="1" w:styleId="QuoteChar">
    <w:name w:val="Quote Char"/>
    <w:basedOn w:val="DefaultParagraphFont"/>
    <w:link w:val="Quote"/>
    <w:uiPriority w:val="29"/>
    <w:rsid w:val="00B362D8"/>
    <w:rPr>
      <w:i/>
      <w:iCs/>
      <w:sz w:val="24"/>
      <w:szCs w:val="24"/>
    </w:rPr>
  </w:style>
  <w:style w:type="paragraph" w:styleId="IntenseQuote">
    <w:name w:val="Intense Quote"/>
    <w:basedOn w:val="Normal"/>
    <w:next w:val="Normal"/>
    <w:link w:val="IntenseQuoteChar"/>
    <w:uiPriority w:val="30"/>
    <w:qFormat/>
    <w:rsid w:val="00B362D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362D8"/>
    <w:rPr>
      <w:color w:val="5B9BD5" w:themeColor="accent1"/>
      <w:sz w:val="24"/>
      <w:szCs w:val="24"/>
    </w:rPr>
  </w:style>
  <w:style w:type="character" w:styleId="SubtleEmphasis">
    <w:name w:val="Subtle Emphasis"/>
    <w:uiPriority w:val="19"/>
    <w:qFormat/>
    <w:rsid w:val="00B362D8"/>
    <w:rPr>
      <w:i/>
      <w:iCs/>
      <w:color w:val="1F4D78" w:themeColor="accent1" w:themeShade="7F"/>
    </w:rPr>
  </w:style>
  <w:style w:type="character" w:styleId="IntenseEmphasis">
    <w:name w:val="Intense Emphasis"/>
    <w:uiPriority w:val="21"/>
    <w:qFormat/>
    <w:rsid w:val="00B362D8"/>
    <w:rPr>
      <w:b/>
      <w:bCs/>
      <w:caps/>
      <w:color w:val="1F4D78" w:themeColor="accent1" w:themeShade="7F"/>
      <w:spacing w:val="10"/>
    </w:rPr>
  </w:style>
  <w:style w:type="character" w:styleId="SubtleReference">
    <w:name w:val="Subtle Reference"/>
    <w:uiPriority w:val="31"/>
    <w:qFormat/>
    <w:rsid w:val="00B362D8"/>
    <w:rPr>
      <w:b/>
      <w:bCs/>
      <w:color w:val="5B9BD5" w:themeColor="accent1"/>
    </w:rPr>
  </w:style>
  <w:style w:type="character" w:styleId="IntenseReference">
    <w:name w:val="Intense Reference"/>
    <w:uiPriority w:val="32"/>
    <w:qFormat/>
    <w:rsid w:val="00B362D8"/>
    <w:rPr>
      <w:b/>
      <w:bCs/>
      <w:i/>
      <w:iCs/>
      <w:caps/>
      <w:color w:val="5B9BD5" w:themeColor="accent1"/>
    </w:rPr>
  </w:style>
  <w:style w:type="character" w:styleId="BookTitle">
    <w:name w:val="Book Title"/>
    <w:uiPriority w:val="33"/>
    <w:qFormat/>
    <w:rsid w:val="00B362D8"/>
    <w:rPr>
      <w:b/>
      <w:bCs/>
      <w:i/>
      <w:iCs/>
      <w:spacing w:val="0"/>
    </w:rPr>
  </w:style>
  <w:style w:type="paragraph" w:styleId="TOCHeading">
    <w:name w:val="TOC Heading"/>
    <w:basedOn w:val="Heading1"/>
    <w:next w:val="Normal"/>
    <w:uiPriority w:val="39"/>
    <w:semiHidden/>
    <w:unhideWhenUsed/>
    <w:qFormat/>
    <w:rsid w:val="00B362D8"/>
    <w:pPr>
      <w:outlineLvl w:val="9"/>
    </w:pPr>
  </w:style>
  <w:style w:type="paragraph" w:styleId="ListParagraph">
    <w:name w:val="List Paragraph"/>
    <w:basedOn w:val="Normal"/>
    <w:uiPriority w:val="34"/>
    <w:qFormat/>
    <w:rsid w:val="00B362D8"/>
    <w:pPr>
      <w:ind w:left="720"/>
      <w:contextualSpacing/>
    </w:pPr>
  </w:style>
  <w:style w:type="paragraph" w:styleId="Header">
    <w:name w:val="header"/>
    <w:basedOn w:val="Normal"/>
    <w:link w:val="HeaderChar"/>
    <w:uiPriority w:val="99"/>
    <w:unhideWhenUsed/>
    <w:rsid w:val="000E05BA"/>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E05BA"/>
  </w:style>
  <w:style w:type="paragraph" w:styleId="Footer">
    <w:name w:val="footer"/>
    <w:basedOn w:val="Normal"/>
    <w:link w:val="FooterChar"/>
    <w:unhideWhenUsed/>
    <w:rsid w:val="000E05BA"/>
    <w:pPr>
      <w:tabs>
        <w:tab w:val="center" w:pos="4536"/>
        <w:tab w:val="right" w:pos="9072"/>
      </w:tabs>
      <w:spacing w:before="0" w:after="0" w:line="240" w:lineRule="auto"/>
    </w:pPr>
  </w:style>
  <w:style w:type="character" w:customStyle="1" w:styleId="FooterChar">
    <w:name w:val="Footer Char"/>
    <w:basedOn w:val="DefaultParagraphFont"/>
    <w:link w:val="Footer"/>
    <w:rsid w:val="000E05BA"/>
  </w:style>
  <w:style w:type="paragraph" w:styleId="BalloonText">
    <w:name w:val="Balloon Text"/>
    <w:basedOn w:val="Normal"/>
    <w:link w:val="BalloonTextChar"/>
    <w:uiPriority w:val="99"/>
    <w:semiHidden/>
    <w:unhideWhenUsed/>
    <w:rsid w:val="00EB5E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54"/>
    <w:rPr>
      <w:rFonts w:ascii="Segoe UI" w:hAnsi="Segoe UI" w:cs="Segoe UI"/>
      <w:sz w:val="18"/>
      <w:szCs w:val="18"/>
    </w:rPr>
  </w:style>
  <w:style w:type="paragraph" w:customStyle="1" w:styleId="Default">
    <w:name w:val="Default"/>
    <w:rsid w:val="009D37F4"/>
    <w:pPr>
      <w:autoSpaceDE w:val="0"/>
      <w:autoSpaceDN w:val="0"/>
      <w:adjustRightInd w:val="0"/>
      <w:spacing w:before="0"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5E1B0A"/>
    <w:rPr>
      <w:color w:val="0563C1" w:themeColor="hyperlink"/>
      <w:u w:val="single"/>
    </w:rPr>
  </w:style>
  <w:style w:type="character" w:styleId="CommentReference">
    <w:name w:val="annotation reference"/>
    <w:basedOn w:val="DefaultParagraphFont"/>
    <w:uiPriority w:val="99"/>
    <w:semiHidden/>
    <w:unhideWhenUsed/>
    <w:rsid w:val="00865336"/>
    <w:rPr>
      <w:sz w:val="16"/>
      <w:szCs w:val="16"/>
    </w:rPr>
  </w:style>
  <w:style w:type="paragraph" w:styleId="CommentText">
    <w:name w:val="annotation text"/>
    <w:basedOn w:val="Normal"/>
    <w:link w:val="CommentTextChar"/>
    <w:uiPriority w:val="99"/>
    <w:semiHidden/>
    <w:unhideWhenUsed/>
    <w:rsid w:val="00865336"/>
    <w:pPr>
      <w:spacing w:before="0" w:after="160" w:line="240" w:lineRule="auto"/>
    </w:pPr>
    <w:rPr>
      <w:rFonts w:ascii="Calibri" w:eastAsia="Calibri" w:hAnsi="Calibri" w:cs="Times New Roman"/>
      <w:lang w:val="en-GB"/>
    </w:rPr>
  </w:style>
  <w:style w:type="character" w:customStyle="1" w:styleId="CommentTextChar">
    <w:name w:val="Comment Text Char"/>
    <w:basedOn w:val="DefaultParagraphFont"/>
    <w:link w:val="CommentText"/>
    <w:uiPriority w:val="99"/>
    <w:semiHidden/>
    <w:rsid w:val="00865336"/>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76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health/documents/eudralex/index_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EAC33-7D86-44B1-A432-215910FB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5498</Words>
  <Characters>31341</Characters>
  <Application>Microsoft Office Word</Application>
  <DocSecurity>0</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Lisman</dc:creator>
  <cp:lastModifiedBy>Natia Nogaideli</cp:lastModifiedBy>
  <cp:revision>2</cp:revision>
  <dcterms:created xsi:type="dcterms:W3CDTF">2019-04-22T09:38:00Z</dcterms:created>
  <dcterms:modified xsi:type="dcterms:W3CDTF">2019-04-22T09:38:00Z</dcterms:modified>
</cp:coreProperties>
</file>