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83515" w14:textId="77777777" w:rsidR="00303C8D" w:rsidRPr="00303C8D" w:rsidRDefault="00303C8D" w:rsidP="004524DA">
      <w:pPr>
        <w:pStyle w:val="ListParagraph"/>
        <w:ind w:left="360"/>
        <w:jc w:val="center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  <w:lang w:val="ka-GE"/>
        </w:rPr>
      </w:pPr>
      <w:bookmarkStart w:id="0" w:name="_GoBack"/>
      <w:bookmarkEnd w:id="0"/>
    </w:p>
    <w:p w14:paraId="4BBDE391" w14:textId="2C151C20" w:rsidR="004524DA" w:rsidRDefault="004524DA" w:rsidP="004524DA">
      <w:pPr>
        <w:pStyle w:val="ListParagraph"/>
        <w:ind w:left="360"/>
        <w:jc w:val="center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  <w:lang w:val="ka-GE"/>
        </w:rPr>
      </w:pPr>
      <w:r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 xml:space="preserve">COVID 19 </w:t>
      </w:r>
      <w:r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  <w:lang w:val="ka-GE"/>
        </w:rPr>
        <w:t>ის ლაბორატორიული დიაგნოსტიკა</w:t>
      </w:r>
    </w:p>
    <w:p w14:paraId="10E4AEC6" w14:textId="77777777" w:rsidR="004524DA" w:rsidRPr="004524DA" w:rsidRDefault="004524DA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  <w:lang w:val="ka-GE"/>
        </w:rPr>
      </w:pPr>
    </w:p>
    <w:p w14:paraId="1F11069B" w14:textId="0B796900" w:rsidR="00F07210" w:rsidRPr="00EE3344" w:rsidRDefault="00F07210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</w:pPr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>COVID-19 -</w:t>
      </w:r>
      <w:proofErr w:type="spellStart"/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>ის</w:t>
      </w:r>
      <w:proofErr w:type="spellEnd"/>
      <w:r w:rsidRPr="00EE3344">
        <w:rPr>
          <w:rFonts w:ascii="Sylfaen" w:hAnsi="Sylfaen" w:cstheme="minorHAnsi"/>
          <w:b/>
          <w:color w:val="1F4E79" w:themeColor="accent5" w:themeShade="80"/>
          <w:sz w:val="28"/>
          <w:szCs w:val="28"/>
          <w:u w:val="single"/>
        </w:rPr>
        <w:t xml:space="preserve"> სადიაგნოსტიკოდ გამოიყენება შემდეგი მეთოდები:</w:t>
      </w:r>
    </w:p>
    <w:p w14:paraId="2E9180D2" w14:textId="77777777" w:rsidR="00660F26" w:rsidRDefault="00660F26" w:rsidP="00660F26">
      <w:pPr>
        <w:pStyle w:val="ListParagraph"/>
        <w:ind w:left="36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bookmarkStart w:id="1" w:name="_Toc36576227"/>
    </w:p>
    <w:bookmarkEnd w:id="1"/>
    <w:p w14:paraId="1A9B2673" w14:textId="66BD6931" w:rsidR="00660F26" w:rsidRPr="00820311" w:rsidRDefault="00660F26" w:rsidP="00660F26">
      <w:pPr>
        <w:pStyle w:val="ListParagraph"/>
        <w:numPr>
          <w:ilvl w:val="0"/>
          <w:numId w:val="20"/>
        </w:numPr>
        <w:jc w:val="both"/>
        <w:rPr>
          <w:rFonts w:ascii="Sylfaen" w:hAnsi="Sylfaen" w:cstheme="minorHAnsi"/>
          <w:color w:val="1F3864" w:themeColor="accent1" w:themeShade="80"/>
          <w:lang w:val="ka-GE"/>
        </w:rPr>
      </w:pPr>
      <w:r w:rsidRPr="00820311">
        <w:rPr>
          <w:rFonts w:ascii="Sylfaen" w:hAnsi="Sylfaen" w:cstheme="minorHAnsi"/>
          <w:color w:val="1F3864" w:themeColor="accent1" w:themeShade="80"/>
          <w:lang w:val="ka-GE"/>
        </w:rPr>
        <w:t>ტესტირება</w:t>
      </w:r>
      <w:r w:rsidR="004524DA" w:rsidRPr="00820311">
        <w:rPr>
          <w:rFonts w:ascii="Sylfaen" w:hAnsi="Sylfaen" w:cstheme="minorHAnsi"/>
          <w:color w:val="1F3864" w:themeColor="accent1" w:themeShade="80"/>
        </w:rPr>
        <w:t xml:space="preserve"> 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>პოლიმერაზულ ჯაჭვური რეაქციის მეთოდის გამოყენებით (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>PCR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ტესტირება). განიხილება, როგორც ტექტირების </w:t>
      </w:r>
      <w:r w:rsidRPr="00820311">
        <w:rPr>
          <w:rFonts w:ascii="Sylfaen" w:hAnsi="Sylfaen" w:cstheme="minorHAnsi"/>
          <w:color w:val="1F3864" w:themeColor="accent1" w:themeShade="80"/>
          <w:lang w:val="ka-GE"/>
        </w:rPr>
        <w:t>ოქროს სტანდარტი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. ტესტის სანდოობა მაღალია. მისი ჩატარება შესაძლებელია მაღალტექნოლოგიურ ლაბორატორიაში. პასუხის მიღებას რამდენიმე საათი სჭირდება. </w:t>
      </w:r>
      <w:r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</w:t>
      </w:r>
    </w:p>
    <w:p w14:paraId="6F91A6DE" w14:textId="31C537A5" w:rsidR="004524DA" w:rsidRPr="00820311" w:rsidRDefault="00660F26" w:rsidP="004524DA">
      <w:pPr>
        <w:pStyle w:val="ListParagraph"/>
        <w:numPr>
          <w:ilvl w:val="0"/>
          <w:numId w:val="24"/>
        </w:numPr>
        <w:ind w:left="720"/>
        <w:jc w:val="both"/>
        <w:rPr>
          <w:rFonts w:ascii="Sylfaen" w:hAnsi="Sylfaen" w:cstheme="minorHAnsi"/>
          <w:color w:val="1F3864" w:themeColor="accent1" w:themeShade="80"/>
          <w:lang w:val="ka-GE"/>
        </w:rPr>
      </w:pPr>
      <w:r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>სწრაფი ტესტი ანტიგენზე (Ag), ჩასატარებლად მარტივი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>ა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, სწრაფი პასუხი (10-15 წთ), სანდოობის 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საკმაოდ 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>მაღალი დონე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. თუ გამოკვლევა სიმპტომების გამოვლენამდე ან დაავადების მოგვიანებით ეტაპზე ჩატარდა, დაავადების არსებობის მიუხედავად, ტესტი შესაძლოა  უარყოფითი იყოს.   გამოსაკვლევად გამოიყენება ცხვირ-ხახიდან აღებული ნაცხი. </w:t>
      </w:r>
    </w:p>
    <w:p w14:paraId="3CE9615A" w14:textId="740CA133" w:rsidR="00F07210" w:rsidRPr="00820311" w:rsidRDefault="00F07210" w:rsidP="005140B3">
      <w:pPr>
        <w:pStyle w:val="ListParagraph"/>
        <w:numPr>
          <w:ilvl w:val="0"/>
          <w:numId w:val="20"/>
        </w:numPr>
        <w:outlineLvl w:val="1"/>
        <w:rPr>
          <w:rFonts w:ascii="Sylfaen" w:hAnsi="Sylfaen" w:cstheme="minorHAnsi"/>
          <w:color w:val="1F3864" w:themeColor="accent1" w:themeShade="80"/>
          <w:lang w:val="ka-GE"/>
        </w:rPr>
      </w:pPr>
      <w:r w:rsidRPr="00820311">
        <w:rPr>
          <w:rFonts w:ascii="Sylfaen" w:hAnsi="Sylfaen" w:cstheme="minorHAnsi"/>
          <w:color w:val="1F3864" w:themeColor="accent1" w:themeShade="80"/>
          <w:lang w:val="ka-GE"/>
        </w:rPr>
        <w:t>სწრაფი ტესტები ანტისხეულებ</w:t>
      </w:r>
      <w:r w:rsidR="00660F26" w:rsidRPr="00820311">
        <w:rPr>
          <w:rFonts w:ascii="Sylfaen" w:hAnsi="Sylfaen" w:cstheme="minorHAnsi"/>
          <w:color w:val="1F3864" w:themeColor="accent1" w:themeShade="80"/>
          <w:lang w:val="ka-GE"/>
        </w:rPr>
        <w:t>ზე</w:t>
      </w:r>
      <w:r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(IgM/IgG)</w:t>
      </w:r>
      <w:r w:rsidR="00660F26" w:rsidRPr="00820311">
        <w:rPr>
          <w:rFonts w:ascii="Sylfaen" w:hAnsi="Sylfaen" w:cstheme="minorHAnsi"/>
          <w:color w:val="1F3864" w:themeColor="accent1" w:themeShade="80"/>
          <w:lang w:val="ka-GE"/>
        </w:rPr>
        <w:t>, ჩასატარებლად მარტივი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>ა</w:t>
      </w:r>
      <w:r w:rsidR="00660F26" w:rsidRPr="00820311">
        <w:rPr>
          <w:rFonts w:ascii="Sylfaen" w:hAnsi="Sylfaen" w:cstheme="minorHAnsi"/>
          <w:color w:val="1F3864" w:themeColor="accent1" w:themeShade="80"/>
          <w:lang w:val="ka-GE"/>
        </w:rPr>
        <w:t>,</w:t>
      </w:r>
      <w:r w:rsidR="004524DA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გამოსაკვლევად გამოიყენება კაპილარული სისხლი. </w:t>
      </w:r>
      <w:r w:rsidR="00660F26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 სწრაფი პასუხი (10-15 წთ), სანდოობის საკმაოდ მაღალი დონე</w:t>
      </w:r>
      <w:r w:rsidR="00820311" w:rsidRPr="00820311">
        <w:rPr>
          <w:rFonts w:ascii="Sylfaen" w:hAnsi="Sylfaen" w:cstheme="minorHAnsi"/>
          <w:color w:val="1F3864" w:themeColor="accent1" w:themeShade="80"/>
          <w:lang w:val="ka-GE"/>
        </w:rPr>
        <w:t xml:space="preserve">. 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IgM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ჩნდება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კლინიკური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მანიფესტაციიდან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3-5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დღის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შემდეგ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,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ხოლო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IgG-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ს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აღმოჩენა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მოგვიანებით</w:t>
      </w:r>
      <w:r w:rsidR="00820311" w:rsidRPr="00820311">
        <w:rPr>
          <w:rFonts w:ascii="Sylfaen" w:hAnsi="Sylfaen"/>
          <w:color w:val="1F3864" w:themeColor="accent1" w:themeShade="80"/>
          <w:lang w:val="ka-GE"/>
        </w:rPr>
        <w:t xml:space="preserve"> 10-14 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>დღე</w:t>
      </w:r>
      <w:r w:rsidR="00820311" w:rsidRPr="00820311">
        <w:rPr>
          <w:rFonts w:ascii="Sylfaen" w:hAnsi="Sylfaen" w:cs="Sylfaen"/>
          <w:color w:val="1F3864" w:themeColor="accent1" w:themeShade="80"/>
          <w:lang w:val="ka-GE"/>
        </w:rPr>
        <w:t xml:space="preserve">. ამიტომ ტესტის ჩატარება დაავადების ადრეულ ეტაპზე აზრს მოკლებულია. </w:t>
      </w:r>
    </w:p>
    <w:p w14:paraId="5C7FDCCF" w14:textId="3046EB1C" w:rsidR="00E63F85" w:rsidRDefault="00E63F8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</w:p>
    <w:p w14:paraId="6B031994" w14:textId="544050F9" w:rsidR="00E63F85" w:rsidRPr="00EE3344" w:rsidRDefault="00C045F5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PCR მეთოდით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(ოქროს სტანდარტით) ტესტირება უტარდებათ </w:t>
      </w:r>
    </w:p>
    <w:p w14:paraId="5DF77FE9" w14:textId="17F0C4E5" w:rsidR="00A66C76" w:rsidRDefault="00A66C76" w:rsidP="00EE3344">
      <w:pPr>
        <w:pStyle w:val="ListParagraph"/>
        <w:ind w:left="360"/>
        <w:jc w:val="both"/>
        <w:outlineLvl w:val="0"/>
        <w:rPr>
          <w:rFonts w:ascii="Sylfaen" w:hAnsi="Sylfaen" w:cstheme="minorHAnsi"/>
          <w:color w:val="2E74B5" w:themeColor="accent5" w:themeShade="BF"/>
          <w:lang w:val="ka-GE"/>
        </w:rPr>
      </w:pPr>
    </w:p>
    <w:p w14:paraId="4F482D33" w14:textId="31B90957" w:rsidR="009C2A67" w:rsidRPr="00EE3344" w:rsidRDefault="004437E8" w:rsidP="009C2A67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თვითიზოლაციაში და </w:t>
      </w:r>
      <w:r w:rsidR="005600D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საკარანტინო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სივრცეებში</w:t>
      </w:r>
      <w:r w:rsidR="005600DD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მყოფი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კლინიკური სიმპტომების მქონე </w:t>
      </w:r>
      <w:r w:rsidR="00C045F5">
        <w:rPr>
          <w:rFonts w:ascii="Sylfaen" w:hAnsi="Sylfaen" w:cstheme="minorHAnsi"/>
          <w:color w:val="1F4E79" w:themeColor="accent5" w:themeShade="80"/>
          <w:lang w:val="ka-GE"/>
        </w:rPr>
        <w:t>პირებს</w:t>
      </w:r>
    </w:p>
    <w:p w14:paraId="28FF9B3C" w14:textId="25950C93" w:rsidR="009C2A67" w:rsidRPr="00EE3344" w:rsidRDefault="009C2A67" w:rsidP="009C2A67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სიმპტომური პაციენტებ</w:t>
      </w:r>
      <w:r w:rsidR="00C045F5">
        <w:rPr>
          <w:rFonts w:ascii="Sylfaen" w:hAnsi="Sylfaen" w:cstheme="minorHAnsi"/>
          <w:color w:val="1F4E79" w:themeColor="accent5" w:themeShade="80"/>
          <w:lang w:val="ka-GE"/>
        </w:rPr>
        <w:t>ს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, მაღალი რისკის ზონებიდან; </w:t>
      </w:r>
    </w:p>
    <w:p w14:paraId="32C6E79E" w14:textId="2738DFAC" w:rsidR="00B00CE7" w:rsidRPr="008051C6" w:rsidRDefault="009C2A67" w:rsidP="00820311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პირებ</w:t>
      </w:r>
      <w:r w:rsidR="00C045F5">
        <w:rPr>
          <w:rFonts w:ascii="Sylfaen" w:hAnsi="Sylfaen" w:cstheme="minorHAnsi"/>
          <w:color w:val="1F4E79" w:themeColor="accent5" w:themeShade="80"/>
          <w:lang w:val="ka-GE"/>
        </w:rPr>
        <w:t>ს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 </w:t>
      </w:r>
      <w:r w:rsidRPr="008051C6">
        <w:rPr>
          <w:rFonts w:ascii="Sylfaen" w:hAnsi="Sylfaen" w:cstheme="minorHAnsi"/>
          <w:color w:val="1F4E79" w:themeColor="accent5" w:themeShade="80"/>
          <w:lang w:val="ka-GE"/>
        </w:rPr>
        <w:t>სიმპტომების მქონე პაციენტების კლასტერიდან.</w:t>
      </w:r>
    </w:p>
    <w:p w14:paraId="4BE98FD7" w14:textId="77777777" w:rsidR="00820311" w:rsidRPr="008051C6" w:rsidRDefault="00820311" w:rsidP="00820311">
      <w:pPr>
        <w:pStyle w:val="ListParagraph"/>
        <w:jc w:val="both"/>
        <w:rPr>
          <w:rFonts w:ascii="Sylfaen" w:hAnsi="Sylfaen" w:cstheme="minorHAnsi"/>
          <w:color w:val="1F4E79" w:themeColor="accent5" w:themeShade="80"/>
          <w:lang w:val="ka-GE"/>
        </w:rPr>
      </w:pPr>
    </w:p>
    <w:p w14:paraId="56AA162B" w14:textId="754B9349" w:rsidR="005600DD" w:rsidRPr="008051C6" w:rsidRDefault="00B00CE7" w:rsidP="00EE3344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8051C6">
        <w:rPr>
          <w:rFonts w:ascii="Sylfaen" w:hAnsi="Sylfaen" w:cs="Times New Roman"/>
          <w:color w:val="1F4E79" w:themeColor="accent5" w:themeShade="80"/>
          <w:lang w:val="ka-GE"/>
        </w:rPr>
        <w:t xml:space="preserve">ტესტირების </w:t>
      </w:r>
      <w:r w:rsidR="005600DD" w:rsidRPr="008051C6">
        <w:rPr>
          <w:rFonts w:ascii="Sylfaen" w:hAnsi="Sylfaen" w:cstheme="minorHAnsi"/>
          <w:color w:val="1F4E79" w:themeColor="accent5" w:themeShade="80"/>
          <w:lang w:val="ka-GE"/>
        </w:rPr>
        <w:t>უარყოფითი პასუხის შემთხვევაში, პირი რჩება იზოლაციაში და</w:t>
      </w:r>
      <w:r w:rsidR="0035530D"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 14 დღის შემდეგ</w:t>
      </w:r>
      <w:r w:rsidR="005600DD"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 უტარდება განმეორებითი PCR  ტესტირება </w:t>
      </w:r>
    </w:p>
    <w:p w14:paraId="013304B9" w14:textId="137FAF20" w:rsidR="00F07210" w:rsidRPr="008051C6" w:rsidRDefault="00F530F1" w:rsidP="00EE3344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პირველი ან </w:t>
      </w:r>
      <w:r w:rsidR="009C2A67" w:rsidRPr="008051C6">
        <w:rPr>
          <w:rFonts w:ascii="Sylfaen" w:hAnsi="Sylfaen" w:cstheme="minorHAnsi"/>
          <w:color w:val="1F4E79" w:themeColor="accent5" w:themeShade="80"/>
          <w:lang w:val="ka-GE"/>
        </w:rPr>
        <w:t>განმეორებ</w:t>
      </w:r>
      <w:r w:rsidR="00F07210" w:rsidRPr="008051C6">
        <w:rPr>
          <w:rFonts w:ascii="Sylfaen" w:hAnsi="Sylfaen" w:cstheme="minorHAnsi"/>
          <w:color w:val="1F4E79" w:themeColor="accent5" w:themeShade="80"/>
          <w:lang w:val="ka-GE"/>
        </w:rPr>
        <w:t>ი</w:t>
      </w:r>
      <w:r w:rsidR="009C2A67"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თი </w:t>
      </w:r>
      <w:r w:rsidR="00F07210"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PCR   ტესტის </w:t>
      </w:r>
      <w:r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ტესტირების დადებითი </w:t>
      </w:r>
      <w:r w:rsidR="0035530D"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პასუხი, ითვლება დადასტურებულ შემთხვევად და </w:t>
      </w:r>
      <w:r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 იწყება პაციენტის მკურნალობა</w:t>
      </w:r>
    </w:p>
    <w:p w14:paraId="0DF76C91" w14:textId="05418B46" w:rsidR="00F07210" w:rsidRPr="008051C6" w:rsidRDefault="00F07210" w:rsidP="00EE3344">
      <w:pPr>
        <w:pStyle w:val="ListParagraph"/>
        <w:numPr>
          <w:ilvl w:val="0"/>
          <w:numId w:val="19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8051C6">
        <w:rPr>
          <w:rFonts w:ascii="Sylfaen" w:hAnsi="Sylfaen" w:cstheme="minorHAnsi"/>
          <w:color w:val="1F4E79" w:themeColor="accent5" w:themeShade="80"/>
          <w:lang w:val="ka-GE"/>
        </w:rPr>
        <w:t>ხოლო განმეორებითი PCR  ტესტის უარყოფითი პასუხის  შემთხვევაში ტარდება სწრაფი ტესტირება ანტისხეულებზე (IgM/IgG)</w:t>
      </w:r>
      <w:r w:rsidR="00820311" w:rsidRPr="008051C6">
        <w:rPr>
          <w:rFonts w:ascii="Sylfaen" w:hAnsi="Sylfaen" w:cstheme="minorHAnsi"/>
          <w:color w:val="1F4E79" w:themeColor="accent5" w:themeShade="80"/>
          <w:lang w:val="ka-GE"/>
        </w:rPr>
        <w:t xml:space="preserve">. ანტისხეულებზე უარყოფითი ტესტი გამორიცხავს COVID 19 ის არსებობას. დადებითი ტესტი ანტისხეულზე დაავადების მიმდინარეობაზე და უკვე გადატანილ დაავადებაზე შეიძლება მიუთითებდეს და პაციენტს დასჭირდება შეფასება ეპიდემიოლოგის ან ექიმის მიერ. </w:t>
      </w:r>
    </w:p>
    <w:p w14:paraId="400E1FA8" w14:textId="6660A1C9" w:rsidR="009F32D5" w:rsidRPr="00C251DD" w:rsidRDefault="009F32D5" w:rsidP="00026F26">
      <w:pPr>
        <w:jc w:val="both"/>
        <w:rPr>
          <w:rFonts w:ascii="Sylfaen" w:hAnsi="Sylfaen" w:cstheme="minorHAnsi"/>
          <w:lang w:val="ka-GE"/>
        </w:rPr>
      </w:pPr>
    </w:p>
    <w:p w14:paraId="2C3DD7AE" w14:textId="0921D8DC" w:rsidR="004437E8" w:rsidRDefault="004437E8" w:rsidP="00C251DD">
      <w:pPr>
        <w:rPr>
          <w:rFonts w:ascii="Sylfaen" w:hAnsi="Sylfaen"/>
          <w:lang w:val="ka-GE"/>
        </w:rPr>
      </w:pPr>
    </w:p>
    <w:p w14:paraId="5C6116BC" w14:textId="30C40783" w:rsidR="00B00CE7" w:rsidRPr="00EE3344" w:rsidRDefault="00C045F5" w:rsidP="00C045F5">
      <w:pP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lastRenderedPageBreak/>
        <w:t xml:space="preserve">ცხვირ-ხახის 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ნაცხის </w:t>
      </w: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PCR ან სწრაფი ტესტირება ანტისხეულებზე (IgM/IgG)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</w:t>
      </w:r>
      <w:r w:rsidR="009F32D5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და ანტიგენზე 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უტარდება</w:t>
      </w:r>
      <w:bookmarkStart w:id="2" w:name="_Toc36576232"/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</w:t>
      </w:r>
      <w:r w:rsidR="00B00CE7"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ჰოსპიტალიზებულ და ამბულატორიულ პაციენტებ</w:t>
      </w:r>
      <w:bookmarkEnd w:id="2"/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ს</w:t>
      </w:r>
      <w:r w:rsidR="009F32D5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, მათ შორის:</w:t>
      </w:r>
    </w:p>
    <w:p w14:paraId="55482A90" w14:textId="52E49B03" w:rsidR="008D1968" w:rsidRPr="00EE3344" w:rsidRDefault="002F695E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კლინიკაში </w:t>
      </w:r>
      <w:r w:rsidR="008D1968" w:rsidRPr="00EE3344">
        <w:rPr>
          <w:rFonts w:ascii="Sylfaen" w:hAnsi="Sylfaen" w:cstheme="minorHAnsi"/>
          <w:color w:val="1F4E79" w:themeColor="accent5" w:themeShade="80"/>
          <w:lang w:val="ka-GE"/>
        </w:rPr>
        <w:t xml:space="preserve">მოთავსებულ </w:t>
      </w:r>
      <w:r w:rsidRPr="00EE3344">
        <w:rPr>
          <w:rFonts w:ascii="Sylfaen" w:hAnsi="Sylfaen" w:cstheme="minorHAnsi"/>
          <w:color w:val="1F4E79" w:themeColor="accent5" w:themeShade="80"/>
          <w:lang w:val="ka-GE"/>
        </w:rPr>
        <w:t>პაციენტებს უცნობი წარმომავლობის პნევმონიის დიაგნოზით</w:t>
      </w:r>
      <w:r w:rsidR="008D1968" w:rsidRPr="00EE3344">
        <w:rPr>
          <w:rFonts w:ascii="Sylfaen" w:hAnsi="Sylfaen" w:cstheme="minorHAnsi"/>
          <w:color w:val="1F4E79" w:themeColor="accent5" w:themeShade="80"/>
          <w:lang w:val="ka-GE"/>
        </w:rPr>
        <w:t>;</w:t>
      </w:r>
    </w:p>
    <w:p w14:paraId="757EC641" w14:textId="271BA90B" w:rsidR="0060128B" w:rsidRPr="00EE3344" w:rsidRDefault="008D1968" w:rsidP="00EE3344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ამბულატორიული პაციენტებს, რომლებსაც აღენიშნებათ  COVID-19 ინფექციისათვის დამახასიათებელი რესპირატორული სიმპტომები და  ცხელება,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შესაბამის კლინიკას</w:t>
      </w:r>
    </w:p>
    <w:p w14:paraId="5244749B" w14:textId="7543CC84" w:rsidR="002F695E" w:rsidRPr="002D3FB7" w:rsidRDefault="002F695E" w:rsidP="002D3FB7">
      <w:pPr>
        <w:jc w:val="both"/>
        <w:rPr>
          <w:rFonts w:ascii="Sylfaen" w:hAnsi="Sylfaen" w:cstheme="minorHAnsi"/>
          <w:lang w:val="ka-GE"/>
        </w:rPr>
      </w:pPr>
    </w:p>
    <w:p w14:paraId="370A70C5" w14:textId="19DE0ABC" w:rsidR="0060128B" w:rsidRPr="00EE3344" w:rsidRDefault="0060128B" w:rsidP="00EE3344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>PCR   ტესტის დადებითი  პასუხი ითვლება დადასტურებულ შემთხვევად</w:t>
      </w:r>
      <w:r w:rsidR="003D56DB" w:rsidRPr="00EE3344">
        <w:rPr>
          <w:rFonts w:ascii="Sylfaen" w:hAnsi="Sylfaen" w:cs="Times New Roman"/>
          <w:color w:val="1F4E79" w:themeColor="accent5" w:themeShade="80"/>
          <w:lang w:val="ka-GE"/>
        </w:rPr>
        <w:t>, ხოლო უარყოფითი პასუხის  შემთხვევაში ტარდება სწრაფი ტესტირება ანტისხეულებზე (IgM/IgG)</w:t>
      </w:r>
    </w:p>
    <w:p w14:paraId="61EF87FE" w14:textId="040A6435" w:rsidR="001D1AE9" w:rsidRPr="001D1AE9" w:rsidRDefault="00D77023" w:rsidP="001D1AE9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ანტისხეულებზე (IgM/IgG) </w:t>
      </w:r>
      <w:r w:rsidR="009F32D5">
        <w:rPr>
          <w:rFonts w:ascii="Sylfaen" w:hAnsi="Sylfaen" w:cs="Times New Roman"/>
          <w:color w:val="1F4E79" w:themeColor="accent5" w:themeShade="80"/>
          <w:lang w:val="ka-GE"/>
        </w:rPr>
        <w:t xml:space="preserve">და ანტიგენზე </w:t>
      </w:r>
      <w:r w:rsidR="0060128B" w:rsidRPr="00EE3344">
        <w:rPr>
          <w:rFonts w:ascii="Sylfaen" w:hAnsi="Sylfaen" w:cs="Times New Roman"/>
          <w:color w:val="1F4E79" w:themeColor="accent5" w:themeShade="80"/>
          <w:lang w:val="ka-GE"/>
        </w:rPr>
        <w:t>სწრაფი ტესტი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>რების</w:t>
      </w:r>
      <w:r w:rsidR="0060128B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 დადებითი პასუხის შემთხვევაში</w:t>
      </w:r>
      <w:r w:rsidR="001D1AE9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  <w:r w:rsidR="001D1AE9">
        <w:rPr>
          <w:rFonts w:ascii="Sylfaen" w:hAnsi="Sylfaen" w:cs="Times New Roman"/>
          <w:color w:val="1F4E79" w:themeColor="accent5" w:themeShade="80"/>
          <w:lang w:val="ka-GE"/>
        </w:rPr>
        <w:t>სავარაუდოა</w:t>
      </w:r>
      <w:r w:rsidR="001D1AE9" w:rsidRPr="001D1AE9">
        <w:rPr>
          <w:rFonts w:ascii="Sylfaen" w:hAnsi="Sylfaen" w:cs="Times New Roman"/>
          <w:color w:val="1F4E79" w:themeColor="accent5" w:themeShade="80"/>
          <w:lang w:val="ka-GE"/>
        </w:rPr>
        <w:t xml:space="preserve"> COVID 19.</w:t>
      </w:r>
      <w:r w:rsidR="001D1AE9">
        <w:rPr>
          <w:rFonts w:ascii="Sylfaen" w:hAnsi="Sylfaen" w:cs="Times New Roman"/>
          <w:color w:val="1F4E79" w:themeColor="accent5" w:themeShade="80"/>
          <w:lang w:val="ka-GE"/>
        </w:rPr>
        <w:t xml:space="preserve"> დიაგნოზის დადასტურებისთვის </w:t>
      </w:r>
      <w:r w:rsidR="0060128B"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 ტარდება განმეორებითი ტესტი PCR მეთოდით</w:t>
      </w:r>
      <w:r w:rsidR="001D1AE9">
        <w:rPr>
          <w:rFonts w:ascii="Sylfaen" w:hAnsi="Sylfaen" w:cs="Times New Roman"/>
          <w:color w:val="1F4E79" w:themeColor="accent5" w:themeShade="80"/>
          <w:lang w:val="ka-GE"/>
        </w:rPr>
        <w:t xml:space="preserve">.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  <w:r w:rsidR="001D1AE9">
        <w:rPr>
          <w:rFonts w:ascii="Sylfaen" w:hAnsi="Sylfaen" w:cs="Times New Roman"/>
          <w:color w:val="1F4E79" w:themeColor="accent5" w:themeShade="80"/>
          <w:lang w:val="ka-GE"/>
        </w:rPr>
        <w:t>ანტიგენზე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უარყოფითი პასუხის  შემთხვევაში ტარდება განმეორებით სწრაფი ტესტირება ანტისხეულებზე (IgM/IgG)</w:t>
      </w:r>
      <w:r w:rsidR="001D1AE9">
        <w:rPr>
          <w:rFonts w:ascii="Sylfaen" w:hAnsi="Sylfaen" w:cs="Times New Roman"/>
          <w:color w:val="1F4E79" w:themeColor="accent5" w:themeShade="80"/>
          <w:lang w:val="ka-GE"/>
        </w:rPr>
        <w:t xml:space="preserve">. თუ ანტიგენზე და </w:t>
      </w:r>
      <w:r w:rsidR="001D1AE9" w:rsidRPr="001D1AE9">
        <w:rPr>
          <w:rFonts w:ascii="Sylfaen" w:hAnsi="Sylfaen" w:cstheme="minorHAnsi"/>
          <w:color w:val="1F4E79" w:themeColor="accent5" w:themeShade="80"/>
          <w:lang w:val="ka-GE"/>
        </w:rPr>
        <w:t xml:space="preserve">ანტისხეულებზე </w:t>
      </w:r>
      <w:r w:rsidR="001D1AE9">
        <w:rPr>
          <w:rFonts w:ascii="Sylfaen" w:hAnsi="Sylfaen" w:cstheme="minorHAnsi"/>
          <w:color w:val="1F4E79" w:themeColor="accent5" w:themeShade="80"/>
          <w:lang w:val="ka-GE"/>
        </w:rPr>
        <w:t>ჩატარებული</w:t>
      </w:r>
      <w:r w:rsidR="001D1AE9" w:rsidRPr="001D1AE9">
        <w:rPr>
          <w:rFonts w:ascii="Sylfaen" w:hAnsi="Sylfaen" w:cstheme="minorHAnsi"/>
          <w:color w:val="1F4E79" w:themeColor="accent5" w:themeShade="80"/>
          <w:lang w:val="ka-GE"/>
        </w:rPr>
        <w:t xml:space="preserve"> ტესტი </w:t>
      </w:r>
      <w:r w:rsidR="001D1AE9">
        <w:rPr>
          <w:rFonts w:ascii="Sylfaen" w:hAnsi="Sylfaen" w:cstheme="minorHAnsi"/>
          <w:color w:val="1F4E79" w:themeColor="accent5" w:themeShade="80"/>
          <w:lang w:val="ka-GE"/>
        </w:rPr>
        <w:t xml:space="preserve">უარყოფითია, ეს </w:t>
      </w:r>
      <w:r w:rsidR="001D1AE9" w:rsidRPr="001D1AE9">
        <w:rPr>
          <w:rFonts w:ascii="Sylfaen" w:hAnsi="Sylfaen" w:cstheme="minorHAnsi"/>
          <w:color w:val="1F4E79" w:themeColor="accent5" w:themeShade="80"/>
          <w:lang w:val="ka-GE"/>
        </w:rPr>
        <w:t xml:space="preserve">გამორიცხავს COVID 19 ის არსებობას. დადებითი ტესტი ანტისხეულზე დაავადების მიმდინარეობაზე და უკვე გადატანილ დაავადებაზე შეიძლება მიუთითებდეს და პაციენტს დასჭირდება შეფასება ეპიდემიოლოგის ან ექიმის მიერ. </w:t>
      </w:r>
    </w:p>
    <w:p w14:paraId="49CB32EB" w14:textId="77777777" w:rsidR="001D1AE9" w:rsidRPr="00EE3344" w:rsidRDefault="001D1AE9" w:rsidP="001D1AE9">
      <w:pPr>
        <w:pStyle w:val="ListParagraph"/>
        <w:jc w:val="both"/>
        <w:rPr>
          <w:rFonts w:ascii="Sylfaen" w:hAnsi="Sylfaen" w:cs="Times New Roman"/>
          <w:color w:val="1F4E79" w:themeColor="accent5" w:themeShade="80"/>
          <w:lang w:val="ka-GE"/>
        </w:rPr>
      </w:pPr>
    </w:p>
    <w:p w14:paraId="593CE90D" w14:textId="4509EA3A" w:rsidR="00820311" w:rsidRPr="00EE3344" w:rsidRDefault="00820311" w:rsidP="00820311">
      <w:pPr>
        <w:pStyle w:val="ListParagraph"/>
        <w:ind w:left="360"/>
        <w:jc w:val="both"/>
        <w:outlineLvl w:val="0"/>
        <w:rPr>
          <w:rFonts w:ascii="Sylfaen" w:hAnsi="Sylfaen" w:cstheme="minorHAnsi"/>
          <w:color w:val="1F4E79" w:themeColor="accent5" w:themeShade="80"/>
          <w:lang w:val="ka-GE"/>
        </w:rPr>
      </w:pPr>
      <w:bookmarkStart w:id="3" w:name="_Toc36576231"/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სწრაფი ტესტი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>თ</w:t>
      </w:r>
      <w:r w:rsidRPr="00EE3344"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 ანტისხეულებზე IgM/IgG </w:t>
      </w:r>
      <w:r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  <w:t xml:space="preserve">ტესტირება უტარდება </w:t>
      </w:r>
    </w:p>
    <w:p w14:paraId="10C58053" w14:textId="77777777" w:rsidR="00820311" w:rsidRDefault="00820311" w:rsidP="00820311">
      <w:pPr>
        <w:pStyle w:val="ListParagraph"/>
        <w:jc w:val="both"/>
        <w:outlineLvl w:val="1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p w14:paraId="03D8B983" w14:textId="77777777" w:rsidR="00820311" w:rsidRDefault="00820311" w:rsidP="00820311">
      <w:pPr>
        <w:pStyle w:val="ListParagraph"/>
        <w:jc w:val="both"/>
        <w:outlineLvl w:val="1"/>
        <w:rPr>
          <w:rFonts w:ascii="Sylfaen" w:hAnsi="Sylfaen" w:cstheme="minorHAnsi"/>
          <w:b/>
          <w:color w:val="1F4E79" w:themeColor="accent5" w:themeShade="80"/>
          <w:u w:val="single"/>
          <w:lang w:val="ka-GE"/>
        </w:rPr>
      </w:pPr>
    </w:p>
    <w:bookmarkEnd w:id="3"/>
    <w:p w14:paraId="2C518366" w14:textId="55F252B5" w:rsidR="00820311" w:rsidRPr="00820311" w:rsidRDefault="00820311" w:rsidP="00820311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color w:val="1F4E79" w:themeColor="accent5" w:themeShade="80"/>
          <w:lang w:val="ka-GE"/>
        </w:rPr>
      </w:pPr>
      <w:r w:rsidRPr="00EE3344">
        <w:rPr>
          <w:rFonts w:ascii="Sylfaen" w:hAnsi="Sylfaen" w:cstheme="minorHAnsi"/>
          <w:color w:val="1F4E79" w:themeColor="accent5" w:themeShade="80"/>
          <w:lang w:val="ka-GE"/>
        </w:rPr>
        <w:t>COVID-19 მქონე პაციენტებით მაღალი დატვირთვის მქონე კლინიკებში მომუშავე მედპერსონალ</w:t>
      </w:r>
      <w:r>
        <w:rPr>
          <w:rFonts w:ascii="Sylfaen" w:hAnsi="Sylfaen" w:cstheme="minorHAnsi"/>
          <w:color w:val="1F4E79" w:themeColor="accent5" w:themeShade="80"/>
          <w:lang w:val="ka-GE"/>
        </w:rPr>
        <w:t>ს</w:t>
      </w:r>
      <w:r>
        <w:rPr>
          <w:rFonts w:ascii="Sylfaen" w:hAnsi="Sylfaen" w:cstheme="minorHAnsi"/>
          <w:color w:val="1F4E79" w:themeColor="accent5" w:themeShade="80"/>
          <w:lang w:val="ka-GE"/>
        </w:rPr>
        <w:t xml:space="preserve">. ამ ტესტით </w:t>
      </w:r>
      <w:r w:rsidR="00F32770">
        <w:rPr>
          <w:rFonts w:ascii="Sylfaen" w:hAnsi="Sylfaen" w:cstheme="minorHAnsi"/>
          <w:color w:val="1F4E79" w:themeColor="accent5" w:themeShade="80"/>
          <w:lang w:val="ka-GE"/>
        </w:rPr>
        <w:t>მიზანშეწონილია</w:t>
      </w:r>
      <w:r>
        <w:rPr>
          <w:rFonts w:ascii="Sylfaen" w:hAnsi="Sylfaen" w:cstheme="minorHAnsi"/>
          <w:color w:val="1F4E79" w:themeColor="accent5" w:themeShade="80"/>
          <w:lang w:val="ka-GE"/>
        </w:rPr>
        <w:t xml:space="preserve"> ასევე ორგანიზებული ჯგუფების ან დახურული ტიპის </w:t>
      </w:r>
      <w:r w:rsidR="00F32770">
        <w:rPr>
          <w:rFonts w:ascii="Sylfaen" w:hAnsi="Sylfaen" w:cstheme="minorHAnsi"/>
          <w:color w:val="1F4E79" w:themeColor="accent5" w:themeShade="80"/>
          <w:lang w:val="ka-GE"/>
        </w:rPr>
        <w:t xml:space="preserve">დაწესებულებებში დასაქმებული და მცხოვრები პირების გამოკვლევა. </w:t>
      </w:r>
    </w:p>
    <w:p w14:paraId="4E2AAB5B" w14:textId="77777777" w:rsidR="00820311" w:rsidRPr="00EE3344" w:rsidRDefault="00820311" w:rsidP="00820311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სწრაფ ტესტზე (IgM)  დადებითი პასუხის შემთხვევაში - ტარდება განმეორებითი ტესტირება PCR ტესტით (ოქროს სტანდარტი)  </w:t>
      </w:r>
    </w:p>
    <w:p w14:paraId="55FCB0F4" w14:textId="6FB57F72" w:rsidR="00820311" w:rsidRDefault="00820311" w:rsidP="00820311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 w:rsidRPr="00EE3344">
        <w:rPr>
          <w:rFonts w:ascii="Sylfaen" w:hAnsi="Sylfaen" w:cs="Times New Roman"/>
          <w:color w:val="1F4E79" w:themeColor="accent5" w:themeShade="80"/>
          <w:lang w:val="ka-GE"/>
        </w:rPr>
        <w:t>განმეორებითი PCR კვლევის დადებითი პასუხი ითვლება დადასტურებულ შემთხვევად</w:t>
      </w:r>
      <w:r w:rsidR="00F32770">
        <w:rPr>
          <w:rFonts w:ascii="Sylfaen" w:hAnsi="Sylfaen" w:cs="Times New Roman"/>
          <w:color w:val="1F4E79" w:themeColor="accent5" w:themeShade="80"/>
          <w:lang w:val="ka-GE"/>
        </w:rPr>
        <w:t xml:space="preserve">. თუ </w:t>
      </w:r>
      <w:r w:rsidR="00703D9F">
        <w:rPr>
          <w:rFonts w:ascii="Sylfaen" w:hAnsi="Sylfaen" w:cs="Times New Roman"/>
          <w:color w:val="1F4E79" w:themeColor="accent5" w:themeShade="80"/>
        </w:rPr>
        <w:t xml:space="preserve">Ig M </w:t>
      </w:r>
      <w:r w:rsidR="00F32770">
        <w:rPr>
          <w:rFonts w:ascii="Sylfaen" w:hAnsi="Sylfaen" w:cs="Times New Roman"/>
          <w:color w:val="1F4E79" w:themeColor="accent5" w:themeShade="80"/>
          <w:lang w:val="ka-GE"/>
        </w:rPr>
        <w:t xml:space="preserve">ანტისხეულებზე სწრაფი ტესტი დადებითია, ხოლო </w:t>
      </w:r>
      <w:r w:rsidR="00F32770">
        <w:rPr>
          <w:rFonts w:ascii="Sylfaen" w:hAnsi="Sylfaen" w:cs="Times New Roman"/>
          <w:color w:val="1F4E79" w:themeColor="accent5" w:themeShade="80"/>
        </w:rPr>
        <w:t xml:space="preserve">PCR </w:t>
      </w:r>
      <w:proofErr w:type="spellStart"/>
      <w:r w:rsidR="00F32770">
        <w:rPr>
          <w:rFonts w:ascii="Sylfaen" w:hAnsi="Sylfaen" w:cs="Times New Roman"/>
          <w:color w:val="1F4E79" w:themeColor="accent5" w:themeShade="80"/>
        </w:rPr>
        <w:t>ტესტი</w:t>
      </w:r>
      <w:proofErr w:type="spellEnd"/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უარყოფითი</w:t>
      </w:r>
      <w:r w:rsidR="00F32770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პირი  </w:t>
      </w:r>
      <w:r w:rsidR="00703D9F">
        <w:rPr>
          <w:rFonts w:ascii="Sylfaen" w:hAnsi="Sylfaen" w:cs="Times New Roman"/>
          <w:color w:val="1F4E79" w:themeColor="accent5" w:themeShade="80"/>
          <w:lang w:val="ka-GE"/>
        </w:rPr>
        <w:t>უნდა დარჩეს იზოლაციაში 14 დღე და შემდეგ განმეორებით ჩაიტაროს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 სწრაფი </w:t>
      </w:r>
      <w:r w:rsidR="00703D9F">
        <w:rPr>
          <w:rFonts w:ascii="Sylfaen" w:hAnsi="Sylfaen" w:cs="Times New Roman"/>
          <w:color w:val="1F4E79" w:themeColor="accent5" w:themeShade="80"/>
          <w:lang w:val="ka-GE"/>
        </w:rPr>
        <w:t xml:space="preserve">ტესტი ანტისხეულებზე. </w:t>
      </w:r>
      <w:r w:rsidRPr="00EE3344">
        <w:rPr>
          <w:rFonts w:ascii="Sylfaen" w:hAnsi="Sylfaen" w:cs="Times New Roman"/>
          <w:color w:val="1F4E79" w:themeColor="accent5" w:themeShade="80"/>
          <w:lang w:val="ka-GE"/>
        </w:rPr>
        <w:t xml:space="preserve"> </w:t>
      </w:r>
    </w:p>
    <w:p w14:paraId="20E7303A" w14:textId="27D831E2" w:rsidR="00703D9F" w:rsidRPr="00EE3344" w:rsidRDefault="00703D9F" w:rsidP="00820311">
      <w:pPr>
        <w:pStyle w:val="ListParagraph"/>
        <w:numPr>
          <w:ilvl w:val="0"/>
          <w:numId w:val="29"/>
        </w:numPr>
        <w:jc w:val="both"/>
        <w:rPr>
          <w:rFonts w:ascii="Sylfaen" w:hAnsi="Sylfaen" w:cs="Times New Roman"/>
          <w:color w:val="1F4E79" w:themeColor="accent5" w:themeShade="80"/>
          <w:lang w:val="ka-GE"/>
        </w:rPr>
      </w:pPr>
      <w:r>
        <w:rPr>
          <w:rFonts w:ascii="Sylfaen" w:hAnsi="Sylfaen" w:cs="Times New Roman"/>
          <w:color w:val="1F4E79" w:themeColor="accent5" w:themeShade="80"/>
          <w:lang w:val="ka-GE"/>
        </w:rPr>
        <w:t xml:space="preserve">თუ ტესტი დადებითია </w:t>
      </w:r>
      <w:r>
        <w:rPr>
          <w:rFonts w:ascii="Sylfaen" w:hAnsi="Sylfaen" w:cs="Times New Roman"/>
          <w:color w:val="1F4E79" w:themeColor="accent5" w:themeShade="80"/>
        </w:rPr>
        <w:t xml:space="preserve">Ig M </w:t>
      </w:r>
      <w:r>
        <w:rPr>
          <w:rFonts w:ascii="Sylfaen" w:hAnsi="Sylfaen" w:cs="Times New Roman"/>
          <w:color w:val="1F4E79" w:themeColor="accent5" w:themeShade="80"/>
          <w:lang w:val="ka-GE"/>
        </w:rPr>
        <w:t xml:space="preserve">-ზე ეს გადატანილ დაავადებაზე მიუთითებს და პირს შეუძლია განაგრძოს ჩვეული საქმიანობა. </w:t>
      </w:r>
    </w:p>
    <w:p w14:paraId="16B42C2A" w14:textId="76969946" w:rsidR="009F32D5" w:rsidRDefault="009F32D5">
      <w:pPr>
        <w:rPr>
          <w:rFonts w:ascii="Sylfaen" w:eastAsiaTheme="minorEastAsia" w:hAnsi="Sylfaen" w:cstheme="minorHAnsi"/>
          <w:b/>
          <w:lang w:val="ka-GE"/>
        </w:rPr>
      </w:pPr>
    </w:p>
    <w:p w14:paraId="3D09689A" w14:textId="4D1DF375" w:rsidR="002C6371" w:rsidRPr="002D3FB7" w:rsidRDefault="002C6371" w:rsidP="002D3FB7">
      <w:pPr>
        <w:jc w:val="both"/>
        <w:rPr>
          <w:rFonts w:ascii="Sylfaen" w:hAnsi="Sylfaen" w:cstheme="minorHAnsi"/>
          <w:b/>
          <w:color w:val="FF0000"/>
          <w:lang w:val="ka-GE"/>
        </w:rPr>
      </w:pPr>
    </w:p>
    <w:sectPr w:rsidR="002C6371" w:rsidRPr="002D3FB7" w:rsidSect="00C251DD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2B5"/>
    <w:multiLevelType w:val="hybridMultilevel"/>
    <w:tmpl w:val="551EB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202"/>
    <w:multiLevelType w:val="hybridMultilevel"/>
    <w:tmpl w:val="1A221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01796"/>
    <w:multiLevelType w:val="hybridMultilevel"/>
    <w:tmpl w:val="0DE2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80D8A"/>
    <w:multiLevelType w:val="hybridMultilevel"/>
    <w:tmpl w:val="2C90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2C4B"/>
    <w:multiLevelType w:val="hybridMultilevel"/>
    <w:tmpl w:val="3256578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1020"/>
    <w:multiLevelType w:val="hybridMultilevel"/>
    <w:tmpl w:val="A6DA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D4063"/>
    <w:multiLevelType w:val="hybridMultilevel"/>
    <w:tmpl w:val="C4940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61368"/>
    <w:multiLevelType w:val="hybridMultilevel"/>
    <w:tmpl w:val="80C80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7F60"/>
    <w:multiLevelType w:val="hybridMultilevel"/>
    <w:tmpl w:val="3E0E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5300"/>
    <w:multiLevelType w:val="hybridMultilevel"/>
    <w:tmpl w:val="F394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C78C5"/>
    <w:multiLevelType w:val="hybridMultilevel"/>
    <w:tmpl w:val="C9F2F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14225"/>
    <w:multiLevelType w:val="hybridMultilevel"/>
    <w:tmpl w:val="8E1AE48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9F46970"/>
    <w:multiLevelType w:val="hybridMultilevel"/>
    <w:tmpl w:val="76DAF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B70DB"/>
    <w:multiLevelType w:val="hybridMultilevel"/>
    <w:tmpl w:val="7214E3DC"/>
    <w:lvl w:ilvl="0" w:tplc="F0A0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95410"/>
    <w:multiLevelType w:val="hybridMultilevel"/>
    <w:tmpl w:val="BFB8A8B0"/>
    <w:lvl w:ilvl="0" w:tplc="9A92494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43169"/>
    <w:multiLevelType w:val="hybridMultilevel"/>
    <w:tmpl w:val="81A2B0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C1B6D"/>
    <w:multiLevelType w:val="hybridMultilevel"/>
    <w:tmpl w:val="8F5E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3C0192"/>
    <w:multiLevelType w:val="hybridMultilevel"/>
    <w:tmpl w:val="CF7A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27"/>
  </w:num>
  <w:num w:numId="5">
    <w:abstractNumId w:val="5"/>
  </w:num>
  <w:num w:numId="6">
    <w:abstractNumId w:val="8"/>
  </w:num>
  <w:num w:numId="7">
    <w:abstractNumId w:val="18"/>
  </w:num>
  <w:num w:numId="8">
    <w:abstractNumId w:val="24"/>
  </w:num>
  <w:num w:numId="9">
    <w:abstractNumId w:val="0"/>
  </w:num>
  <w:num w:numId="10">
    <w:abstractNumId w:val="20"/>
  </w:num>
  <w:num w:numId="11">
    <w:abstractNumId w:val="9"/>
  </w:num>
  <w:num w:numId="12">
    <w:abstractNumId w:val="11"/>
  </w:num>
  <w:num w:numId="13">
    <w:abstractNumId w:val="25"/>
  </w:num>
  <w:num w:numId="14">
    <w:abstractNumId w:val="17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16"/>
  </w:num>
  <w:num w:numId="20">
    <w:abstractNumId w:val="15"/>
  </w:num>
  <w:num w:numId="21">
    <w:abstractNumId w:val="28"/>
  </w:num>
  <w:num w:numId="22">
    <w:abstractNumId w:val="12"/>
  </w:num>
  <w:num w:numId="23">
    <w:abstractNumId w:val="22"/>
  </w:num>
  <w:num w:numId="24">
    <w:abstractNumId w:val="3"/>
  </w:num>
  <w:num w:numId="25">
    <w:abstractNumId w:val="21"/>
  </w:num>
  <w:num w:numId="26">
    <w:abstractNumId w:val="23"/>
  </w:num>
  <w:num w:numId="27">
    <w:abstractNumId w:val="26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D8"/>
    <w:rsid w:val="00026F26"/>
    <w:rsid w:val="000541CC"/>
    <w:rsid w:val="000B38A8"/>
    <w:rsid w:val="000F5CD9"/>
    <w:rsid w:val="00162790"/>
    <w:rsid w:val="00182A49"/>
    <w:rsid w:val="001931B4"/>
    <w:rsid w:val="001B124F"/>
    <w:rsid w:val="001B3835"/>
    <w:rsid w:val="001B3FE5"/>
    <w:rsid w:val="001C51F6"/>
    <w:rsid w:val="001D1AE9"/>
    <w:rsid w:val="0020073C"/>
    <w:rsid w:val="00212B01"/>
    <w:rsid w:val="00243A72"/>
    <w:rsid w:val="00243DFD"/>
    <w:rsid w:val="00263B78"/>
    <w:rsid w:val="00272304"/>
    <w:rsid w:val="002C273B"/>
    <w:rsid w:val="002C6371"/>
    <w:rsid w:val="002D3FB7"/>
    <w:rsid w:val="002F695E"/>
    <w:rsid w:val="00303C8D"/>
    <w:rsid w:val="00343611"/>
    <w:rsid w:val="0035530D"/>
    <w:rsid w:val="003D56DB"/>
    <w:rsid w:val="004048AF"/>
    <w:rsid w:val="004437E8"/>
    <w:rsid w:val="004524DA"/>
    <w:rsid w:val="004579D2"/>
    <w:rsid w:val="00476483"/>
    <w:rsid w:val="0048783E"/>
    <w:rsid w:val="004A20BD"/>
    <w:rsid w:val="004A41FB"/>
    <w:rsid w:val="004B50A4"/>
    <w:rsid w:val="004B7B61"/>
    <w:rsid w:val="00527DBA"/>
    <w:rsid w:val="005341C8"/>
    <w:rsid w:val="005600DD"/>
    <w:rsid w:val="00564A26"/>
    <w:rsid w:val="00590360"/>
    <w:rsid w:val="00590642"/>
    <w:rsid w:val="005F707B"/>
    <w:rsid w:val="0060128B"/>
    <w:rsid w:val="00640377"/>
    <w:rsid w:val="00660F26"/>
    <w:rsid w:val="0068320A"/>
    <w:rsid w:val="006A31BE"/>
    <w:rsid w:val="006D2901"/>
    <w:rsid w:val="00703D9F"/>
    <w:rsid w:val="00717188"/>
    <w:rsid w:val="007D0B9E"/>
    <w:rsid w:val="007D5071"/>
    <w:rsid w:val="008051C6"/>
    <w:rsid w:val="00820311"/>
    <w:rsid w:val="00830F4C"/>
    <w:rsid w:val="0085331E"/>
    <w:rsid w:val="00863957"/>
    <w:rsid w:val="00872036"/>
    <w:rsid w:val="00897A93"/>
    <w:rsid w:val="008A4C97"/>
    <w:rsid w:val="008D1968"/>
    <w:rsid w:val="00954401"/>
    <w:rsid w:val="009C26C8"/>
    <w:rsid w:val="009C2A67"/>
    <w:rsid w:val="009F32D5"/>
    <w:rsid w:val="009F7B87"/>
    <w:rsid w:val="00A17CD8"/>
    <w:rsid w:val="00A66C76"/>
    <w:rsid w:val="00A74AD9"/>
    <w:rsid w:val="00AE6965"/>
    <w:rsid w:val="00B00CE7"/>
    <w:rsid w:val="00B1474B"/>
    <w:rsid w:val="00B50803"/>
    <w:rsid w:val="00B802CC"/>
    <w:rsid w:val="00B90155"/>
    <w:rsid w:val="00BA77E6"/>
    <w:rsid w:val="00BB17B4"/>
    <w:rsid w:val="00BD3AA0"/>
    <w:rsid w:val="00BF3A95"/>
    <w:rsid w:val="00C045F5"/>
    <w:rsid w:val="00C251DD"/>
    <w:rsid w:val="00C83E9C"/>
    <w:rsid w:val="00C85B1D"/>
    <w:rsid w:val="00CA1E37"/>
    <w:rsid w:val="00CB73F2"/>
    <w:rsid w:val="00D468A8"/>
    <w:rsid w:val="00D77023"/>
    <w:rsid w:val="00D773AF"/>
    <w:rsid w:val="00D90D2C"/>
    <w:rsid w:val="00E35B56"/>
    <w:rsid w:val="00E63F85"/>
    <w:rsid w:val="00E87B6B"/>
    <w:rsid w:val="00EB33EE"/>
    <w:rsid w:val="00EE3344"/>
    <w:rsid w:val="00F07210"/>
    <w:rsid w:val="00F1010E"/>
    <w:rsid w:val="00F307D1"/>
    <w:rsid w:val="00F32770"/>
    <w:rsid w:val="00F530F1"/>
    <w:rsid w:val="00FC078B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E57C"/>
  <w15:docId w15:val="{EBC68B02-3E2B-4892-8788-2845096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7E8"/>
    <w:pPr>
      <w:ind w:left="720"/>
      <w:contextualSpacing/>
    </w:pPr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4437E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0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5BFA-6354-4DA2-9E0E-1A8303AB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7irak</dc:creator>
  <cp:lastModifiedBy>Tamar Gabunia</cp:lastModifiedBy>
  <cp:revision>7</cp:revision>
  <cp:lastPrinted>2020-04-08T08:27:00Z</cp:lastPrinted>
  <dcterms:created xsi:type="dcterms:W3CDTF">2020-04-08T11:09:00Z</dcterms:created>
  <dcterms:modified xsi:type="dcterms:W3CDTF">2020-04-09T13:48:00Z</dcterms:modified>
</cp:coreProperties>
</file>