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2E" w:rsidRDefault="00583311" w:rsidP="00583311">
      <w:pPr>
        <w:jc w:val="center"/>
        <w:rPr>
          <w:rFonts w:ascii="Sylfaen" w:eastAsia="Times New Roman" w:hAnsi="Sylfaen" w:cs="Sylfaen"/>
          <w:b/>
          <w:sz w:val="32"/>
          <w:lang w:val="ka-GE"/>
        </w:rPr>
      </w:pPr>
      <w:r w:rsidRPr="00583311">
        <w:rPr>
          <w:rFonts w:ascii="Sylfaen" w:eastAsia="Times New Roman" w:hAnsi="Sylfaen" w:cs="Sylfaen"/>
          <w:b/>
          <w:sz w:val="32"/>
          <w:lang w:val="ka-GE"/>
        </w:rPr>
        <w:t xml:space="preserve">ქვემო ქართლში კოვიდის ეპიდრეაგირების შედეგები </w:t>
      </w:r>
      <w:r>
        <w:rPr>
          <w:rFonts w:ascii="Sylfaen" w:eastAsia="Times New Roman" w:hAnsi="Sylfaen" w:cs="Sylfaen"/>
          <w:b/>
          <w:sz w:val="32"/>
          <w:lang w:val="ka-GE"/>
        </w:rPr>
        <w:t>23 მარტიდან 6 მაისამდე  პერიოდში</w:t>
      </w:r>
    </w:p>
    <w:p w:rsidR="00583311" w:rsidRDefault="00583311" w:rsidP="00583311">
      <w:pPr>
        <w:rPr>
          <w:rFonts w:ascii="Sylfaen" w:eastAsia="Times New Roman" w:hAnsi="Sylfaen" w:cs="Sylfaen"/>
          <w:b/>
          <w:sz w:val="32"/>
          <w:lang w:val="ka-GE"/>
        </w:rPr>
      </w:pPr>
    </w:p>
    <w:p w:rsidR="00583311" w:rsidRDefault="00583311" w:rsidP="00583311">
      <w:pPr>
        <w:rPr>
          <w:rFonts w:ascii="Sylfaen" w:eastAsia="Times New Roman" w:hAnsi="Sylfaen" w:cs="Sylfaen"/>
          <w:b/>
          <w:sz w:val="32"/>
          <w:lang w:val="ka-GE"/>
        </w:rPr>
      </w:pPr>
      <w:r>
        <w:rPr>
          <w:rFonts w:ascii="Sylfaen" w:eastAsia="Times New Roman" w:hAnsi="Sylfaen" w:cs="Sylfaen"/>
          <w:b/>
          <w:sz w:val="32"/>
          <w:lang w:val="ka-GE"/>
        </w:rPr>
        <w:t xml:space="preserve">სულ დადსტურდა 201 შემთხვევა: 118 ბოლნისში, 33 მარნეულში და 50 თეთრიწყაროში </w:t>
      </w:r>
    </w:p>
    <w:p w:rsidR="00583311" w:rsidRDefault="00583311" w:rsidP="00583311">
      <w:pPr>
        <w:rPr>
          <w:rFonts w:ascii="Sylfaen" w:eastAsia="Times New Roman" w:hAnsi="Sylfaen" w:cs="Sylfaen"/>
          <w:b/>
          <w:sz w:val="32"/>
          <w:lang w:val="ka-GE"/>
        </w:rPr>
      </w:pPr>
    </w:p>
    <w:p w:rsidR="00583311" w:rsidRDefault="00583311" w:rsidP="00583311">
      <w:pPr>
        <w:jc w:val="center"/>
        <w:rPr>
          <w:rFonts w:ascii="Sylfaen" w:eastAsia="Times New Roman" w:hAnsi="Sylfaen" w:cs="Sylfaen"/>
          <w:b/>
          <w:sz w:val="32"/>
          <w:lang w:val="ka-GE"/>
        </w:rPr>
      </w:pPr>
      <w:r>
        <w:rPr>
          <w:rFonts w:ascii="Sylfaen" w:eastAsia="Times New Roman" w:hAnsi="Sylfaen" w:cs="Sylfaen"/>
          <w:b/>
          <w:sz w:val="32"/>
          <w:lang w:val="ka-GE"/>
        </w:rPr>
        <w:t xml:space="preserve">ბოლნისი </w:t>
      </w:r>
    </w:p>
    <w:p w:rsidR="00583311" w:rsidRPr="00583311" w:rsidRDefault="00583311" w:rsidP="00583311">
      <w:pPr>
        <w:jc w:val="center"/>
        <w:rPr>
          <w:rFonts w:ascii="Sylfaen" w:eastAsia="Times New Roman" w:hAnsi="Sylfaen" w:cs="Sylfaen"/>
          <w:sz w:val="32"/>
          <w:lang w:val="ka-GE"/>
        </w:rPr>
      </w:pPr>
    </w:p>
    <w:p w:rsidR="004F1531" w:rsidRPr="00583311" w:rsidRDefault="00E2122E" w:rsidP="00583311">
      <w:pPr>
        <w:rPr>
          <w:rFonts w:ascii="Sylfaen" w:eastAsia="Times New Roman" w:hAnsi="Sylfaen" w:cs="Sylfaen"/>
          <w:lang w:val="ka-GE"/>
        </w:rPr>
      </w:pPr>
      <w:r w:rsidRPr="00583311">
        <w:rPr>
          <w:rFonts w:ascii="Sylfaen" w:eastAsia="Times New Roman" w:hAnsi="Sylfaen" w:cs="Sylfaen"/>
          <w:noProof/>
        </w:rPr>
        <w:drawing>
          <wp:inline distT="0" distB="0" distL="0" distR="0">
            <wp:extent cx="6143625" cy="30575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583311" w:rsidRDefault="0058331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</w:p>
    <w:p w:rsidR="004F1531" w:rsidRPr="00583311" w:rsidRDefault="004F1531" w:rsidP="004F1531">
      <w:pPr>
        <w:jc w:val="center"/>
        <w:rPr>
          <w:rFonts w:ascii="Sylfaen" w:eastAsia="Times New Roman" w:hAnsi="Sylfaen" w:cs="Sylfaen"/>
          <w:sz w:val="36"/>
          <w:lang w:val="ka-GE"/>
        </w:rPr>
      </w:pPr>
      <w:r w:rsidRPr="00583311">
        <w:rPr>
          <w:rFonts w:ascii="Sylfaen" w:eastAsia="Times New Roman" w:hAnsi="Sylfaen" w:cs="Sylfaen"/>
          <w:sz w:val="36"/>
          <w:lang w:val="ka-GE"/>
        </w:rPr>
        <w:lastRenderedPageBreak/>
        <w:t>მარნეული</w:t>
      </w:r>
    </w:p>
    <w:p w:rsidR="004F1531" w:rsidRPr="00583311" w:rsidRDefault="004F1531" w:rsidP="00E2122E">
      <w:pPr>
        <w:rPr>
          <w:rFonts w:ascii="Sylfaen" w:eastAsia="Times New Roman" w:hAnsi="Sylfaen" w:cs="Sylfaen"/>
          <w:lang w:val="ka-GE"/>
        </w:rPr>
      </w:pPr>
    </w:p>
    <w:p w:rsidR="004F1531" w:rsidRPr="004F1531" w:rsidRDefault="004F1531" w:rsidP="00E2122E">
      <w:pPr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noProof/>
        </w:rPr>
        <w:drawing>
          <wp:inline distT="0" distB="0" distL="0" distR="0" wp14:anchorId="36A7E488" wp14:editId="61F7135D">
            <wp:extent cx="5715000" cy="29527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122E" w:rsidRDefault="00E2122E" w:rsidP="00E2122E">
      <w:pPr>
        <w:rPr>
          <w:rFonts w:ascii="Sylfaen" w:eastAsia="Times New Roman" w:hAnsi="Sylfaen" w:cs="Sylfaen"/>
        </w:rPr>
      </w:pPr>
    </w:p>
    <w:p w:rsidR="00583311" w:rsidRPr="00583311" w:rsidRDefault="00583311" w:rsidP="00E2122E">
      <w:pPr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გავრცელების მთავარი კერები: სასწრაფო გადაუდებელი დახმარები სამსახური  ( 9 თანამშრომელი) ქ მარნეული, ყიზილაჯლო და წერეთელი</w:t>
      </w:r>
    </w:p>
    <w:p w:rsidR="00E2122E" w:rsidRDefault="00E2122E" w:rsidP="00E2122E">
      <w:pPr>
        <w:rPr>
          <w:rFonts w:ascii="Sylfaen" w:eastAsia="Times New Roman" w:hAnsi="Sylfaen" w:cs="Sylfaen"/>
        </w:rPr>
      </w:pPr>
    </w:p>
    <w:p w:rsidR="002F2CF6" w:rsidRPr="00583311" w:rsidRDefault="004F1531" w:rsidP="00583311">
      <w:pPr>
        <w:jc w:val="center"/>
        <w:rPr>
          <w:rFonts w:ascii="Sylfaen" w:hAnsi="Sylfaen"/>
          <w:b/>
          <w:sz w:val="36"/>
          <w:lang w:val="ka-GE"/>
        </w:rPr>
      </w:pPr>
      <w:r w:rsidRPr="00583311">
        <w:rPr>
          <w:rFonts w:ascii="Sylfaen" w:hAnsi="Sylfaen"/>
          <w:b/>
          <w:sz w:val="36"/>
          <w:lang w:val="ka-GE"/>
        </w:rPr>
        <w:t>თეთრიწყარო</w:t>
      </w:r>
    </w:p>
    <w:p w:rsidR="004F1531" w:rsidRDefault="004F1531">
      <w:pPr>
        <w:rPr>
          <w:rFonts w:ascii="Sylfaen" w:hAnsi="Sylfaen"/>
          <w:lang w:val="ka-GE"/>
        </w:rPr>
      </w:pPr>
    </w:p>
    <w:p w:rsidR="004F1531" w:rsidRDefault="00583311">
      <w:p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noProof/>
        </w:rPr>
        <w:drawing>
          <wp:inline distT="0" distB="0" distL="0" distR="0" wp14:anchorId="7E36BA2F" wp14:editId="149190D7">
            <wp:extent cx="5619750" cy="27146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3311" w:rsidRDefault="00583311">
      <w:pPr>
        <w:rPr>
          <w:rFonts w:ascii="Sylfaen" w:hAnsi="Sylfaen"/>
          <w:lang w:val="ka-GE"/>
        </w:rPr>
      </w:pPr>
    </w:p>
    <w:p w:rsidR="00583311" w:rsidRPr="004F1531" w:rsidRDefault="005833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გავრცელების მთავარი კერები: სასწრაფო დახმარების პერსონალი -6 ექიმი და 9 ექთანი  </w:t>
      </w:r>
      <w:bookmarkStart w:id="0" w:name="_GoBack"/>
      <w:bookmarkEnd w:id="0"/>
      <w:r>
        <w:rPr>
          <w:rFonts w:ascii="Sylfaen" w:hAnsi="Sylfaen"/>
          <w:lang w:val="ka-GE"/>
        </w:rPr>
        <w:t>სოფლები : გოლთეთი, წინწყარო, ჯორჯიაშვილი და კოდა</w:t>
      </w:r>
    </w:p>
    <w:sectPr w:rsidR="00583311" w:rsidRPr="004F1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2E"/>
    <w:rsid w:val="002F2CF6"/>
    <w:rsid w:val="00312657"/>
    <w:rsid w:val="003D40A9"/>
    <w:rsid w:val="004F1531"/>
    <w:rsid w:val="00583311"/>
    <w:rsid w:val="00CD02AC"/>
    <w:rsid w:val="00E2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1D2F"/>
  <w15:chartTrackingRefBased/>
  <w15:docId w15:val="{13E7A2CD-E345-4AC6-89AF-FBFA0DCB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ka-GE"/>
              <a:t>კოვიდ 19-ის კასკადი ბოლნისში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მოსახლეობა ბოლნისში</c:v>
                </c:pt>
                <c:pt idx="1">
                  <c:v>თერმოსკრინინგი 1 ეტაპი</c:v>
                </c:pt>
                <c:pt idx="2">
                  <c:v>თერმოსკრინინგი II ეტაპი</c:v>
                </c:pt>
                <c:pt idx="3">
                  <c:v>ჩატარდა PCR ტესტი</c:v>
                </c:pt>
                <c:pt idx="4">
                  <c:v>დადასტურდა</c:v>
                </c:pt>
                <c:pt idx="5">
                  <c:v>გამოჯანმრთელდა</c:v>
                </c:pt>
                <c:pt idx="6">
                  <c:v>გარდაიცვალა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55000</c:v>
                </c:pt>
                <c:pt idx="1">
                  <c:v>48057</c:v>
                </c:pt>
                <c:pt idx="2">
                  <c:v>35967</c:v>
                </c:pt>
                <c:pt idx="3">
                  <c:v>1575</c:v>
                </c:pt>
                <c:pt idx="4">
                  <c:v>118</c:v>
                </c:pt>
                <c:pt idx="5">
                  <c:v>24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8-4327-BA5F-039345A23F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axId val="422985272"/>
        <c:axId val="422985600"/>
      </c:barChart>
      <c:catAx>
        <c:axId val="422985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2985600"/>
        <c:crosses val="autoZero"/>
        <c:auto val="1"/>
        <c:lblAlgn val="ctr"/>
        <c:lblOffset val="100"/>
        <c:noMultiLvlLbl val="0"/>
      </c:catAx>
      <c:valAx>
        <c:axId val="42298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29852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ka-GE"/>
              <a:t>კოვიდ 19-ის კასკადი მარნეულში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მოსახლეობა ბოლნისში</c:v>
                </c:pt>
                <c:pt idx="1">
                  <c:v>თერმოსკრინინგი 1 ეტაპი</c:v>
                </c:pt>
                <c:pt idx="2">
                  <c:v>თერმოსკრინინგი II ეტაპი</c:v>
                </c:pt>
                <c:pt idx="3">
                  <c:v>ჩატარდა PCR ტესტი</c:v>
                </c:pt>
                <c:pt idx="4">
                  <c:v>დადასტურდა</c:v>
                </c:pt>
                <c:pt idx="5">
                  <c:v>გამოჯანმრთელდა</c:v>
                </c:pt>
                <c:pt idx="6">
                  <c:v>გარდაიცვალა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107200</c:v>
                </c:pt>
                <c:pt idx="1">
                  <c:v>104907</c:v>
                </c:pt>
                <c:pt idx="2">
                  <c:v>51755</c:v>
                </c:pt>
                <c:pt idx="3">
                  <c:v>649</c:v>
                </c:pt>
                <c:pt idx="4">
                  <c:v>33</c:v>
                </c:pt>
                <c:pt idx="5">
                  <c:v>14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38-4DBB-82E1-FE1BF85C59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axId val="422985272"/>
        <c:axId val="422985600"/>
      </c:barChart>
      <c:catAx>
        <c:axId val="422985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2985600"/>
        <c:crosses val="autoZero"/>
        <c:auto val="1"/>
        <c:lblAlgn val="ctr"/>
        <c:lblOffset val="100"/>
        <c:noMultiLvlLbl val="0"/>
      </c:catAx>
      <c:valAx>
        <c:axId val="42298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29852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ka-GE"/>
              <a:t>კოვიდ 19-ის კასკადი თეთრიწყარო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მოსახლეობა ბოლნისში</c:v>
                </c:pt>
                <c:pt idx="1">
                  <c:v>თერმოსკრინინგი 1 ეტაპი</c:v>
                </c:pt>
                <c:pt idx="2">
                  <c:v>თერმოსკრინინგი II ეტაპი</c:v>
                </c:pt>
                <c:pt idx="3">
                  <c:v>ჩატარდა PCR ტესტი</c:v>
                </c:pt>
                <c:pt idx="4">
                  <c:v>დადასტურდა</c:v>
                </c:pt>
                <c:pt idx="5">
                  <c:v>გამოჯანმრთელდა</c:v>
                </c:pt>
                <c:pt idx="6">
                  <c:v>გარდაიცვალა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22200</c:v>
                </c:pt>
                <c:pt idx="1">
                  <c:v>11364</c:v>
                </c:pt>
                <c:pt idx="2">
                  <c:v>8610</c:v>
                </c:pt>
                <c:pt idx="3">
                  <c:v>285</c:v>
                </c:pt>
                <c:pt idx="4">
                  <c:v>50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06-4E77-9D12-C688637D2E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axId val="422985272"/>
        <c:axId val="422985600"/>
      </c:barChart>
      <c:catAx>
        <c:axId val="422985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2985600"/>
        <c:crosses val="autoZero"/>
        <c:auto val="1"/>
        <c:lblAlgn val="ctr"/>
        <c:lblOffset val="100"/>
        <c:noMultiLvlLbl val="0"/>
      </c:catAx>
      <c:valAx>
        <c:axId val="42298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29852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2</cp:revision>
  <dcterms:created xsi:type="dcterms:W3CDTF">2020-05-07T06:25:00Z</dcterms:created>
  <dcterms:modified xsi:type="dcterms:W3CDTF">2020-05-07T06:25:00Z</dcterms:modified>
</cp:coreProperties>
</file>