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5Dark-Accent3"/>
        <w:tblW w:w="1476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40"/>
        <w:gridCol w:w="12060"/>
      </w:tblGrid>
      <w:tr w:rsidR="008759A8" w:rsidRPr="006B6ADF" w:rsidTr="00875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0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8759A8" w:rsidRPr="006B6ADF" w:rsidRDefault="008759A8" w:rsidP="008759A8">
            <w:pPr>
              <w:rPr>
                <w:rFonts w:ascii="Sylfaen" w:hAnsi="Sylfaen" w:cs="Sylfaen"/>
                <w:bCs w:val="0"/>
                <w:color w:val="auto"/>
                <w:sz w:val="18"/>
                <w:szCs w:val="18"/>
              </w:rPr>
            </w:pPr>
            <w:r w:rsidRPr="006B6ADF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8759A8" w:rsidRPr="006B6ADF" w:rsidRDefault="008759A8" w:rsidP="008759A8">
            <w:pPr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>სულ რეკომენდაციების რაოდენობა 9</w:t>
            </w:r>
          </w:p>
          <w:p w:rsidR="008759A8" w:rsidRPr="006B6ADF" w:rsidRDefault="008759A8" w:rsidP="008759A8">
            <w:pPr>
              <w:rPr>
                <w:rFonts w:ascii="Sylfaen" w:hAnsi="Sylfaen"/>
                <w:b w:val="0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b w:val="0"/>
                <w:color w:val="auto"/>
                <w:sz w:val="18"/>
                <w:szCs w:val="18"/>
                <w:lang w:val="ka-GE"/>
              </w:rPr>
              <w:t>აქტივების მართვა 1 – 4</w:t>
            </w:r>
          </w:p>
          <w:p w:rsidR="008759A8" w:rsidRPr="006B6ADF" w:rsidRDefault="008759A8" w:rsidP="008759A8">
            <w:pPr>
              <w:rPr>
                <w:rFonts w:ascii="Sylfaen" w:hAnsi="Sylfaen"/>
                <w:b w:val="0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b w:val="0"/>
                <w:color w:val="auto"/>
                <w:sz w:val="18"/>
                <w:szCs w:val="18"/>
                <w:lang w:val="ka-GE"/>
              </w:rPr>
              <w:t>მოთხოვნები და ვალდებულებები 5 – 7</w:t>
            </w:r>
          </w:p>
          <w:p w:rsidR="008759A8" w:rsidRPr="006B6ADF" w:rsidRDefault="008759A8" w:rsidP="008759A8">
            <w:pPr>
              <w:rPr>
                <w:rFonts w:ascii="Sylfaen" w:hAnsi="Sylfaen"/>
                <w:b w:val="0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b w:val="0"/>
                <w:color w:val="auto"/>
                <w:sz w:val="18"/>
                <w:szCs w:val="18"/>
                <w:lang w:val="ka-GE"/>
              </w:rPr>
              <w:t>აღრიცხვა-ანგარიშგება 1</w:t>
            </w:r>
          </w:p>
          <w:p w:rsidR="008759A8" w:rsidRPr="006B6ADF" w:rsidRDefault="008759A8" w:rsidP="00523F9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b w:val="0"/>
                <w:color w:val="auto"/>
                <w:sz w:val="18"/>
                <w:szCs w:val="18"/>
                <w:lang w:val="ka-GE"/>
              </w:rPr>
              <w:t>კონტროლის მექანიზმები 1</w:t>
            </w: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b/>
                <w:sz w:val="18"/>
                <w:szCs w:val="18"/>
                <w:lang w:val="ka-GE"/>
              </w:rPr>
              <w:t>ცენტრალურ აპარატს და სსიპ − სოციალური მომსახურების სააგენტოს</w:t>
            </w: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>აქტივების მართვა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ხელმძღვანელობის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მიერ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მიღებულ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იქნეს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შესაბამისი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გადაწყვეტილება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იმ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მარაგებთან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დაკავშირებით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რომლებიც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არ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აკმაყოფილებს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აქტივად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აღიარების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კრიტერიუმებს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სსიპ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−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სოციალური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მომსახურების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სააგენტოს</w:t>
            </w:r>
            <w:proofErr w:type="spellEnd"/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აქტივების მართვა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დანერგოს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ისეთი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კონტროლის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მექანიზმები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რომლებიც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უზრუნველყოფს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ვადაგასული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მატერიალური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მარაგების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შესახებ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ინფორმაციის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დროულ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გადაგზავნას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სააღრიცხვო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სამსახურში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ცენტრალურ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აპარატს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სსიპ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−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სოციალური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მომსახურების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სააგენტოს</w:t>
            </w:r>
            <w:proofErr w:type="spellEnd"/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აქტივების მართვა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ჩამოიწეროს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დაკორექტირდეს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ძირითადი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აქტივები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რომელებიც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არ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აკმაყოფილებს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ძირითად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აქტივად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აღიარების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კრიტერიუმს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სსიპ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−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სოციალური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მომსახურების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სააგენტოს</w:t>
            </w:r>
            <w:proofErr w:type="spellEnd"/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აქტივების მართვა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დანერგოს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ისეთი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კონტროლის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მექანიზმები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რომლებიც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უზრუნველყოფს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ოპერაციის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ამსახველი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პირველადი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სააღრიცხვო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დოკუმენტების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დროულ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გადაგზავნას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სააღრიცხვო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სამსახურში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b/>
                <w:sz w:val="18"/>
                <w:szCs w:val="18"/>
                <w:lang w:val="ka-GE"/>
              </w:rPr>
              <w:t>ცენტრალურ აპარატს და სსიპ − სოციალური მომსახურების სააგენტოს</w:t>
            </w:r>
          </w:p>
        </w:tc>
      </w:tr>
      <w:tr w:rsidR="008759A8" w:rsidRPr="006B6ADF" w:rsidTr="008759A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rPr>
                <w:rFonts w:ascii="Sylfaen" w:hAnsi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>მოთხოვნები და ვალდებულებები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ფინანსური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ანგარიშგების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სამართლიანი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წარდგენის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მიზნით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აუცილებელია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შეიქმნას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სამუშაო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ჯგუფი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რომელიც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უზრუნველყოფს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ცენტრალური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აპარატისა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სააგენტოს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ბალანსზე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აღრიცხული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მოთხოვნების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ინვენტარიზაციის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ურთიერთშედარების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აქტების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გაფორმების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მათი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რეალობის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ხანდაზმულობის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ამოღების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ალბათობის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შესწავლას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შესაბამისი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ღონისძიებების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გატარებას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მოქმედი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კანონმდებლობის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მოთხოვნათა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შესაბამისად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სსიპ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−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სოციალური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მომსახურების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სააგენტოს</w:t>
            </w:r>
            <w:proofErr w:type="spellEnd"/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მოთხოვნები და ვალდებულებები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ფინანსური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ანგარიშგების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საიმედოობის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უზრუნველყოფისათვის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პროგრამის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განმახორციელებელმა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შეიმუშაოს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დანერგოს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ისეთი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კონტროლის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მექანიზმები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რომლებიც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უზრუნველყოფს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ოპერაციის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ამსახველი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სააღრიცხვო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დოკუმენტების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(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მიღება-ჩაბარების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აქტები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)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დროულ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გადაგზავნას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სააღრიცხვო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სამსახურში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შედეგად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საბიუჯეტო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კოდექსით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წლიური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საბიუჯეტო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კანონით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გათვალისწინებული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საფუძვლების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არსებობის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შემთხვევაში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განხორციელდეს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საანგარიშგებო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წლის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მიხედვით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საბიუჯეტო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ასიგნებით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არაუზრუნველყოფილი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ფინანსური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ვალდებულების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სააღრიცხვო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რეგისტრაცია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ცენტრალურ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აპარატს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სსიპ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−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სოციალური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მომსახურების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სააგენტოს</w:t>
            </w:r>
            <w:proofErr w:type="spellEnd"/>
          </w:p>
        </w:tc>
      </w:tr>
      <w:tr w:rsidR="008759A8" w:rsidRPr="006B6ADF" w:rsidTr="008759A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მოთხოვნები და ვალდებულებები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ფინანსური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ანგარიშგების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სამართლიანი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წარდგენის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მიზნით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აუცილებელია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შეიქმნას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სამუშაო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ჯგუფი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რომელიც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უზრუნველყოფს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ცენტრალური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აპარატისა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სააგენტოს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ბალანსზე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აღრიცხული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ვალდებულებების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ინვენტარიზაციის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ურთიერთშედარების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აქტების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გაფორმების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მათი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რეალობის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ხანდაზმულობის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გადახდის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ვალდებულების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ალბათობის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შესწავლას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შესაბამისი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ღონისძიებების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გატარებას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მოქმედი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კანონმდებლობის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მოთხოვნათა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შესაბამისად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სსიპ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−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სოციალური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მომსახურების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სააგენტოს</w:t>
            </w:r>
            <w:proofErr w:type="spellEnd"/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აღრიცხვა-ანგარიშგება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სააგენტომ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მოცემული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უზუსტობები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გაითვალისწინოს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მომდევნო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წლის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ფინანსური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ანგარიშგების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მომზადებისას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</w:p>
        </w:tc>
      </w:tr>
      <w:tr w:rsidR="008759A8" w:rsidRPr="006B6ADF" w:rsidTr="00875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</w:p>
        </w:tc>
      </w:tr>
      <w:tr w:rsidR="008759A8" w:rsidRPr="006B6ADF" w:rsidTr="00875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სსიპ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−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სოციალური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მომსახურების</w:t>
            </w:r>
            <w:proofErr w:type="spellEnd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b/>
                <w:sz w:val="18"/>
                <w:szCs w:val="18"/>
              </w:rPr>
              <w:t>სააგენტოს</w:t>
            </w:r>
            <w:proofErr w:type="spellEnd"/>
          </w:p>
        </w:tc>
      </w:tr>
      <w:tr w:rsidR="008759A8" w:rsidRPr="006B6ADF" w:rsidTr="007A41F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8759A8" w:rsidRPr="006B6ADF" w:rsidRDefault="008759A8" w:rsidP="006B6ADF">
            <w:pPr>
              <w:jc w:val="both"/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</w:pPr>
            <w:r w:rsidRPr="006B6ADF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კონტროლის მექანიზმები</w:t>
            </w:r>
          </w:p>
        </w:tc>
        <w:tc>
          <w:tcPr>
            <w:tcW w:w="54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12060" w:type="dxa"/>
            <w:shd w:val="clear" w:color="auto" w:fill="auto"/>
          </w:tcPr>
          <w:p w:rsidR="008759A8" w:rsidRPr="006B6ADF" w:rsidRDefault="008759A8" w:rsidP="006B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proofErr w:type="spellStart"/>
            <w:proofErr w:type="gram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დანერგოს</w:t>
            </w:r>
            <w:proofErr w:type="spellEnd"/>
            <w:proofErr w:type="gram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ისეთი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კონტროლის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მექანიზმები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,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რომლებიც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უზრუნველყოფს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ინტერესთა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შეუთავსებლობის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რისკის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წინასწარ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განცხადებას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და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აღმოფხვრას</w:t>
            </w:r>
            <w:proofErr w:type="spellEnd"/>
            <w:r w:rsidRPr="006B6ADF">
              <w:rPr>
                <w:rFonts w:ascii="Sylfaen" w:hAnsi="Sylfaen" w:cs="Sylfaen"/>
                <w:i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A04882" w:rsidRPr="006B6ADF" w:rsidRDefault="00A04882" w:rsidP="008A3BEC">
      <w:pPr>
        <w:rPr>
          <w:sz w:val="18"/>
          <w:szCs w:val="18"/>
        </w:rPr>
      </w:pPr>
    </w:p>
    <w:sectPr w:rsidR="00A04882" w:rsidRPr="006B6ADF" w:rsidSect="00543FD7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95219"/>
    <w:multiLevelType w:val="hybridMultilevel"/>
    <w:tmpl w:val="BB4C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6F0E"/>
    <w:multiLevelType w:val="hybridMultilevel"/>
    <w:tmpl w:val="6396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EC"/>
    <w:rsid w:val="0001103E"/>
    <w:rsid w:val="002149E0"/>
    <w:rsid w:val="00231B2E"/>
    <w:rsid w:val="0032356E"/>
    <w:rsid w:val="00523F9E"/>
    <w:rsid w:val="00543FD7"/>
    <w:rsid w:val="00697D57"/>
    <w:rsid w:val="006B6ADF"/>
    <w:rsid w:val="007A41FB"/>
    <w:rsid w:val="00835AEC"/>
    <w:rsid w:val="008759A8"/>
    <w:rsid w:val="008A3BEC"/>
    <w:rsid w:val="00A04882"/>
    <w:rsid w:val="00BC17F1"/>
    <w:rsid w:val="00CF5EA7"/>
    <w:rsid w:val="00E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7DFAC-BA03-45DD-804C-B36BF806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3">
    <w:name w:val="Grid Table 5 Dark Accent 3"/>
    <w:basedOn w:val="TableNormal"/>
    <w:uiPriority w:val="50"/>
    <w:rsid w:val="008A3B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8A3BEC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Kochiashvili</dc:creator>
  <cp:keywords/>
  <dc:description/>
  <cp:lastModifiedBy>Maka Mazashvili</cp:lastModifiedBy>
  <cp:revision>11</cp:revision>
  <cp:lastPrinted>2020-03-05T06:13:00Z</cp:lastPrinted>
  <dcterms:created xsi:type="dcterms:W3CDTF">2020-02-19T08:11:00Z</dcterms:created>
  <dcterms:modified xsi:type="dcterms:W3CDTF">2020-03-05T06:14:00Z</dcterms:modified>
</cp:coreProperties>
</file>