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8A" w:rsidRDefault="0097228A" w:rsidP="0097228A">
      <w:pPr>
        <w:jc w:val="center"/>
        <w:rPr>
          <w:b/>
          <w:sz w:val="32"/>
          <w:lang w:val="ka-GE"/>
        </w:rPr>
      </w:pPr>
      <w:r w:rsidRPr="0097228A">
        <w:rPr>
          <w:b/>
          <w:sz w:val="32"/>
          <w:lang w:val="ka-GE"/>
        </w:rPr>
        <w:t>სამინისტროს ანგარიში 2019 ივნისი-2020 ივნისი</w:t>
      </w:r>
    </w:p>
    <w:p w:rsidR="0097228A" w:rsidRPr="0097228A" w:rsidRDefault="0097228A" w:rsidP="0097228A">
      <w:pPr>
        <w:jc w:val="center"/>
        <w:rPr>
          <w:b/>
          <w:sz w:val="32"/>
          <w:lang w:val="ka-GE"/>
        </w:rPr>
      </w:pPr>
      <w:bookmarkStart w:id="0" w:name="_GoBack"/>
      <w:bookmarkEnd w:id="0"/>
    </w:p>
    <w:p w:rsidR="00D62894" w:rsidRPr="00D62894" w:rsidRDefault="00D62894" w:rsidP="00D62894">
      <w:r w:rsidRPr="00D62894">
        <w:rPr>
          <w:lang w:val="ka-GE"/>
        </w:rPr>
        <w:t xml:space="preserve">გასული წელი ჯანდაცვის სექტორში განსაკუთრებით დინამიური და ცვლილებებით დატვირთული იყო. 2019 წლის ივნისიდან, როდესაც სამინისტროს ხელმძღვანელის პოსტი ახალმა მინისტრმა დაიკავა დაიწყო სამინისტროს ინსტიტუციური და სექტორის სისტემური ცვლილებების პროცესი. სამინისტროს სისტემის ეფექტურობის გაუმჯობესების მიზნით მოკლე ხანში გატარდა ორგანიზაციული და საკადრო განახლების პროცესი. ჯანდაცვის სამინისტროში გაიმიჯნა პოლიტიკის შემუშავებისა და განხორციელების ფუნქციები, ახალი ორგანიზაციული ფორმით ჩამოყალიბდა სამედიცინო და ფარმაცევტული საქმიანობის რეგულირების სააგენტო. გაძლიერდა სამედიცინო საქმიანობის აუდიტის გუნდი. განხორციელდა ცვლილებები მაკონტროლებელი ფუნქციის ობიექტურად და გამჭვირვალედ შესრულებისთვის.  სახელმწფო სექტორში არსებული კლინიკების გაძლიერების მიზნით შეიქმნა სამედიცინო ჰოლდინგი, რომელიც ამ ეტაპზე აერთიანებს ყიფშიძის სახელობის საუნივერისტეტო კლინიკას, უნივერსალური ჯანდაცვის ცენტრსა და ბავშვთა ინფექციურ საავადმყოფოს. </w:t>
      </w:r>
    </w:p>
    <w:p w:rsidR="00D62894" w:rsidRPr="00D62894" w:rsidRDefault="00D62894" w:rsidP="00D62894">
      <w:r w:rsidRPr="00D62894">
        <w:rPr>
          <w:lang w:val="ka-GE"/>
        </w:rPr>
        <w:t xml:space="preserve">ინსტიტუციურ ცვლილებებთან ერთად დაიწყო მუშაობა ჯანდაცვის სექტორში სისტემურ ცვლილებებზე ჰოსპიტალური სერვისების დაფინანსების, პირველადი ჯანდაცვის, დედათა და ბავშვთა სერვისების გაუმჯობესებისა და საზოგადოებრივი ჯანმრთელობის დაცვის პროგრამებით მოცვის გაფართოვების მიზნით.  </w:t>
      </w:r>
    </w:p>
    <w:p w:rsidR="00D62894" w:rsidRPr="00D62894" w:rsidRDefault="00D62894" w:rsidP="00D62894">
      <w:r w:rsidRPr="00D62894">
        <w:rPr>
          <w:lang w:val="ka-GE"/>
        </w:rPr>
        <w:t>ჯანდაცვის სფეროში ეფექტურობისა და სამედიცინო მომსახურების ხარისხის გაუმჯობესების მიზნით, სამინისტრომ დაიწყო უნივერსალური ხელმისაწვდომობის პროგრამის განახლების პროცესი</w:t>
      </w:r>
    </w:p>
    <w:p w:rsidR="00D62894" w:rsidRPr="00D62894" w:rsidRDefault="00D62894" w:rsidP="00D62894">
      <w:r w:rsidRPr="00D62894">
        <w:rPr>
          <w:lang w:val="ka-GE"/>
        </w:rPr>
        <w:t xml:space="preserve">520 დადგენილება, რომელიც 2019 წლის ნოემბერში გამოიცა იყო ჯანდაცვის სერვისებზე ფასების რეგულირების პირველი მცდელობა, ერთადერთი მიზნით, რომ ჯანმრთელობაზე სახელმწიფო დანახარჯი მოხმარდეს ჯანმრთელობის მიზნებს და მოქალაქის მიერ გადახდილი თანხა შეესაბამებოდეს მიღებულ სარგებელს. </w:t>
      </w:r>
    </w:p>
    <w:p w:rsidR="00D62894" w:rsidRPr="00D62894" w:rsidRDefault="00D62894" w:rsidP="00D62894">
      <w:r w:rsidRPr="00D62894">
        <w:rPr>
          <w:lang w:val="ka-GE"/>
        </w:rPr>
        <w:t xml:space="preserve">საერთაშორისო პარტნიორების დახმარებით დავიწყეთ ჯანდაცვის, ფსიქიკური ჯანმრთელობის სტრატეგიების განახლების პროცესი, თუმცა 2020 წლის იანვრიდან მიმდინარე სისტემური რეფორმების განხორციელება შეაფერხა კოვიდ 19-ზე რეგირების აუცილებლობამ. კოვიდ 19-მა, მიუხედავად რთული გამოწვევებისა, მთელი რიგი შესაძლებლობებიც გააჩანია ჯანდაცვის სისტემის განვითარებისთვის, რაზეც მოგვიანებით მოგახსენებთ. </w:t>
      </w:r>
    </w:p>
    <w:p w:rsidR="00F05C02" w:rsidRDefault="00F05C02"/>
    <w:p w:rsidR="00D62894" w:rsidRPr="00D62894" w:rsidRDefault="00D62894" w:rsidP="00D62894">
      <w:r w:rsidRPr="00D62894">
        <w:rPr>
          <w:lang w:val="ka-GE"/>
        </w:rPr>
        <w:t xml:space="preserve">საყოველთაო ხელმისაწვდომობის პროგრამის შვიდწლიანი გამოცდილება ერთმნიშვნელოვნად მიუთითებს მის მაღალ საზოგადოებრივ ღირებულებაზე. </w:t>
      </w:r>
    </w:p>
    <w:p w:rsidR="00D62894" w:rsidRPr="00D62894" w:rsidRDefault="00D62894" w:rsidP="00D62894">
      <w:r w:rsidRPr="00D62894">
        <w:rPr>
          <w:lang w:val="ka-GE"/>
        </w:rPr>
        <w:lastRenderedPageBreak/>
        <w:t xml:space="preserve">2013 წელს საყოველთაო ხელმისაწვდომობის პროგრამის ამოქმედებით საქართველოს მთავრობამ აღიარა ჯანმრთელობის დაცვა, როგორც ადამიანის ფუნდამენტური უფლება და არა პრივილეგია. </w:t>
      </w:r>
    </w:p>
    <w:p w:rsidR="00D62894" w:rsidRPr="00D62894" w:rsidRDefault="00D62894" w:rsidP="00D62894">
      <w:r w:rsidRPr="00D62894">
        <w:rPr>
          <w:lang w:val="ka-GE"/>
        </w:rPr>
        <w:t xml:space="preserve">2013-2019 წლებში პროგრამის ფარგლებში იმართა 7 მილიონზე მეტი შემთხვევა </w:t>
      </w:r>
    </w:p>
    <w:p w:rsidR="00D62894" w:rsidRPr="00D62894" w:rsidRDefault="00D62894" w:rsidP="00D62894">
      <w:r w:rsidRPr="00D62894">
        <w:rPr>
          <w:lang w:val="ka-GE"/>
        </w:rPr>
        <w:t xml:space="preserve">ერთ სულ მოსახლეზე სახელმწიფოს მიერ ჯანდაცვაზე გაწეული ხარჯი 2012 წელს </w:t>
      </w:r>
      <w:r w:rsidRPr="00D62894">
        <w:t xml:space="preserve">XXX </w:t>
      </w:r>
      <w:r w:rsidRPr="00D62894">
        <w:rPr>
          <w:lang w:val="ka-GE"/>
        </w:rPr>
        <w:t xml:space="preserve">აშშ დოლარიდან </w:t>
      </w:r>
      <w:r w:rsidRPr="00D62894">
        <w:t xml:space="preserve">2019 </w:t>
      </w:r>
      <w:r w:rsidRPr="00D62894">
        <w:rPr>
          <w:lang w:val="ka-GE"/>
        </w:rPr>
        <w:t xml:space="preserve">წელს </w:t>
      </w:r>
      <w:r w:rsidRPr="00D62894">
        <w:t xml:space="preserve">XXX </w:t>
      </w:r>
      <w:r w:rsidRPr="00D62894">
        <w:rPr>
          <w:lang w:val="ka-GE"/>
        </w:rPr>
        <w:t>დოლარამდე გაიზარდა</w:t>
      </w:r>
    </w:p>
    <w:p w:rsidR="00D62894" w:rsidRPr="00D62894" w:rsidRDefault="00D62894" w:rsidP="00D62894">
      <w:r w:rsidRPr="00D62894">
        <w:rPr>
          <w:lang w:val="ka-GE"/>
        </w:rPr>
        <w:t xml:space="preserve">ჯიბიდან გადახდების კლებამ შეამცირა სამედიცინო სერვისის მიღებისას გაღარიბების რისკი. </w:t>
      </w:r>
    </w:p>
    <w:p w:rsidR="00D62894" w:rsidRPr="00D62894" w:rsidRDefault="00D62894" w:rsidP="00D62894">
      <w:r w:rsidRPr="00D62894">
        <w:rPr>
          <w:lang w:val="ka-GE"/>
        </w:rPr>
        <w:t xml:space="preserve">ცვლილებები აუცილებელია პროგრამის კიდევ უფრო გაფართოვებისა და გრძელვადიანი მდგრადობისთვის. პროგრამის ეფექტურობის გაუმჯობესების გარეშე ვერ გვექნება მისი გრძევადიანი მდგრადობის მოლოდინი, ამიტომ დაფინანსების მექანიზმის ცვლილება, იმგვარად რომ თავიდან ავიცილოთ არარაცკიონალური დანახარჯები საშუალებას მოგვეცემს კიდევ მეტ საქართველოს მოქალაქეს მივაწოდოთ ხარისხიანი სერვისი, გავზარდოთ ხელმისაწვდომობა ხარისხიან მედიკამენტებზე. ჯანდაცვის სამინისტრო გააგრძელებს მუშაობას საქართველოს მთავრობასთან და პარლამენტთან დაფინანსების პოლიტიკის დახვეწაზე, რომელიც შექმნის ჯანდაცვასთან დაკავშირებული რისკების უფრო სამართლიანი და გონივრული გადანაწილების შესაძლებლობებს.  </w:t>
      </w:r>
    </w:p>
    <w:p w:rsidR="00D62894" w:rsidRPr="00D62894" w:rsidRDefault="00D62894" w:rsidP="00D62894">
      <w:r w:rsidRPr="00D62894">
        <w:rPr>
          <w:lang w:val="ka-GE"/>
        </w:rPr>
        <w:t xml:space="preserve">საქართველოს ჯანდაცვის რესურსის სწორი და რაციონალური მართვის პირობებში, სრულიად რეალურად შეუძლია მიაღწიოს უნივერსალური მოცვას ჯანდაცვის სერვისების მდგრადი განვითარების მიზნების შესაბამისად. ეს მიმართულება დარჩება ჯანდაცვის სამინისტროს მთავარ პრიორიტეტად სამომავლოდ. </w:t>
      </w:r>
    </w:p>
    <w:p w:rsidR="00D62894" w:rsidRDefault="00D62894"/>
    <w:p w:rsidR="00D62894" w:rsidRPr="00D62894" w:rsidRDefault="00D62894" w:rsidP="00D62894">
      <w:r w:rsidRPr="00D62894">
        <w:rPr>
          <w:lang w:val="ka-GE"/>
        </w:rPr>
        <w:t>2013 წლიდან უპრეცენდენტო პოლიტიკური ყურადღება ეთმობა საზოგადოებრივი ჯანმრთელობის დაცვის პროგრამების გაფართოვებას</w:t>
      </w:r>
    </w:p>
    <w:p w:rsidR="00D62894" w:rsidRPr="00D62894" w:rsidRDefault="00D62894" w:rsidP="00D62894">
      <w:r w:rsidRPr="00D62894">
        <w:rPr>
          <w:lang w:val="ka-GE"/>
        </w:rPr>
        <w:t xml:space="preserve">ამას ადასტურებს უდიდესი ძალისხმევა და რესურსი, რომელიც მოხმარდა ც ჰეპატიტის, აივ/შიდსის, ტუბერკულოზის ტვირთვის შემცირებას </w:t>
      </w:r>
    </w:p>
    <w:p w:rsidR="00D62894" w:rsidRPr="00D62894" w:rsidRDefault="00D62894" w:rsidP="00D62894">
      <w:r w:rsidRPr="00D62894">
        <w:t xml:space="preserve">2019 </w:t>
      </w:r>
      <w:r w:rsidRPr="00D62894">
        <w:rPr>
          <w:lang w:val="ka-GE"/>
        </w:rPr>
        <w:t xml:space="preserve">სამივე მიმართულებით პროგრამის ბიუჯეტი სრულად შეესაბამებოდა სტრატეგიული გეგმების პრიორიტეტებს </w:t>
      </w:r>
    </w:p>
    <w:p w:rsidR="00D62894" w:rsidRPr="00D62894" w:rsidRDefault="00D62894" w:rsidP="00D62894">
      <w:r w:rsidRPr="00D62894">
        <w:rPr>
          <w:lang w:val="ka-GE"/>
        </w:rPr>
        <w:t>ტუბერკულოზის მართვა          12 659 200 ლ</w:t>
      </w:r>
    </w:p>
    <w:p w:rsidR="00D62894" w:rsidRPr="00D62894" w:rsidRDefault="00D62894" w:rsidP="00D62894">
      <w:r w:rsidRPr="00D62894">
        <w:rPr>
          <w:lang w:val="ka-GE"/>
        </w:rPr>
        <w:t>აივ-ინფექცია/შიდსი                  7 743 000 ლ</w:t>
      </w:r>
    </w:p>
    <w:p w:rsidR="00D62894" w:rsidRPr="00D62894" w:rsidRDefault="00D62894" w:rsidP="00D62894">
      <w:r w:rsidRPr="00D62894">
        <w:t xml:space="preserve">C </w:t>
      </w:r>
      <w:r w:rsidRPr="00D62894">
        <w:rPr>
          <w:lang w:val="ka-GE"/>
        </w:rPr>
        <w:t>ჰეპატიტი                                    5 900 000 ლ</w:t>
      </w:r>
    </w:p>
    <w:p w:rsidR="00D62894" w:rsidRPr="00D62894" w:rsidRDefault="00D62894" w:rsidP="00D62894">
      <w:r w:rsidRPr="00D62894">
        <w:rPr>
          <w:lang w:val="ka-GE"/>
        </w:rPr>
        <w:t xml:space="preserve"> </w:t>
      </w:r>
    </w:p>
    <w:p w:rsidR="00D62894" w:rsidRPr="00D62894" w:rsidRDefault="00D62894" w:rsidP="00D62894">
      <w:r w:rsidRPr="00D62894">
        <w:rPr>
          <w:lang w:val="ka-GE"/>
        </w:rPr>
        <w:t xml:space="preserve">გასულ წელს არ შენელებულა ინტერესი და მხარდაჭერა ც ჰეპატიტის ელიმინაციის პროგრამის მიმართ. გილიადთან სტრატეგიული თანაშრომლობა გრძელდება, ისევე როგორც </w:t>
      </w:r>
      <w:r w:rsidRPr="00D62894">
        <w:rPr>
          <w:lang w:val="ka-GE"/>
        </w:rPr>
        <w:lastRenderedPageBreak/>
        <w:t xml:space="preserve">სამინისტრო აგრძელებს მუშაობას ტექნიკურ მრჩევალთა ჯგუფთან და ამერიკის დაავადებათა კონტროლის ცენტრების ექსპერტებთან. </w:t>
      </w:r>
    </w:p>
    <w:p w:rsidR="00D62894" w:rsidRPr="00D62894" w:rsidRDefault="00D62894" w:rsidP="00D62894">
      <w:r w:rsidRPr="00D62894">
        <w:rPr>
          <w:lang w:val="ka-GE"/>
        </w:rPr>
        <w:t xml:space="preserve">პირველად ჯანდაცვაში აივ/შიდსის, ც ჰეპატიტისა და ტუბერკულოზის ინტეგრირებული სკრინინგის პროგრამამ მნიშვნელოვნად შეუწყო ხელი ახალი შემთხვევების გამოვლენას და მკურნალობაში ჩართვას. მინდა ვისარგებლო ამ შესაძლებლობით და მადლობა ვუთხრა ყველა რეგიონის გუბერნატორსა და მუნიციპალურ სამსახურს მათი მხარდაჭერისა და პროცესში აქტიური ჩართულობისთვის. </w:t>
      </w:r>
    </w:p>
    <w:p w:rsidR="00D62894" w:rsidRPr="00D62894" w:rsidRDefault="00D62894" w:rsidP="00D62894">
      <w:r w:rsidRPr="00D62894">
        <w:rPr>
          <w:lang w:val="ka-GE"/>
        </w:rPr>
        <w:t xml:space="preserve">პროგრამის შედეგები შთანბეჭდავია და 70000-მდე გადარჩენილ სიცოცხლეზე მიუთითებს. სტრატეგიული სამიზნეების ხელახალი შეფასება მაშინვე მოხდება, როგორც კი კოვიდის პამდემია საერთაშორისო მასშატბის შეკრების საშუალებას მოგვცემს. მანამდე კი საქართველო რჩება საერთაშორისოდ აღიარებულ ლიდერ ქვეყნებს შორის, რომლებმაც წარმატებით გაართვეს თავი ც ჰეპატიტის ელიმინაციის პროგრამის განხორციელებას. </w:t>
      </w:r>
    </w:p>
    <w:p w:rsidR="00D62894" w:rsidRPr="00D62894" w:rsidRDefault="00D62894" w:rsidP="00D62894">
      <w:r w:rsidRPr="00D62894">
        <w:rPr>
          <w:lang w:val="ka-GE"/>
        </w:rPr>
        <w:t xml:space="preserve">ტუბერკულოზის კონტროლში საქართველოს წარმატება უკანასკნელ წლებში თვალსაჩინოა 2009 წელთა შედარებით, ტუბერკულოზით რეგისტრირებული შემთხვევების რაოდენობა განახევრდა, ეს იმ ფონზე როდესაც მნიშვნელოვნად გაიზარდა ხელმისაწვდომობა დიაგნოსტიკური შესაძლებლობების მიმართ და დიაგნოსტიკური ტესტების სიზუსტე,. </w:t>
      </w:r>
    </w:p>
    <w:p w:rsidR="00D62894" w:rsidRPr="00D62894" w:rsidRDefault="00D62894" w:rsidP="00D62894">
      <w:r w:rsidRPr="00D62894">
        <w:rPr>
          <w:lang w:val="ka-GE"/>
        </w:rPr>
        <w:t xml:space="preserve">ტუბერკულოზის სამკურნალო ახალ მედიკამენტებისა და რეჟიმების სწრაფი დანერგვის პირობებში ტუბერკულოზის რთული ფორმების წარმატებული მკურნალობის მაჩვენებელი მნიშვნელოვნად გაუმჯობესდა 2018 წელს მულტირეზისტენტული ფორმებისთვის 65%, ხოლო განსაკუთრებით რეზისტენტული ფორმებისთვის 56% შეადგინა </w:t>
      </w:r>
    </w:p>
    <w:p w:rsidR="00D62894" w:rsidRPr="00D62894" w:rsidRDefault="00D62894" w:rsidP="00D62894">
      <w:r w:rsidRPr="00D62894">
        <w:rPr>
          <w:lang w:val="ka-GE"/>
        </w:rPr>
        <w:t xml:space="preserve">2019 წელს სამინისტრომ აამოქმედა დიაგნოზთან შეჭიდული ჯგუფით დაფინანსების მეთოდოლოგია ტუბერკულოზის პროგრამისთვის. </w:t>
      </w:r>
    </w:p>
    <w:p w:rsidR="00D62894" w:rsidRPr="00D62894" w:rsidRDefault="00D62894" w:rsidP="00D62894">
      <w:r w:rsidRPr="00D62894">
        <w:rPr>
          <w:lang w:val="ka-GE"/>
        </w:rPr>
        <w:t>2019 წელს დაიწყო შედეგებზე ორიენტირებული დაფინანსების მეთოდის პილოტირება ტუბერკულოზის სერვისისთვის, რომლიც მიზანი ტუბერკულოზის მართვის პაციენტზე ორიენტირებული მოდელის ჩამოყალიბებაა</w:t>
      </w:r>
    </w:p>
    <w:p w:rsidR="00D62894" w:rsidRPr="00D62894" w:rsidRDefault="00D62894" w:rsidP="00D62894">
      <w:r w:rsidRPr="00D62894">
        <w:rPr>
          <w:lang w:val="ka-GE"/>
        </w:rPr>
        <w:t xml:space="preserve">2019 წელს ფუნქციონირება შეწყვიტა აბასთუმნის ტუბერკულოზის საავადმყოფომ - კიდევ ერთი უმნიშვნელოვანესი ნაბიჯი ტუბერკულოზის დასრულების მიზნებისთვის. ტუბერკულოზის მკურნალობისთვის განახლებული ჰოსპიტალური სიმძლავრეები საკმარისზე მეტია და გრძელვადიანი ხედვა არა ჰოსპიტალური, არამედ ამბულატორიული მკურნალობის ხელშეწყობას გულისხმობს. </w:t>
      </w:r>
    </w:p>
    <w:p w:rsidR="00D62894" w:rsidRPr="00D62894" w:rsidRDefault="00D62894" w:rsidP="00D62894">
      <w:r w:rsidRPr="00D62894">
        <w:rPr>
          <w:lang w:val="ka-GE"/>
        </w:rPr>
        <w:t xml:space="preserve">ფსიქიკური ჯანმრთელობა და ფსიქიკური აშლილობის მქონე პირთა სამედიცინო საჭიროებების სრულად მოცვა ღირსეულ გარემოში სამინისტროს მთავარი პრიორიტეტია. </w:t>
      </w:r>
    </w:p>
    <w:p w:rsidR="00D62894" w:rsidRPr="00D62894" w:rsidRDefault="00D62894" w:rsidP="00D62894">
      <w:r w:rsidRPr="00D62894">
        <w:rPr>
          <w:lang w:val="ka-GE"/>
        </w:rPr>
        <w:t xml:space="preserve">2019 წელს საფრანგეთის მთავრობის ხელშეწყობით დაიწყო საჭიროებების ანალიზისა და ახალი სტრატეგიის მომზადების პროცესი- 2020 წლის შემდგომი პერიოდისთვის </w:t>
      </w:r>
    </w:p>
    <w:p w:rsidR="00D62894" w:rsidRPr="00D62894" w:rsidRDefault="00D62894" w:rsidP="00D62894">
      <w:r w:rsidRPr="00D62894">
        <w:rPr>
          <w:lang w:val="ka-GE"/>
        </w:rPr>
        <w:t>დეინსტიტუციონალიზაცია განიხილება, როგორც ძირითადი მექანიზმი ფსიქიკური აშლილობის მქონე პირთა ცხოვრების ხარისხის გაუმჯობესებისთვის</w:t>
      </w:r>
    </w:p>
    <w:p w:rsidR="00D62894" w:rsidRPr="00D62894" w:rsidRDefault="00D62894" w:rsidP="00D62894">
      <w:r w:rsidRPr="00D62894">
        <w:rPr>
          <w:lang w:val="ka-GE"/>
        </w:rPr>
        <w:lastRenderedPageBreak/>
        <w:t>დაფინანსების ზრდა: 2016 წელს 16 მილიონიდან 2020 წელს 27.5 მილიონამდე</w:t>
      </w:r>
    </w:p>
    <w:p w:rsidR="00D62894" w:rsidRPr="00D62894" w:rsidRDefault="00D62894" w:rsidP="00D62894">
      <w:r w:rsidRPr="00D62894">
        <w:rPr>
          <w:lang w:val="ka-GE"/>
        </w:rPr>
        <w:t xml:space="preserve">ძველი ინსტიტუციების რეორგანიზაცია და ახალი სერვისები : </w:t>
      </w:r>
    </w:p>
    <w:p w:rsidR="00000000" w:rsidRPr="00D62894" w:rsidRDefault="0097228A" w:rsidP="00D62894">
      <w:pPr>
        <w:numPr>
          <w:ilvl w:val="1"/>
          <w:numId w:val="1"/>
        </w:numPr>
      </w:pPr>
      <w:r w:rsidRPr="00D62894">
        <w:rPr>
          <w:lang w:val="ka-GE"/>
        </w:rPr>
        <w:t>ბედიანის</w:t>
      </w:r>
      <w:r w:rsidRPr="00D62894">
        <w:rPr>
          <w:lang w:val="ka-GE"/>
        </w:rPr>
        <w:t xml:space="preserve"> </w:t>
      </w:r>
      <w:r w:rsidRPr="00D62894">
        <w:rPr>
          <w:lang w:val="ka-GE"/>
        </w:rPr>
        <w:t>დაწესებულების</w:t>
      </w:r>
      <w:r w:rsidRPr="00D62894">
        <w:rPr>
          <w:lang w:val="ka-GE"/>
        </w:rPr>
        <w:t xml:space="preserve"> </w:t>
      </w:r>
      <w:r w:rsidRPr="00D62894">
        <w:rPr>
          <w:lang w:val="ka-GE"/>
        </w:rPr>
        <w:t>რეორგანიზაცია</w:t>
      </w:r>
    </w:p>
    <w:p w:rsidR="00000000" w:rsidRPr="00D62894" w:rsidRDefault="0097228A" w:rsidP="00D62894">
      <w:pPr>
        <w:numPr>
          <w:ilvl w:val="1"/>
          <w:numId w:val="1"/>
        </w:numPr>
      </w:pPr>
      <w:r w:rsidRPr="00D62894">
        <w:rPr>
          <w:lang w:val="ka-GE"/>
        </w:rPr>
        <w:t>ახალი</w:t>
      </w:r>
      <w:r w:rsidRPr="00D62894">
        <w:rPr>
          <w:lang w:val="ka-GE"/>
        </w:rPr>
        <w:t xml:space="preserve"> </w:t>
      </w:r>
      <w:r w:rsidRPr="00D62894">
        <w:rPr>
          <w:lang w:val="ka-GE"/>
        </w:rPr>
        <w:t>საცხოვრისი</w:t>
      </w:r>
      <w:r w:rsidRPr="00D62894">
        <w:rPr>
          <w:lang w:val="ka-GE"/>
        </w:rPr>
        <w:t xml:space="preserve"> </w:t>
      </w:r>
      <w:r w:rsidRPr="00D62894">
        <w:rPr>
          <w:lang w:val="ka-GE"/>
        </w:rPr>
        <w:t>ბათუმში</w:t>
      </w:r>
    </w:p>
    <w:p w:rsidR="00000000" w:rsidRPr="00D62894" w:rsidRDefault="0097228A" w:rsidP="00D62894">
      <w:pPr>
        <w:numPr>
          <w:ilvl w:val="1"/>
          <w:numId w:val="1"/>
        </w:numPr>
      </w:pPr>
      <w:r w:rsidRPr="00D62894">
        <w:rPr>
          <w:lang w:val="ka-GE"/>
        </w:rPr>
        <w:t>საერთაშორისო</w:t>
      </w:r>
      <w:r w:rsidRPr="00D62894">
        <w:rPr>
          <w:lang w:val="ka-GE"/>
        </w:rPr>
        <w:t xml:space="preserve"> </w:t>
      </w:r>
      <w:r w:rsidRPr="00D62894">
        <w:rPr>
          <w:lang w:val="ka-GE"/>
        </w:rPr>
        <w:t>პარტნიორობა</w:t>
      </w:r>
      <w:r w:rsidRPr="00D62894">
        <w:rPr>
          <w:lang w:val="ka-GE"/>
        </w:rPr>
        <w:t xml:space="preserve"> </w:t>
      </w:r>
      <w:r w:rsidRPr="00D62894">
        <w:rPr>
          <w:lang w:val="ka-GE"/>
        </w:rPr>
        <w:t>ჩინეთის</w:t>
      </w:r>
      <w:r w:rsidRPr="00D62894">
        <w:rPr>
          <w:lang w:val="ka-GE"/>
        </w:rPr>
        <w:t xml:space="preserve"> </w:t>
      </w:r>
      <w:r w:rsidRPr="00D62894">
        <w:rPr>
          <w:lang w:val="ka-GE"/>
        </w:rPr>
        <w:t>მთავრობასთან</w:t>
      </w:r>
      <w:r w:rsidRPr="00D62894">
        <w:rPr>
          <w:lang w:val="ka-GE"/>
        </w:rPr>
        <w:t xml:space="preserve"> </w:t>
      </w:r>
      <w:r w:rsidRPr="00D62894">
        <w:rPr>
          <w:lang w:val="ka-GE"/>
        </w:rPr>
        <w:t>ახალი</w:t>
      </w:r>
      <w:r w:rsidRPr="00D62894">
        <w:rPr>
          <w:lang w:val="ka-GE"/>
        </w:rPr>
        <w:t xml:space="preserve"> </w:t>
      </w:r>
      <w:r w:rsidRPr="00D62894">
        <w:rPr>
          <w:lang w:val="ka-GE"/>
        </w:rPr>
        <w:t>ფსიქიკური</w:t>
      </w:r>
      <w:r w:rsidRPr="00D62894">
        <w:rPr>
          <w:lang w:val="ka-GE"/>
        </w:rPr>
        <w:t xml:space="preserve"> </w:t>
      </w:r>
      <w:r w:rsidRPr="00D62894">
        <w:rPr>
          <w:lang w:val="ka-GE"/>
        </w:rPr>
        <w:t>ჯანმრთელობის</w:t>
      </w:r>
      <w:r w:rsidRPr="00D62894">
        <w:rPr>
          <w:lang w:val="ka-GE"/>
        </w:rPr>
        <w:t xml:space="preserve"> </w:t>
      </w:r>
      <w:r w:rsidRPr="00D62894">
        <w:rPr>
          <w:lang w:val="ka-GE"/>
        </w:rPr>
        <w:t>ცენტრების</w:t>
      </w:r>
      <w:r w:rsidRPr="00D62894">
        <w:rPr>
          <w:lang w:val="ka-GE"/>
        </w:rPr>
        <w:t xml:space="preserve"> </w:t>
      </w:r>
      <w:r w:rsidRPr="00D62894">
        <w:rPr>
          <w:lang w:val="ka-GE"/>
        </w:rPr>
        <w:t>მშენებლობისთვის</w:t>
      </w:r>
      <w:r w:rsidRPr="00D62894">
        <w:rPr>
          <w:lang w:val="ka-GE"/>
        </w:rPr>
        <w:t xml:space="preserve"> </w:t>
      </w:r>
    </w:p>
    <w:p w:rsidR="00000000" w:rsidRPr="00D62894" w:rsidRDefault="0097228A" w:rsidP="00D62894">
      <w:pPr>
        <w:numPr>
          <w:ilvl w:val="1"/>
          <w:numId w:val="1"/>
        </w:numPr>
      </w:pPr>
      <w:r w:rsidRPr="00D62894">
        <w:rPr>
          <w:lang w:val="ka-GE"/>
        </w:rPr>
        <w:t xml:space="preserve">2022 </w:t>
      </w:r>
      <w:r w:rsidRPr="00D62894">
        <w:rPr>
          <w:lang w:val="ka-GE"/>
        </w:rPr>
        <w:t>წლამდე</w:t>
      </w:r>
      <w:r w:rsidRPr="00D62894">
        <w:rPr>
          <w:lang w:val="ka-GE"/>
        </w:rPr>
        <w:t xml:space="preserve"> </w:t>
      </w:r>
      <w:r w:rsidRPr="00D62894">
        <w:rPr>
          <w:lang w:val="ka-GE"/>
        </w:rPr>
        <w:t>ამოქმედდება</w:t>
      </w:r>
      <w:r w:rsidRPr="00D62894">
        <w:rPr>
          <w:lang w:val="ka-GE"/>
        </w:rPr>
        <w:t xml:space="preserve"> </w:t>
      </w:r>
      <w:r w:rsidRPr="00D62894">
        <w:t xml:space="preserve">XXX </w:t>
      </w:r>
      <w:r w:rsidRPr="00D62894">
        <w:rPr>
          <w:lang w:val="ka-GE"/>
        </w:rPr>
        <w:t>საცხოვრისის</w:t>
      </w:r>
      <w:r w:rsidRPr="00D62894">
        <w:rPr>
          <w:lang w:val="ka-GE"/>
        </w:rPr>
        <w:t xml:space="preserve"> </w:t>
      </w:r>
      <w:r w:rsidRPr="00D62894">
        <w:rPr>
          <w:lang w:val="ka-GE"/>
        </w:rPr>
        <w:t>ტიპის</w:t>
      </w:r>
      <w:r w:rsidRPr="00D62894">
        <w:rPr>
          <w:lang w:val="ka-GE"/>
        </w:rPr>
        <w:t xml:space="preserve"> </w:t>
      </w:r>
      <w:r w:rsidRPr="00D62894">
        <w:rPr>
          <w:lang w:val="ka-GE"/>
        </w:rPr>
        <w:t>ფსიქიკური</w:t>
      </w:r>
      <w:r w:rsidRPr="00D62894">
        <w:rPr>
          <w:lang w:val="ka-GE"/>
        </w:rPr>
        <w:t xml:space="preserve"> </w:t>
      </w:r>
      <w:r w:rsidRPr="00D62894">
        <w:rPr>
          <w:lang w:val="ka-GE"/>
        </w:rPr>
        <w:t>ჯანმრთელობის</w:t>
      </w:r>
      <w:r w:rsidRPr="00D62894">
        <w:rPr>
          <w:lang w:val="ka-GE"/>
        </w:rPr>
        <w:t xml:space="preserve"> </w:t>
      </w:r>
      <w:r w:rsidRPr="00D62894">
        <w:rPr>
          <w:lang w:val="ka-GE"/>
        </w:rPr>
        <w:t>ცენტრი</w:t>
      </w:r>
    </w:p>
    <w:p w:rsidR="00000000" w:rsidRPr="00D62894" w:rsidRDefault="0097228A" w:rsidP="00D62894">
      <w:pPr>
        <w:numPr>
          <w:ilvl w:val="1"/>
          <w:numId w:val="1"/>
        </w:numPr>
      </w:pPr>
      <w:r w:rsidRPr="00D62894">
        <w:rPr>
          <w:lang w:val="ka-GE"/>
        </w:rPr>
        <w:t xml:space="preserve">6 </w:t>
      </w:r>
      <w:r w:rsidRPr="00D62894">
        <w:rPr>
          <w:lang w:val="ka-GE"/>
        </w:rPr>
        <w:t>საოჯახო</w:t>
      </w:r>
      <w:r w:rsidRPr="00D62894">
        <w:rPr>
          <w:lang w:val="ka-GE"/>
        </w:rPr>
        <w:t xml:space="preserve"> </w:t>
      </w:r>
      <w:r w:rsidRPr="00D62894">
        <w:rPr>
          <w:lang w:val="ka-GE"/>
        </w:rPr>
        <w:t>ტიპის</w:t>
      </w:r>
      <w:r w:rsidRPr="00D62894">
        <w:rPr>
          <w:lang w:val="ka-GE"/>
        </w:rPr>
        <w:t xml:space="preserve"> </w:t>
      </w:r>
      <w:r w:rsidRPr="00D62894">
        <w:rPr>
          <w:lang w:val="ka-GE"/>
        </w:rPr>
        <w:t>სახლი</w:t>
      </w:r>
      <w:r w:rsidRPr="00D62894">
        <w:rPr>
          <w:lang w:val="ka-GE"/>
        </w:rPr>
        <w:t xml:space="preserve"> </w:t>
      </w:r>
      <w:r w:rsidRPr="00D62894">
        <w:rPr>
          <w:lang w:val="ka-GE"/>
        </w:rPr>
        <w:t>მზადაა</w:t>
      </w:r>
      <w:r w:rsidRPr="00D62894">
        <w:rPr>
          <w:lang w:val="ka-GE"/>
        </w:rPr>
        <w:t xml:space="preserve"> </w:t>
      </w:r>
      <w:r w:rsidRPr="00D62894">
        <w:rPr>
          <w:lang w:val="ka-GE"/>
        </w:rPr>
        <w:t>ბენეფიციარების</w:t>
      </w:r>
      <w:r w:rsidRPr="00D62894">
        <w:rPr>
          <w:lang w:val="ka-GE"/>
        </w:rPr>
        <w:t xml:space="preserve"> </w:t>
      </w:r>
      <w:r w:rsidRPr="00D62894">
        <w:rPr>
          <w:lang w:val="ka-GE"/>
        </w:rPr>
        <w:t>მისაღებად</w:t>
      </w:r>
      <w:r w:rsidRPr="00D62894">
        <w:rPr>
          <w:lang w:val="ka-GE"/>
        </w:rPr>
        <w:t xml:space="preserve"> </w:t>
      </w:r>
    </w:p>
    <w:p w:rsidR="00D62894" w:rsidRDefault="00D62894"/>
    <w:p w:rsidR="00D62894" w:rsidRDefault="00D62894">
      <w:pPr>
        <w:rPr>
          <w:lang w:val="ka-GE"/>
        </w:rPr>
      </w:pPr>
      <w:r>
        <w:rPr>
          <w:lang w:val="ka-GE"/>
        </w:rPr>
        <w:t>პირველადი ჯანდაცვა</w:t>
      </w:r>
    </w:p>
    <w:p w:rsidR="00D62894" w:rsidRPr="00D62894" w:rsidRDefault="00D62894" w:rsidP="00D62894">
      <w:r w:rsidRPr="00D62894">
        <w:rPr>
          <w:lang w:val="ka-GE"/>
        </w:rPr>
        <w:t>2019 წლიდან სამინისტრომ შეიმუშავა სოფლის ექიმის პროგრამის მართვის ახალი მოდელი</w:t>
      </w:r>
      <w:r w:rsidRPr="00D62894">
        <w:t xml:space="preserve">: </w:t>
      </w:r>
    </w:p>
    <w:p w:rsidR="00D62894" w:rsidRPr="00D62894" w:rsidRDefault="00D62894" w:rsidP="00D62894">
      <w:r w:rsidRPr="00D62894">
        <w:rPr>
          <w:lang w:val="ka-GE"/>
        </w:rPr>
        <w:t xml:space="preserve">სოფლის ექიმის, სოფლის ექთნის სტატუსი შეიცვალა და გახდა მიკ¬რო ბიზნესის სტატუსის მქონე ფიზიკური პირი. </w:t>
      </w:r>
    </w:p>
    <w:p w:rsidR="00D62894" w:rsidRPr="00D62894" w:rsidRDefault="00D62894" w:rsidP="00D62894">
      <w:r w:rsidRPr="00D62894">
        <w:rPr>
          <w:lang w:val="ka-GE"/>
        </w:rPr>
        <w:t>სოფლის ექიმს და ექთანს მიეცა შესაძლებლობა ისარგებლონ შვებულებით და უქმე დღეებით.</w:t>
      </w:r>
    </w:p>
    <w:p w:rsidR="00D62894" w:rsidRPr="00D62894" w:rsidRDefault="00D62894" w:rsidP="00D62894">
      <w:r w:rsidRPr="00D62894">
        <w:rPr>
          <w:lang w:val="ka-GE"/>
        </w:rPr>
        <w:t>სახელმწიფო პროგრამის ფარგლებში იფარება აუცილებელი მედიკამენტები, სამედიცინო დოკუმენტაცია, რეცეპტის ბლანკები, სამედიცინო ნარჩენების მართვა და ინტერნეტმომსახურების უზრუნველსაყოფად მოდემი და ინტერნეტ სერვისი</w:t>
      </w:r>
    </w:p>
    <w:p w:rsidR="00D62894" w:rsidRPr="00D62894" w:rsidRDefault="00D62894" w:rsidP="00D62894">
      <w:r w:rsidRPr="00D62894">
        <w:rPr>
          <w:lang w:val="ka-GE"/>
        </w:rPr>
        <w:t xml:space="preserve">2019 წელს მთელი ქვეყნის მასშტაბით გარემონტდა 400 ამბულატორია. </w:t>
      </w:r>
    </w:p>
    <w:p w:rsidR="00D62894" w:rsidRPr="00D62894" w:rsidRDefault="00D62894" w:rsidP="00D62894">
      <w:r w:rsidRPr="00D62894">
        <w:rPr>
          <w:lang w:val="ka-GE"/>
        </w:rPr>
        <w:t>2020 წლიდან მოხდება  მათი უახლესი  თანამედროვე ტექნოლოგიებით აღჭურვა და დამატებით 250-მდე ახალი ამბულატორიის რეაბილიტაცია და აღჭურვა.</w:t>
      </w:r>
    </w:p>
    <w:p w:rsidR="00D62894" w:rsidRPr="00D62894" w:rsidRDefault="00D62894" w:rsidP="00D62894">
      <w:r w:rsidRPr="00D62894">
        <w:rPr>
          <w:lang w:val="ka-GE"/>
        </w:rPr>
        <w:t xml:space="preserve">900 ზე მეტ ოჯახის ექიმს სოფლად გადაეცა კომპიუტერი საინფორმაციო სისტემაში მუშაობისა და ტელემედიცინის დანერგვისთვის </w:t>
      </w:r>
    </w:p>
    <w:p w:rsidR="00D62894" w:rsidRPr="00D62894" w:rsidRDefault="00D62894" w:rsidP="00D62894">
      <w:r w:rsidRPr="00D62894">
        <w:rPr>
          <w:lang w:val="ka-GE"/>
        </w:rPr>
        <w:t>თბილისში, ბათუმსა და ქუთაისში დასრულდა სელექტიური კონტრაქტირების პირველი ეტაპი : პროგრამაში მონაწილეობა გააგრძელა 140-დან 85 პჯდ ცენტრმა</w:t>
      </w:r>
    </w:p>
    <w:p w:rsidR="00D62894" w:rsidRPr="00D62894" w:rsidRDefault="00D62894" w:rsidP="00D62894">
      <w:r w:rsidRPr="00D62894">
        <w:rPr>
          <w:lang w:val="ka-GE"/>
        </w:rPr>
        <w:t>ჯანმრთელობის მსოფლიო ორგანიზაციის ხელშეწყობით მიმდინარეობს პირველადი ჯანდაცვის სერვისების პაკეტისა და დაფინანსების მექანიზმების გადახედვა</w:t>
      </w:r>
    </w:p>
    <w:p w:rsidR="00D62894" w:rsidRPr="00D62894" w:rsidRDefault="00D62894">
      <w:pPr>
        <w:rPr>
          <w:lang w:val="ka-GE"/>
        </w:rPr>
      </w:pPr>
    </w:p>
    <w:sectPr w:rsidR="00D62894" w:rsidRPr="00D62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7748"/>
    <w:multiLevelType w:val="hybridMultilevel"/>
    <w:tmpl w:val="B112B654"/>
    <w:lvl w:ilvl="0" w:tplc="236C551C">
      <w:start w:val="1"/>
      <w:numFmt w:val="bullet"/>
      <w:lvlText w:val="•"/>
      <w:lvlJc w:val="left"/>
      <w:pPr>
        <w:tabs>
          <w:tab w:val="num" w:pos="720"/>
        </w:tabs>
        <w:ind w:left="720" w:hanging="360"/>
      </w:pPr>
      <w:rPr>
        <w:rFonts w:ascii="Arial" w:hAnsi="Arial" w:hint="default"/>
      </w:rPr>
    </w:lvl>
    <w:lvl w:ilvl="1" w:tplc="A9106C50">
      <w:start w:val="1"/>
      <w:numFmt w:val="bullet"/>
      <w:lvlText w:val="•"/>
      <w:lvlJc w:val="left"/>
      <w:pPr>
        <w:tabs>
          <w:tab w:val="num" w:pos="1440"/>
        </w:tabs>
        <w:ind w:left="1440" w:hanging="360"/>
      </w:pPr>
      <w:rPr>
        <w:rFonts w:ascii="Arial" w:hAnsi="Arial" w:hint="default"/>
      </w:rPr>
    </w:lvl>
    <w:lvl w:ilvl="2" w:tplc="C6DEAC6E" w:tentative="1">
      <w:start w:val="1"/>
      <w:numFmt w:val="bullet"/>
      <w:lvlText w:val="•"/>
      <w:lvlJc w:val="left"/>
      <w:pPr>
        <w:tabs>
          <w:tab w:val="num" w:pos="2160"/>
        </w:tabs>
        <w:ind w:left="2160" w:hanging="360"/>
      </w:pPr>
      <w:rPr>
        <w:rFonts w:ascii="Arial" w:hAnsi="Arial" w:hint="default"/>
      </w:rPr>
    </w:lvl>
    <w:lvl w:ilvl="3" w:tplc="897E509C" w:tentative="1">
      <w:start w:val="1"/>
      <w:numFmt w:val="bullet"/>
      <w:lvlText w:val="•"/>
      <w:lvlJc w:val="left"/>
      <w:pPr>
        <w:tabs>
          <w:tab w:val="num" w:pos="2880"/>
        </w:tabs>
        <w:ind w:left="2880" w:hanging="360"/>
      </w:pPr>
      <w:rPr>
        <w:rFonts w:ascii="Arial" w:hAnsi="Arial" w:hint="default"/>
      </w:rPr>
    </w:lvl>
    <w:lvl w:ilvl="4" w:tplc="D1D0D4E8" w:tentative="1">
      <w:start w:val="1"/>
      <w:numFmt w:val="bullet"/>
      <w:lvlText w:val="•"/>
      <w:lvlJc w:val="left"/>
      <w:pPr>
        <w:tabs>
          <w:tab w:val="num" w:pos="3600"/>
        </w:tabs>
        <w:ind w:left="3600" w:hanging="360"/>
      </w:pPr>
      <w:rPr>
        <w:rFonts w:ascii="Arial" w:hAnsi="Arial" w:hint="default"/>
      </w:rPr>
    </w:lvl>
    <w:lvl w:ilvl="5" w:tplc="818C3EA6" w:tentative="1">
      <w:start w:val="1"/>
      <w:numFmt w:val="bullet"/>
      <w:lvlText w:val="•"/>
      <w:lvlJc w:val="left"/>
      <w:pPr>
        <w:tabs>
          <w:tab w:val="num" w:pos="4320"/>
        </w:tabs>
        <w:ind w:left="4320" w:hanging="360"/>
      </w:pPr>
      <w:rPr>
        <w:rFonts w:ascii="Arial" w:hAnsi="Arial" w:hint="default"/>
      </w:rPr>
    </w:lvl>
    <w:lvl w:ilvl="6" w:tplc="F52C5282" w:tentative="1">
      <w:start w:val="1"/>
      <w:numFmt w:val="bullet"/>
      <w:lvlText w:val="•"/>
      <w:lvlJc w:val="left"/>
      <w:pPr>
        <w:tabs>
          <w:tab w:val="num" w:pos="5040"/>
        </w:tabs>
        <w:ind w:left="5040" w:hanging="360"/>
      </w:pPr>
      <w:rPr>
        <w:rFonts w:ascii="Arial" w:hAnsi="Arial" w:hint="default"/>
      </w:rPr>
    </w:lvl>
    <w:lvl w:ilvl="7" w:tplc="C9C652D4" w:tentative="1">
      <w:start w:val="1"/>
      <w:numFmt w:val="bullet"/>
      <w:lvlText w:val="•"/>
      <w:lvlJc w:val="left"/>
      <w:pPr>
        <w:tabs>
          <w:tab w:val="num" w:pos="5760"/>
        </w:tabs>
        <w:ind w:left="5760" w:hanging="360"/>
      </w:pPr>
      <w:rPr>
        <w:rFonts w:ascii="Arial" w:hAnsi="Arial" w:hint="default"/>
      </w:rPr>
    </w:lvl>
    <w:lvl w:ilvl="8" w:tplc="22A0B85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94"/>
    <w:rsid w:val="0097228A"/>
    <w:rsid w:val="00D62894"/>
    <w:rsid w:val="00F0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6849"/>
  <w15:chartTrackingRefBased/>
  <w15:docId w15:val="{182307DA-501C-479E-ABDA-321AEE56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8918">
      <w:bodyDiv w:val="1"/>
      <w:marLeft w:val="0"/>
      <w:marRight w:val="0"/>
      <w:marTop w:val="0"/>
      <w:marBottom w:val="0"/>
      <w:divBdr>
        <w:top w:val="none" w:sz="0" w:space="0" w:color="auto"/>
        <w:left w:val="none" w:sz="0" w:space="0" w:color="auto"/>
        <w:bottom w:val="none" w:sz="0" w:space="0" w:color="auto"/>
        <w:right w:val="none" w:sz="0" w:space="0" w:color="auto"/>
      </w:divBdr>
    </w:div>
    <w:div w:id="317736013">
      <w:bodyDiv w:val="1"/>
      <w:marLeft w:val="0"/>
      <w:marRight w:val="0"/>
      <w:marTop w:val="0"/>
      <w:marBottom w:val="0"/>
      <w:divBdr>
        <w:top w:val="none" w:sz="0" w:space="0" w:color="auto"/>
        <w:left w:val="none" w:sz="0" w:space="0" w:color="auto"/>
        <w:bottom w:val="none" w:sz="0" w:space="0" w:color="auto"/>
        <w:right w:val="none" w:sz="0" w:space="0" w:color="auto"/>
      </w:divBdr>
      <w:divsChild>
        <w:div w:id="1254625884">
          <w:marLeft w:val="994"/>
          <w:marRight w:val="0"/>
          <w:marTop w:val="0"/>
          <w:marBottom w:val="0"/>
          <w:divBdr>
            <w:top w:val="none" w:sz="0" w:space="0" w:color="auto"/>
            <w:left w:val="none" w:sz="0" w:space="0" w:color="auto"/>
            <w:bottom w:val="none" w:sz="0" w:space="0" w:color="auto"/>
            <w:right w:val="none" w:sz="0" w:space="0" w:color="auto"/>
          </w:divBdr>
        </w:div>
        <w:div w:id="1759789947">
          <w:marLeft w:val="994"/>
          <w:marRight w:val="0"/>
          <w:marTop w:val="0"/>
          <w:marBottom w:val="0"/>
          <w:divBdr>
            <w:top w:val="none" w:sz="0" w:space="0" w:color="auto"/>
            <w:left w:val="none" w:sz="0" w:space="0" w:color="auto"/>
            <w:bottom w:val="none" w:sz="0" w:space="0" w:color="auto"/>
            <w:right w:val="none" w:sz="0" w:space="0" w:color="auto"/>
          </w:divBdr>
        </w:div>
        <w:div w:id="728891577">
          <w:marLeft w:val="994"/>
          <w:marRight w:val="0"/>
          <w:marTop w:val="0"/>
          <w:marBottom w:val="0"/>
          <w:divBdr>
            <w:top w:val="none" w:sz="0" w:space="0" w:color="auto"/>
            <w:left w:val="none" w:sz="0" w:space="0" w:color="auto"/>
            <w:bottom w:val="none" w:sz="0" w:space="0" w:color="auto"/>
            <w:right w:val="none" w:sz="0" w:space="0" w:color="auto"/>
          </w:divBdr>
        </w:div>
        <w:div w:id="23483874">
          <w:marLeft w:val="994"/>
          <w:marRight w:val="0"/>
          <w:marTop w:val="0"/>
          <w:marBottom w:val="0"/>
          <w:divBdr>
            <w:top w:val="none" w:sz="0" w:space="0" w:color="auto"/>
            <w:left w:val="none" w:sz="0" w:space="0" w:color="auto"/>
            <w:bottom w:val="none" w:sz="0" w:space="0" w:color="auto"/>
            <w:right w:val="none" w:sz="0" w:space="0" w:color="auto"/>
          </w:divBdr>
        </w:div>
        <w:div w:id="234511660">
          <w:marLeft w:val="994"/>
          <w:marRight w:val="0"/>
          <w:marTop w:val="0"/>
          <w:marBottom w:val="0"/>
          <w:divBdr>
            <w:top w:val="none" w:sz="0" w:space="0" w:color="auto"/>
            <w:left w:val="none" w:sz="0" w:space="0" w:color="auto"/>
            <w:bottom w:val="none" w:sz="0" w:space="0" w:color="auto"/>
            <w:right w:val="none" w:sz="0" w:space="0" w:color="auto"/>
          </w:divBdr>
        </w:div>
      </w:divsChild>
    </w:div>
    <w:div w:id="1746031358">
      <w:bodyDiv w:val="1"/>
      <w:marLeft w:val="0"/>
      <w:marRight w:val="0"/>
      <w:marTop w:val="0"/>
      <w:marBottom w:val="0"/>
      <w:divBdr>
        <w:top w:val="none" w:sz="0" w:space="0" w:color="auto"/>
        <w:left w:val="none" w:sz="0" w:space="0" w:color="auto"/>
        <w:bottom w:val="none" w:sz="0" w:space="0" w:color="auto"/>
        <w:right w:val="none" w:sz="0" w:space="0" w:color="auto"/>
      </w:divBdr>
    </w:div>
    <w:div w:id="1963000328">
      <w:bodyDiv w:val="1"/>
      <w:marLeft w:val="0"/>
      <w:marRight w:val="0"/>
      <w:marTop w:val="0"/>
      <w:marBottom w:val="0"/>
      <w:divBdr>
        <w:top w:val="none" w:sz="0" w:space="0" w:color="auto"/>
        <w:left w:val="none" w:sz="0" w:space="0" w:color="auto"/>
        <w:bottom w:val="none" w:sz="0" w:space="0" w:color="auto"/>
        <w:right w:val="none" w:sz="0" w:space="0" w:color="auto"/>
      </w:divBdr>
    </w:div>
    <w:div w:id="20028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2020-06-17T17:13:00Z</dcterms:created>
  <dcterms:modified xsi:type="dcterms:W3CDTF">2020-06-17T17:16:00Z</dcterms:modified>
</cp:coreProperties>
</file>