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8E5" w:rsidRPr="00A038E5" w:rsidRDefault="00A038E5" w:rsidP="00A038E5">
      <w:pPr>
        <w:spacing w:after="200" w:line="276" w:lineRule="auto"/>
        <w:rPr>
          <w:rFonts w:eastAsia="Calibri"/>
          <w:b/>
          <w:color w:val="FF0000"/>
          <w:sz w:val="36"/>
          <w:szCs w:val="36"/>
        </w:rPr>
      </w:pPr>
      <w:r w:rsidRPr="00A038E5">
        <w:rPr>
          <w:rFonts w:eastAsia="Calibri"/>
          <w:b/>
          <w:color w:val="FF0000"/>
          <w:sz w:val="36"/>
          <w:szCs w:val="36"/>
        </w:rPr>
        <w:t>List of eligible costs related to the COVID-19 measures</w:t>
      </w:r>
      <w:r w:rsidRPr="00A038E5">
        <w:rPr>
          <w:rFonts w:eastAsia="Calibri"/>
          <w:b/>
          <w:color w:val="FF0000"/>
          <w:sz w:val="36"/>
          <w:szCs w:val="36"/>
        </w:rPr>
        <w:t xml:space="preserve"> – This is subject to change and app</w:t>
      </w:r>
      <w:r>
        <w:rPr>
          <w:rFonts w:eastAsia="Calibri"/>
          <w:b/>
          <w:color w:val="FF0000"/>
          <w:sz w:val="36"/>
          <w:szCs w:val="36"/>
        </w:rPr>
        <w:t xml:space="preserve">roval but provides you with an </w:t>
      </w:r>
      <w:bookmarkStart w:id="0" w:name="_GoBack"/>
      <w:bookmarkEnd w:id="0"/>
      <w:r w:rsidRPr="00A038E5">
        <w:rPr>
          <w:rFonts w:eastAsia="Calibri"/>
          <w:b/>
          <w:color w:val="FF0000"/>
          <w:sz w:val="36"/>
          <w:szCs w:val="36"/>
        </w:rPr>
        <w:t xml:space="preserve">idea. </w:t>
      </w:r>
    </w:p>
    <w:p w:rsidR="00A038E5" w:rsidRDefault="00A038E5" w:rsidP="00A038E5">
      <w:r w:rsidRPr="007808E3">
        <w:rPr>
          <w:rFonts w:eastAsia="Calibri" w:cs="Arial"/>
          <w:sz w:val="20"/>
        </w:rPr>
        <w:t xml:space="preserve">The dedicated </w:t>
      </w:r>
      <w:r>
        <w:rPr>
          <w:rFonts w:eastAsia="Calibri" w:cs="Arial"/>
          <w:sz w:val="20"/>
        </w:rPr>
        <w:t>emergency response</w:t>
      </w:r>
      <w:r w:rsidRPr="007808E3">
        <w:rPr>
          <w:rFonts w:eastAsia="Calibri" w:cs="Arial"/>
          <w:sz w:val="20"/>
        </w:rPr>
        <w:t xml:space="preserve"> component</w:t>
      </w:r>
      <w:r>
        <w:rPr>
          <w:rFonts w:eastAsia="Calibri" w:cs="Arial"/>
          <w:sz w:val="20"/>
        </w:rPr>
        <w:t>s</w:t>
      </w:r>
      <w:r w:rsidRPr="007808E3">
        <w:rPr>
          <w:rFonts w:eastAsia="Calibri" w:cs="Arial"/>
          <w:sz w:val="20"/>
        </w:rPr>
        <w:t xml:space="preserve"> will include the following provisions</w:t>
      </w:r>
      <w:r w:rsidRPr="001A6283">
        <w:rPr>
          <w:rFonts w:eastAsia="Calibri" w:cs="Arial"/>
          <w:sz w:val="20"/>
        </w:rPr>
        <w:t xml:space="preserve">. </w:t>
      </w:r>
      <w:r w:rsidRPr="001A6283">
        <w:rPr>
          <w:rFonts w:cs="Arial"/>
          <w:sz w:val="20"/>
        </w:rPr>
        <w:t>This eligibility should be valid only for the schemes implemented during the emergency</w:t>
      </w:r>
      <w:r>
        <w:rPr>
          <w:rFonts w:cs="Arial"/>
          <w:sz w:val="20"/>
        </w:rPr>
        <w:t xml:space="preserve"> i.e. from February 2020 until December 2020</w:t>
      </w:r>
      <w:r w:rsidRPr="001A6283">
        <w:rPr>
          <w:rFonts w:cs="Arial"/>
          <w:sz w:val="20"/>
        </w:rPr>
        <w:t>.</w:t>
      </w:r>
    </w:p>
    <w:p w:rsidR="00A038E5" w:rsidRPr="007808E3" w:rsidRDefault="00A038E5" w:rsidP="00A038E5">
      <w:pPr>
        <w:spacing w:after="200" w:line="276" w:lineRule="auto"/>
        <w:rPr>
          <w:rFonts w:eastAsia="Calibri" w:cs="Arial"/>
          <w:sz w:val="20"/>
        </w:rPr>
      </w:pPr>
    </w:p>
    <w:p w:rsidR="00A038E5" w:rsidRPr="007808E3" w:rsidRDefault="00A038E5" w:rsidP="00A038E5">
      <w:pPr>
        <w:spacing w:after="200" w:line="276" w:lineRule="auto"/>
        <w:rPr>
          <w:rFonts w:eastAsia="Calibri" w:cs="Arial"/>
          <w:sz w:val="20"/>
        </w:rPr>
      </w:pPr>
      <w:r w:rsidRPr="007808E3">
        <w:rPr>
          <w:rFonts w:eastAsia="Calibri" w:cs="Arial"/>
          <w:sz w:val="20"/>
        </w:rPr>
        <w:t>a)</w:t>
      </w:r>
      <w:r w:rsidRPr="007808E3">
        <w:rPr>
          <w:rFonts w:eastAsia="Calibri" w:cs="Arial"/>
          <w:sz w:val="20"/>
        </w:rPr>
        <w:tab/>
        <w:t>Health sector</w:t>
      </w:r>
    </w:p>
    <w:p w:rsidR="00A038E5" w:rsidRPr="007808E3" w:rsidRDefault="00A038E5" w:rsidP="00A038E5">
      <w:pPr>
        <w:spacing w:after="200" w:line="276" w:lineRule="auto"/>
        <w:rPr>
          <w:rFonts w:eastAsia="Calibri" w:cs="Arial"/>
          <w:sz w:val="20"/>
        </w:rPr>
      </w:pPr>
      <w:r w:rsidRPr="007808E3">
        <w:rPr>
          <w:rFonts w:eastAsia="Calibri" w:cs="Arial"/>
          <w:sz w:val="20"/>
        </w:rPr>
        <w:t>Projects will address the gaps in the public health infrastructure that is dealing with the epidemic</w:t>
      </w:r>
      <w:r>
        <w:rPr>
          <w:rFonts w:eastAsia="Calibri" w:cs="Arial"/>
          <w:sz w:val="20"/>
        </w:rPr>
        <w:t>,</w:t>
      </w:r>
      <w:r w:rsidRPr="007808E3">
        <w:rPr>
          <w:rFonts w:eastAsia="Calibri" w:cs="Arial"/>
          <w:sz w:val="20"/>
        </w:rPr>
        <w:t xml:space="preserve"> </w:t>
      </w:r>
      <w:proofErr w:type="spellStart"/>
      <w:proofErr w:type="gramStart"/>
      <w:r w:rsidRPr="007808E3">
        <w:rPr>
          <w:rFonts w:eastAsia="Calibri" w:cs="Arial"/>
          <w:sz w:val="20"/>
        </w:rPr>
        <w:t>eg</w:t>
      </w:r>
      <w:proofErr w:type="spellEnd"/>
      <w:r w:rsidRPr="007808E3">
        <w:rPr>
          <w:rFonts w:eastAsia="Calibri" w:cs="Arial"/>
          <w:sz w:val="20"/>
        </w:rPr>
        <w:t>.,</w:t>
      </w:r>
      <w:proofErr w:type="gramEnd"/>
      <w:r w:rsidRPr="007808E3">
        <w:rPr>
          <w:rFonts w:eastAsia="Calibri" w:cs="Arial"/>
          <w:sz w:val="20"/>
        </w:rPr>
        <w:t xml:space="preserve"> but not limited to, increase intensive care unit capacity for patients with respiratory diseases (respiration equipment etc.), lab capacities for testing, IT and other equipment and software for logistics, stockpiling, transport, surveillance, etc. The Promoter will present the list of schemes for the allocation to the satisfaction of the Bank</w:t>
      </w:r>
      <w:r w:rsidRPr="00F53AF0">
        <w:rPr>
          <w:rFonts w:eastAsia="Calibri" w:cs="Arial"/>
          <w:sz w:val="20"/>
        </w:rPr>
        <w:t xml:space="preserve">, an audited expenditure report </w:t>
      </w:r>
      <w:r>
        <w:rPr>
          <w:rFonts w:eastAsia="Calibri" w:cs="Arial"/>
          <w:sz w:val="20"/>
        </w:rPr>
        <w:t xml:space="preserve">and an inventory of items procured </w:t>
      </w:r>
      <w:r w:rsidRPr="00F53AF0">
        <w:rPr>
          <w:rFonts w:eastAsia="Calibri" w:cs="Arial"/>
          <w:sz w:val="20"/>
        </w:rPr>
        <w:t>at the end of implementation</w:t>
      </w:r>
      <w:r>
        <w:rPr>
          <w:rFonts w:eastAsia="Calibri" w:cs="Arial"/>
          <w:sz w:val="20"/>
        </w:rPr>
        <w:t xml:space="preserve">. </w:t>
      </w:r>
    </w:p>
    <w:p w:rsidR="00A038E5" w:rsidRDefault="00A038E5" w:rsidP="00A038E5">
      <w:pPr>
        <w:spacing w:after="200" w:line="276" w:lineRule="auto"/>
        <w:rPr>
          <w:rFonts w:eastAsia="Calibri" w:cs="Arial"/>
          <w:sz w:val="20"/>
        </w:rPr>
      </w:pPr>
      <w:r>
        <w:rPr>
          <w:rFonts w:eastAsia="Calibri" w:cs="Arial"/>
          <w:sz w:val="20"/>
        </w:rPr>
        <w:t xml:space="preserve">Loans will finance up to 100% of </w:t>
      </w:r>
      <w:r w:rsidRPr="000C69D7">
        <w:rPr>
          <w:rFonts w:eastAsia="Calibri" w:cs="Arial"/>
          <w:sz w:val="20"/>
        </w:rPr>
        <w:t>eligible</w:t>
      </w:r>
      <w:r>
        <w:rPr>
          <w:rFonts w:eastAsia="Calibri" w:cs="Arial"/>
          <w:sz w:val="20"/>
        </w:rPr>
        <w:t xml:space="preserve"> project costs (excluding VAT). This includes funding of OPEX for supplies and consumables whilst WHO maintains pandemic or health emergency status for COVID-19. </w:t>
      </w:r>
    </w:p>
    <w:tbl>
      <w:tblPr>
        <w:tblW w:w="9350" w:type="dxa"/>
        <w:tblLook w:val="04A0" w:firstRow="1" w:lastRow="0" w:firstColumn="1" w:lastColumn="0" w:noHBand="0" w:noVBand="1"/>
      </w:tblPr>
      <w:tblGrid>
        <w:gridCol w:w="4904"/>
        <w:gridCol w:w="4446"/>
      </w:tblGrid>
      <w:tr w:rsidR="00A038E5" w:rsidRPr="00CF651E" w:rsidTr="00296584">
        <w:trPr>
          <w:trHeight w:val="788"/>
        </w:trPr>
        <w:tc>
          <w:tcPr>
            <w:tcW w:w="490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038E5" w:rsidRPr="00CF651E" w:rsidRDefault="00A038E5" w:rsidP="00296584">
            <w:pPr>
              <w:rPr>
                <w:rFonts w:ascii="Calibri Light" w:hAnsi="Calibri Light" w:cs="Calibri Light"/>
                <w:b/>
                <w:bCs/>
                <w:color w:val="000000"/>
                <w:sz w:val="20"/>
                <w:lang w:eastAsia="en-GB"/>
              </w:rPr>
            </w:pPr>
            <w:r w:rsidRPr="00CF651E">
              <w:rPr>
                <w:rFonts w:ascii="Calibri Light" w:hAnsi="Calibri Light" w:cs="Calibri Light"/>
                <w:b/>
                <w:bCs/>
                <w:color w:val="000000"/>
                <w:sz w:val="20"/>
                <w:lang w:eastAsia="en-GB"/>
              </w:rPr>
              <w:t>Expenditure Category</w:t>
            </w:r>
            <w:r>
              <w:rPr>
                <w:rFonts w:ascii="Calibri Light" w:hAnsi="Calibri Light" w:cs="Calibri Light"/>
                <w:b/>
                <w:bCs/>
                <w:color w:val="000000"/>
                <w:sz w:val="20"/>
                <w:lang w:eastAsia="en-GB"/>
              </w:rPr>
              <w:t>*</w:t>
            </w:r>
          </w:p>
        </w:tc>
        <w:tc>
          <w:tcPr>
            <w:tcW w:w="4446" w:type="dxa"/>
            <w:tcBorders>
              <w:top w:val="single" w:sz="4" w:space="0" w:color="auto"/>
              <w:left w:val="nil"/>
              <w:bottom w:val="single" w:sz="4" w:space="0" w:color="auto"/>
              <w:right w:val="single" w:sz="4" w:space="0" w:color="auto"/>
            </w:tcBorders>
            <w:shd w:val="clear" w:color="000000" w:fill="D9D9D9"/>
            <w:noWrap/>
            <w:vAlign w:val="center"/>
            <w:hideMark/>
          </w:tcPr>
          <w:p w:rsidR="00A038E5" w:rsidRPr="00CF651E" w:rsidRDefault="00A038E5" w:rsidP="00296584">
            <w:pPr>
              <w:rPr>
                <w:rFonts w:ascii="Calibri Light" w:hAnsi="Calibri Light" w:cs="Calibri Light"/>
                <w:b/>
                <w:bCs/>
                <w:color w:val="000000"/>
                <w:sz w:val="20"/>
                <w:lang w:eastAsia="en-GB"/>
              </w:rPr>
            </w:pPr>
            <w:r>
              <w:rPr>
                <w:rFonts w:ascii="Calibri Light" w:hAnsi="Calibri Light" w:cs="Calibri Light"/>
                <w:b/>
                <w:bCs/>
                <w:color w:val="000000"/>
                <w:sz w:val="20"/>
                <w:lang w:eastAsia="en-GB"/>
              </w:rPr>
              <w:t xml:space="preserve">Examples for </w:t>
            </w:r>
            <w:r w:rsidRPr="00CF651E">
              <w:rPr>
                <w:rFonts w:ascii="Calibri Light" w:hAnsi="Calibri Light" w:cs="Calibri Light"/>
                <w:b/>
                <w:bCs/>
                <w:color w:val="000000"/>
                <w:sz w:val="20"/>
                <w:lang w:eastAsia="en-GB"/>
              </w:rPr>
              <w:t>items</w:t>
            </w:r>
          </w:p>
        </w:tc>
      </w:tr>
      <w:tr w:rsidR="00A038E5" w:rsidRPr="009770A9" w:rsidTr="00296584">
        <w:trPr>
          <w:trHeight w:val="115"/>
        </w:trPr>
        <w:tc>
          <w:tcPr>
            <w:tcW w:w="4904" w:type="dxa"/>
            <w:tcBorders>
              <w:top w:val="nil"/>
              <w:left w:val="single" w:sz="4" w:space="0" w:color="auto"/>
              <w:bottom w:val="single" w:sz="4" w:space="0" w:color="auto"/>
              <w:right w:val="single" w:sz="4" w:space="0" w:color="auto"/>
            </w:tcBorders>
            <w:shd w:val="clear" w:color="auto" w:fill="auto"/>
            <w:noWrap/>
            <w:vAlign w:val="center"/>
            <w:hideMark/>
          </w:tcPr>
          <w:p w:rsidR="00A038E5" w:rsidRPr="009770A9" w:rsidRDefault="00A038E5" w:rsidP="00296584">
            <w:pPr>
              <w:rPr>
                <w:rFonts w:ascii="Calibri Light" w:hAnsi="Calibri Light" w:cs="Calibri Light"/>
                <w:b/>
                <w:bCs/>
                <w:color w:val="000000"/>
                <w:sz w:val="10"/>
                <w:szCs w:val="10"/>
                <w:lang w:eastAsia="en-GB"/>
              </w:rPr>
            </w:pPr>
            <w:r w:rsidRPr="009770A9">
              <w:rPr>
                <w:rFonts w:ascii="Calibri Light" w:hAnsi="Calibri Light" w:cs="Calibri Light"/>
                <w:b/>
                <w:bCs/>
                <w:color w:val="000000"/>
                <w:sz w:val="10"/>
                <w:szCs w:val="10"/>
                <w:lang w:eastAsia="en-GB"/>
              </w:rPr>
              <w:t> </w:t>
            </w: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9770A9" w:rsidRDefault="00A038E5" w:rsidP="00296584">
            <w:pPr>
              <w:rPr>
                <w:rFonts w:ascii="Calibri Light" w:hAnsi="Calibri Light" w:cs="Calibri Light"/>
                <w:b/>
                <w:bCs/>
                <w:color w:val="000000"/>
                <w:sz w:val="10"/>
                <w:szCs w:val="10"/>
                <w:lang w:eastAsia="en-GB"/>
              </w:rPr>
            </w:pPr>
            <w:r w:rsidRPr="009770A9">
              <w:rPr>
                <w:rFonts w:ascii="Calibri Light" w:hAnsi="Calibri Light" w:cs="Calibri Light"/>
                <w:b/>
                <w:bCs/>
                <w:color w:val="000000"/>
                <w:sz w:val="10"/>
                <w:szCs w:val="10"/>
                <w:lang w:eastAsia="en-GB"/>
              </w:rPr>
              <w:t> </w:t>
            </w:r>
          </w:p>
        </w:tc>
      </w:tr>
      <w:tr w:rsidR="00A038E5" w:rsidRPr="00CF651E" w:rsidTr="00296584">
        <w:trPr>
          <w:trHeight w:val="285"/>
        </w:trPr>
        <w:tc>
          <w:tcPr>
            <w:tcW w:w="4904" w:type="dxa"/>
            <w:tcBorders>
              <w:top w:val="nil"/>
              <w:left w:val="single" w:sz="4" w:space="0" w:color="auto"/>
              <w:bottom w:val="single" w:sz="4" w:space="0" w:color="auto"/>
              <w:right w:val="single" w:sz="4" w:space="0" w:color="auto"/>
            </w:tcBorders>
            <w:shd w:val="clear" w:color="000000" w:fill="D9D9D9"/>
            <w:noWrap/>
            <w:vAlign w:val="center"/>
            <w:hideMark/>
          </w:tcPr>
          <w:p w:rsidR="00A038E5" w:rsidRPr="00CF651E" w:rsidRDefault="00A038E5" w:rsidP="00296584">
            <w:pPr>
              <w:rPr>
                <w:rFonts w:ascii="Calibri Light" w:hAnsi="Calibri Light" w:cs="Calibri Light"/>
                <w:b/>
                <w:bCs/>
                <w:color w:val="000000"/>
                <w:sz w:val="16"/>
                <w:szCs w:val="16"/>
                <w:lang w:eastAsia="en-GB"/>
              </w:rPr>
            </w:pPr>
            <w:r w:rsidRPr="00CF651E">
              <w:rPr>
                <w:rFonts w:ascii="Calibri Light" w:hAnsi="Calibri Light" w:cs="Calibri Light"/>
                <w:b/>
                <w:bCs/>
                <w:color w:val="000000"/>
                <w:sz w:val="16"/>
                <w:szCs w:val="16"/>
                <w:lang w:eastAsia="en-GB"/>
              </w:rPr>
              <w:t>Medical and non-medical equipment</w:t>
            </w:r>
            <w:r w:rsidRPr="00CF651E">
              <w:rPr>
                <w:rFonts w:ascii="Calibri Light" w:hAnsi="Calibri Light" w:cs="Calibri Light"/>
                <w:color w:val="000000"/>
                <w:sz w:val="16"/>
                <w:szCs w:val="16"/>
                <w:lang w:eastAsia="en-GB"/>
              </w:rPr>
              <w:t xml:space="preserve"> </w:t>
            </w: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b/>
                <w:bCs/>
                <w:color w:val="000000"/>
                <w:sz w:val="16"/>
                <w:szCs w:val="16"/>
                <w:lang w:eastAsia="en-GB"/>
              </w:rPr>
            </w:pPr>
            <w:r w:rsidRPr="00CF651E">
              <w:rPr>
                <w:rFonts w:ascii="Calibri Light" w:hAnsi="Calibri Light" w:cs="Calibri Light"/>
                <w:b/>
                <w:bCs/>
                <w:color w:val="000000"/>
                <w:sz w:val="16"/>
                <w:szCs w:val="16"/>
                <w:lang w:eastAsia="en-GB"/>
              </w:rPr>
              <w:t> </w:t>
            </w:r>
          </w:p>
        </w:tc>
      </w:tr>
      <w:tr w:rsidR="00A038E5" w:rsidRPr="00CF651E" w:rsidTr="00296584">
        <w:trPr>
          <w:trHeight w:val="285"/>
        </w:trPr>
        <w:tc>
          <w:tcPr>
            <w:tcW w:w="4904" w:type="dxa"/>
            <w:vMerge w:val="restart"/>
            <w:tcBorders>
              <w:top w:val="nil"/>
              <w:left w:val="single" w:sz="4" w:space="0" w:color="auto"/>
              <w:bottom w:val="single" w:sz="4" w:space="0" w:color="000000"/>
              <w:right w:val="single" w:sz="4" w:space="0" w:color="auto"/>
            </w:tcBorders>
            <w:shd w:val="clear" w:color="auto" w:fill="auto"/>
            <w:noWrap/>
            <w:hideMark/>
          </w:tcPr>
          <w:p w:rsidR="00A038E5" w:rsidRPr="00CF651E" w:rsidRDefault="00A038E5" w:rsidP="00296584">
            <w:pPr>
              <w:jc w:val="cente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 </w:t>
            </w: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pulmonary ventilators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vital signs monitors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proofErr w:type="gramStart"/>
            <w:r w:rsidRPr="00CF651E">
              <w:rPr>
                <w:rFonts w:ascii="Calibri Light" w:hAnsi="Calibri Light" w:cs="Calibri Light"/>
                <w:color w:val="000000"/>
                <w:sz w:val="16"/>
                <w:szCs w:val="16"/>
                <w:lang w:eastAsia="en-GB"/>
              </w:rPr>
              <w:t>medical</w:t>
            </w:r>
            <w:proofErr w:type="gramEnd"/>
            <w:r w:rsidRPr="00CF651E">
              <w:rPr>
                <w:rFonts w:ascii="Calibri Light" w:hAnsi="Calibri Light" w:cs="Calibri Light"/>
                <w:color w:val="000000"/>
                <w:sz w:val="16"/>
                <w:szCs w:val="16"/>
                <w:lang w:eastAsia="en-GB"/>
              </w:rPr>
              <w:t xml:space="preserve"> gases devices (flowmeters, hoses, pressure reducers…)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oxygen concentrators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standard beds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intensive care beds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Pr>
                <w:rFonts w:ascii="Calibri Light" w:hAnsi="Calibri Light" w:cs="Calibri Light"/>
                <w:color w:val="000000"/>
                <w:sz w:val="16"/>
                <w:szCs w:val="16"/>
                <w:lang w:eastAsia="en-GB"/>
              </w:rPr>
              <w:t>extracorpor</w:t>
            </w:r>
            <w:r w:rsidRPr="00CF651E">
              <w:rPr>
                <w:rFonts w:ascii="Calibri Light" w:hAnsi="Calibri Light" w:cs="Calibri Light"/>
                <w:color w:val="000000"/>
                <w:sz w:val="16"/>
                <w:szCs w:val="16"/>
                <w:lang w:eastAsia="en-GB"/>
              </w:rPr>
              <w:t>eal oxygenation systems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steam sterilizers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resuscitation equipment</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x-ray mobile units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laboratory diagnostics equipment</w:t>
            </w:r>
          </w:p>
        </w:tc>
      </w:tr>
      <w:tr w:rsidR="00A038E5" w:rsidRPr="00CF651E" w:rsidTr="00296584">
        <w:trPr>
          <w:trHeight w:val="285"/>
        </w:trPr>
        <w:tc>
          <w:tcPr>
            <w:tcW w:w="4904" w:type="dxa"/>
            <w:tcBorders>
              <w:top w:val="nil"/>
              <w:left w:val="single" w:sz="4" w:space="0" w:color="auto"/>
              <w:bottom w:val="single" w:sz="4" w:space="0" w:color="auto"/>
              <w:right w:val="single" w:sz="4" w:space="0" w:color="auto"/>
            </w:tcBorders>
            <w:shd w:val="clear" w:color="000000" w:fill="D9D9D9"/>
            <w:noWrap/>
            <w:vAlign w:val="center"/>
            <w:hideMark/>
          </w:tcPr>
          <w:p w:rsidR="00A038E5" w:rsidRPr="00CF651E" w:rsidRDefault="00A038E5" w:rsidP="00296584">
            <w:pPr>
              <w:rPr>
                <w:rFonts w:ascii="Calibri Light" w:hAnsi="Calibri Light" w:cs="Calibri Light"/>
                <w:b/>
                <w:bCs/>
                <w:color w:val="000000"/>
                <w:sz w:val="16"/>
                <w:szCs w:val="16"/>
                <w:lang w:eastAsia="en-GB"/>
              </w:rPr>
            </w:pPr>
            <w:r w:rsidRPr="00CF651E">
              <w:rPr>
                <w:rFonts w:ascii="Calibri Light" w:hAnsi="Calibri Light" w:cs="Calibri Light"/>
                <w:b/>
                <w:bCs/>
                <w:color w:val="000000"/>
                <w:sz w:val="16"/>
                <w:szCs w:val="16"/>
                <w:lang w:eastAsia="en-GB"/>
              </w:rPr>
              <w:t>General supplies and consumables</w:t>
            </w:r>
            <w:r w:rsidRPr="00CF651E">
              <w:rPr>
                <w:rFonts w:ascii="Calibri Light" w:hAnsi="Calibri Light" w:cs="Calibri Light"/>
                <w:color w:val="000000"/>
                <w:sz w:val="16"/>
                <w:szCs w:val="16"/>
                <w:lang w:eastAsia="en-GB"/>
              </w:rPr>
              <w:t xml:space="preserve"> </w:t>
            </w: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 </w:t>
            </w:r>
          </w:p>
        </w:tc>
      </w:tr>
      <w:tr w:rsidR="00A038E5" w:rsidRPr="00CF651E" w:rsidTr="00296584">
        <w:trPr>
          <w:trHeight w:val="285"/>
        </w:trPr>
        <w:tc>
          <w:tcPr>
            <w:tcW w:w="4904" w:type="dxa"/>
            <w:vMerge w:val="restart"/>
            <w:tcBorders>
              <w:top w:val="nil"/>
              <w:left w:val="single" w:sz="4" w:space="0" w:color="auto"/>
              <w:bottom w:val="single" w:sz="4" w:space="0" w:color="000000"/>
              <w:right w:val="single" w:sz="4" w:space="0" w:color="auto"/>
            </w:tcBorders>
            <w:shd w:val="clear" w:color="auto" w:fill="auto"/>
            <w:noWrap/>
            <w:hideMark/>
          </w:tcPr>
          <w:p w:rsidR="00A038E5" w:rsidRPr="00CF651E" w:rsidRDefault="00A038E5" w:rsidP="00296584">
            <w:pPr>
              <w:jc w:val="cente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 </w:t>
            </w:r>
          </w:p>
        </w:tc>
        <w:tc>
          <w:tcPr>
            <w:tcW w:w="4446" w:type="dxa"/>
            <w:tcBorders>
              <w:top w:val="nil"/>
              <w:left w:val="nil"/>
              <w:bottom w:val="single" w:sz="4" w:space="0" w:color="auto"/>
              <w:right w:val="single" w:sz="4" w:space="0" w:color="auto"/>
            </w:tcBorders>
            <w:shd w:val="clear" w:color="auto" w:fill="auto"/>
            <w:noWrap/>
            <w:vAlign w:val="center"/>
          </w:tcPr>
          <w:p w:rsidR="00A038E5" w:rsidRPr="00CF651E" w:rsidRDefault="00A038E5" w:rsidP="00296584">
            <w:pPr>
              <w:rPr>
                <w:rFonts w:ascii="Calibri Light" w:hAnsi="Calibri Light" w:cs="Calibri Light"/>
                <w:color w:val="000000"/>
                <w:sz w:val="16"/>
                <w:szCs w:val="16"/>
                <w:lang w:eastAsia="en-GB"/>
              </w:rPr>
            </w:pPr>
            <w:r>
              <w:rPr>
                <w:rFonts w:ascii="Calibri Light" w:hAnsi="Calibri Light" w:cs="Calibri Light"/>
                <w:color w:val="000000"/>
                <w:sz w:val="16"/>
                <w:szCs w:val="16"/>
                <w:lang w:eastAsia="en-GB"/>
              </w:rPr>
              <w:t>Personal protective equipment and masks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shd w:val="clear" w:color="auto" w:fill="auto"/>
            <w:noWrap/>
          </w:tcPr>
          <w:p w:rsidR="00A038E5" w:rsidRPr="00CF651E" w:rsidRDefault="00A038E5" w:rsidP="00296584">
            <w:pPr>
              <w:jc w:val="cente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tcPr>
          <w:p w:rsidR="00A038E5" w:rsidRDefault="00A038E5" w:rsidP="00296584">
            <w:pPr>
              <w:rPr>
                <w:rFonts w:ascii="Calibri Light" w:hAnsi="Calibri Light" w:cs="Calibri Light"/>
                <w:color w:val="000000"/>
                <w:sz w:val="16"/>
                <w:szCs w:val="16"/>
                <w:lang w:eastAsia="en-GB"/>
              </w:rPr>
            </w:pPr>
            <w:r>
              <w:rPr>
                <w:rFonts w:ascii="Calibri Light" w:hAnsi="Calibri Light" w:cs="Calibri Light"/>
                <w:color w:val="000000"/>
                <w:sz w:val="16"/>
                <w:szCs w:val="16"/>
                <w:lang w:eastAsia="en-GB"/>
              </w:rPr>
              <w:t>Lab test reagents and supplies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shd w:val="clear" w:color="auto" w:fill="auto"/>
            <w:noWrap/>
          </w:tcPr>
          <w:p w:rsidR="00A038E5" w:rsidRPr="00CF651E" w:rsidRDefault="00A038E5" w:rsidP="00296584">
            <w:pPr>
              <w:jc w:val="cente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reusable pulmonary ventilation circuits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disposable oxygen therapy devices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transport oxygen cylinders</w:t>
            </w:r>
          </w:p>
        </w:tc>
      </w:tr>
      <w:tr w:rsidR="00A038E5" w:rsidRPr="00CF651E" w:rsidTr="00296584">
        <w:trPr>
          <w:trHeight w:val="420"/>
        </w:trPr>
        <w:tc>
          <w:tcPr>
            <w:tcW w:w="4904" w:type="dxa"/>
            <w:tcBorders>
              <w:top w:val="nil"/>
              <w:left w:val="single" w:sz="4" w:space="0" w:color="auto"/>
              <w:bottom w:val="single" w:sz="4" w:space="0" w:color="auto"/>
              <w:right w:val="single" w:sz="4" w:space="0" w:color="auto"/>
            </w:tcBorders>
            <w:shd w:val="clear" w:color="000000" w:fill="D9D9D9"/>
            <w:noWrap/>
            <w:vAlign w:val="center"/>
            <w:hideMark/>
          </w:tcPr>
          <w:p w:rsidR="00A038E5" w:rsidRPr="00CF651E" w:rsidRDefault="00A038E5" w:rsidP="00296584">
            <w:pPr>
              <w:rPr>
                <w:rFonts w:ascii="Calibri Light" w:hAnsi="Calibri Light" w:cs="Calibri Light"/>
                <w:b/>
                <w:bCs/>
                <w:color w:val="000000"/>
                <w:sz w:val="16"/>
                <w:szCs w:val="16"/>
                <w:lang w:eastAsia="en-GB"/>
              </w:rPr>
            </w:pPr>
            <w:r w:rsidRPr="00CF651E">
              <w:rPr>
                <w:rFonts w:ascii="Calibri Light" w:hAnsi="Calibri Light" w:cs="Calibri Light"/>
                <w:b/>
                <w:bCs/>
                <w:color w:val="000000"/>
                <w:sz w:val="16"/>
                <w:szCs w:val="16"/>
                <w:lang w:eastAsia="en-GB"/>
              </w:rPr>
              <w:t>Electromechanical installations and systems / adaptive</w:t>
            </w: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 </w:t>
            </w:r>
          </w:p>
        </w:tc>
      </w:tr>
      <w:tr w:rsidR="00A038E5" w:rsidRPr="00CF651E" w:rsidTr="00296584">
        <w:trPr>
          <w:trHeight w:val="285"/>
        </w:trPr>
        <w:tc>
          <w:tcPr>
            <w:tcW w:w="4904" w:type="dxa"/>
            <w:vMerge w:val="restart"/>
            <w:tcBorders>
              <w:top w:val="nil"/>
              <w:left w:val="single" w:sz="4" w:space="0" w:color="auto"/>
              <w:bottom w:val="single" w:sz="4" w:space="0" w:color="000000"/>
              <w:right w:val="single" w:sz="4" w:space="0" w:color="auto"/>
            </w:tcBorders>
            <w:shd w:val="clear" w:color="auto" w:fill="auto"/>
            <w:noWrap/>
            <w:hideMark/>
          </w:tcPr>
          <w:p w:rsidR="00A038E5" w:rsidRPr="00CF651E" w:rsidRDefault="00A038E5" w:rsidP="00296584">
            <w:pPr>
              <w:jc w:val="cente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 </w:t>
            </w: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oxygen generation systems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medical gases piping and distribution</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oxygen cylinders refilling systems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 xml:space="preserve">power generators / UPS </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 xml:space="preserve">air treatment installations </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water treatment installations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waste management installations</w:t>
            </w:r>
          </w:p>
        </w:tc>
      </w:tr>
      <w:tr w:rsidR="00A038E5" w:rsidRPr="00CF651E" w:rsidTr="00296584">
        <w:trPr>
          <w:trHeight w:val="285"/>
        </w:trPr>
        <w:tc>
          <w:tcPr>
            <w:tcW w:w="4904" w:type="dxa"/>
            <w:tcBorders>
              <w:top w:val="nil"/>
              <w:left w:val="single" w:sz="4" w:space="0" w:color="auto"/>
              <w:bottom w:val="single" w:sz="4" w:space="0" w:color="auto"/>
              <w:right w:val="single" w:sz="4" w:space="0" w:color="auto"/>
            </w:tcBorders>
            <w:shd w:val="clear" w:color="000000" w:fill="D9D9D9"/>
            <w:noWrap/>
            <w:vAlign w:val="center"/>
            <w:hideMark/>
          </w:tcPr>
          <w:p w:rsidR="00A038E5" w:rsidRPr="00CF651E" w:rsidRDefault="00A038E5" w:rsidP="00296584">
            <w:pPr>
              <w:rPr>
                <w:rFonts w:ascii="Calibri Light" w:hAnsi="Calibri Light" w:cs="Calibri Light"/>
                <w:b/>
                <w:bCs/>
                <w:color w:val="000000"/>
                <w:sz w:val="16"/>
                <w:szCs w:val="16"/>
                <w:lang w:eastAsia="en-GB"/>
              </w:rPr>
            </w:pPr>
            <w:r w:rsidRPr="00CF651E">
              <w:rPr>
                <w:rFonts w:ascii="Calibri Light" w:hAnsi="Calibri Light" w:cs="Calibri Light"/>
                <w:b/>
                <w:bCs/>
                <w:color w:val="000000"/>
                <w:sz w:val="16"/>
                <w:szCs w:val="16"/>
                <w:lang w:eastAsia="en-GB"/>
              </w:rPr>
              <w:t>Modular and mobile hospital units</w:t>
            </w: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 </w:t>
            </w:r>
          </w:p>
        </w:tc>
      </w:tr>
      <w:tr w:rsidR="00A038E5" w:rsidRPr="00CF651E" w:rsidTr="00296584">
        <w:trPr>
          <w:trHeight w:val="285"/>
        </w:trPr>
        <w:tc>
          <w:tcPr>
            <w:tcW w:w="4904" w:type="dxa"/>
            <w:vMerge w:val="restart"/>
            <w:tcBorders>
              <w:top w:val="nil"/>
              <w:left w:val="single" w:sz="4" w:space="0" w:color="auto"/>
              <w:bottom w:val="single" w:sz="4" w:space="0" w:color="000000"/>
              <w:right w:val="single" w:sz="4" w:space="0" w:color="auto"/>
            </w:tcBorders>
            <w:shd w:val="clear" w:color="auto" w:fill="auto"/>
            <w:noWrap/>
            <w:hideMark/>
          </w:tcPr>
          <w:p w:rsidR="00A038E5" w:rsidRPr="00CF651E" w:rsidRDefault="00A038E5" w:rsidP="00296584">
            <w:pPr>
              <w:jc w:val="cente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lastRenderedPageBreak/>
              <w:t> </w:t>
            </w: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inpatient units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 xml:space="preserve">intensive care / </w:t>
            </w:r>
            <w:proofErr w:type="spellStart"/>
            <w:r w:rsidRPr="00CF651E">
              <w:rPr>
                <w:rFonts w:ascii="Calibri Light" w:hAnsi="Calibri Light" w:cs="Calibri Light"/>
                <w:color w:val="000000"/>
                <w:sz w:val="16"/>
                <w:szCs w:val="16"/>
                <w:lang w:eastAsia="en-GB"/>
              </w:rPr>
              <w:t>subintensive</w:t>
            </w:r>
            <w:proofErr w:type="spellEnd"/>
            <w:r w:rsidRPr="00CF651E">
              <w:rPr>
                <w:rFonts w:ascii="Calibri Light" w:hAnsi="Calibri Light" w:cs="Calibri Light"/>
                <w:color w:val="000000"/>
                <w:sz w:val="16"/>
                <w:szCs w:val="16"/>
                <w:lang w:eastAsia="en-GB"/>
              </w:rPr>
              <w:t xml:space="preserve"> care units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sterilization service</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 xml:space="preserve">diagnostics </w:t>
            </w:r>
            <w:proofErr w:type="spellStart"/>
            <w:r w:rsidRPr="00CF651E">
              <w:rPr>
                <w:rFonts w:ascii="Calibri Light" w:hAnsi="Calibri Light" w:cs="Calibri Light"/>
                <w:color w:val="000000"/>
                <w:sz w:val="16"/>
                <w:szCs w:val="16"/>
                <w:lang w:eastAsia="en-GB"/>
              </w:rPr>
              <w:t>bioimaging</w:t>
            </w:r>
            <w:proofErr w:type="spellEnd"/>
            <w:r w:rsidRPr="00CF651E">
              <w:rPr>
                <w:rFonts w:ascii="Calibri Light" w:hAnsi="Calibri Light" w:cs="Calibri Light"/>
                <w:color w:val="000000"/>
                <w:sz w:val="16"/>
                <w:szCs w:val="16"/>
                <w:lang w:eastAsia="en-GB"/>
              </w:rPr>
              <w:t xml:space="preserve"> units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diagnostics laboratory units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field hospitals systems for rapid emergency deployment</w:t>
            </w:r>
          </w:p>
        </w:tc>
      </w:tr>
      <w:tr w:rsidR="00A038E5" w:rsidRPr="00CF651E" w:rsidTr="00296584">
        <w:trPr>
          <w:trHeight w:val="420"/>
        </w:trPr>
        <w:tc>
          <w:tcPr>
            <w:tcW w:w="4904" w:type="dxa"/>
            <w:tcBorders>
              <w:top w:val="nil"/>
              <w:left w:val="single" w:sz="4" w:space="0" w:color="auto"/>
              <w:bottom w:val="single" w:sz="4" w:space="0" w:color="auto"/>
              <w:right w:val="single" w:sz="4" w:space="0" w:color="auto"/>
            </w:tcBorders>
            <w:shd w:val="clear" w:color="000000" w:fill="D9D9D9"/>
            <w:noWrap/>
            <w:vAlign w:val="center"/>
            <w:hideMark/>
          </w:tcPr>
          <w:p w:rsidR="00A038E5" w:rsidRPr="00CF651E" w:rsidRDefault="00A038E5" w:rsidP="00296584">
            <w:pPr>
              <w:rPr>
                <w:rFonts w:ascii="Calibri Light" w:hAnsi="Calibri Light" w:cs="Calibri Light"/>
                <w:b/>
                <w:bCs/>
                <w:color w:val="000000"/>
                <w:sz w:val="16"/>
                <w:szCs w:val="16"/>
                <w:lang w:eastAsia="en-GB"/>
              </w:rPr>
            </w:pPr>
            <w:r w:rsidRPr="00CF651E">
              <w:rPr>
                <w:rFonts w:ascii="Calibri Light" w:hAnsi="Calibri Light" w:cs="Calibri Light"/>
                <w:b/>
                <w:bCs/>
                <w:color w:val="000000"/>
                <w:sz w:val="16"/>
                <w:szCs w:val="16"/>
                <w:lang w:eastAsia="en-GB"/>
              </w:rPr>
              <w:t>Reconfiguration of healthcare facility and services</w:t>
            </w: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 </w:t>
            </w:r>
          </w:p>
        </w:tc>
      </w:tr>
      <w:tr w:rsidR="00A038E5" w:rsidRPr="00CF651E" w:rsidTr="00296584">
        <w:trPr>
          <w:trHeight w:val="285"/>
        </w:trPr>
        <w:tc>
          <w:tcPr>
            <w:tcW w:w="4904" w:type="dxa"/>
            <w:vMerge w:val="restart"/>
            <w:tcBorders>
              <w:top w:val="nil"/>
              <w:left w:val="single" w:sz="4" w:space="0" w:color="auto"/>
              <w:bottom w:val="single" w:sz="4" w:space="0" w:color="000000"/>
              <w:right w:val="single" w:sz="4" w:space="0" w:color="auto"/>
            </w:tcBorders>
            <w:shd w:val="clear" w:color="auto" w:fill="auto"/>
            <w:noWrap/>
            <w:hideMark/>
          </w:tcPr>
          <w:p w:rsidR="00A038E5" w:rsidRPr="00CF651E" w:rsidRDefault="00A038E5" w:rsidP="00296584">
            <w:pPr>
              <w:jc w:val="center"/>
              <w:rPr>
                <w:rFonts w:ascii="Calibri Light" w:hAnsi="Calibri Light" w:cs="Calibri Light"/>
                <w:color w:val="000000"/>
                <w:sz w:val="16"/>
                <w:szCs w:val="16"/>
                <w:lang w:eastAsia="en-GB"/>
              </w:rPr>
            </w:pPr>
            <w:r>
              <w:rPr>
                <w:rFonts w:ascii="Calibri Light" w:hAnsi="Calibri Light" w:cs="Calibri Light"/>
                <w:color w:val="000000"/>
                <w:sz w:val="16"/>
                <w:szCs w:val="16"/>
                <w:lang w:eastAsia="en-GB"/>
              </w:rPr>
              <w:t>(</w:t>
            </w:r>
            <w:r w:rsidRPr="00CF651E">
              <w:rPr>
                <w:rFonts w:ascii="Calibri Light" w:hAnsi="Calibri Light" w:cs="Calibri Light"/>
                <w:color w:val="000000"/>
                <w:sz w:val="16"/>
                <w:szCs w:val="16"/>
                <w:lang w:eastAsia="en-GB"/>
              </w:rPr>
              <w:t>COVID dedicated</w:t>
            </w:r>
            <w:r>
              <w:rPr>
                <w:rFonts w:ascii="Calibri Light" w:hAnsi="Calibri Light" w:cs="Calibri Light"/>
                <w:color w:val="000000"/>
                <w:sz w:val="16"/>
                <w:szCs w:val="16"/>
                <w:lang w:eastAsia="en-GB"/>
              </w:rPr>
              <w:t>, for use as temporary treatment centre (e.g. recently closed health facilities or conversion of premises for COVID treatment</w:t>
            </w:r>
            <w:r w:rsidRPr="00CF651E">
              <w:rPr>
                <w:rFonts w:ascii="Calibri Light" w:hAnsi="Calibri Light" w:cs="Calibri Light"/>
                <w:color w:val="000000"/>
                <w:sz w:val="16"/>
                <w:szCs w:val="16"/>
                <w:lang w:eastAsia="en-GB"/>
              </w:rPr>
              <w:t>)</w:t>
            </w:r>
            <w:r>
              <w:rPr>
                <w:rFonts w:ascii="Calibri Light" w:hAnsi="Calibri Light" w:cs="Calibri Light"/>
                <w:color w:val="000000"/>
                <w:sz w:val="16"/>
                <w:szCs w:val="16"/>
                <w:lang w:eastAsia="en-GB"/>
              </w:rPr>
              <w:t>)</w:t>
            </w: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reconfiguration planning and design</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reconfiguration works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removal and transfer works</w:t>
            </w:r>
          </w:p>
        </w:tc>
      </w:tr>
      <w:tr w:rsidR="00A038E5" w:rsidRPr="00CF651E" w:rsidTr="00296584">
        <w:trPr>
          <w:trHeight w:val="349"/>
        </w:trPr>
        <w:tc>
          <w:tcPr>
            <w:tcW w:w="4904" w:type="dxa"/>
            <w:tcBorders>
              <w:top w:val="nil"/>
              <w:left w:val="single" w:sz="4" w:space="0" w:color="auto"/>
              <w:bottom w:val="single" w:sz="4" w:space="0" w:color="auto"/>
              <w:right w:val="single" w:sz="4" w:space="0" w:color="auto"/>
            </w:tcBorders>
            <w:shd w:val="clear" w:color="000000" w:fill="D9D9D9"/>
            <w:noWrap/>
            <w:vAlign w:val="center"/>
            <w:hideMark/>
          </w:tcPr>
          <w:p w:rsidR="00A038E5" w:rsidRPr="004301F5" w:rsidRDefault="00A038E5" w:rsidP="00296584">
            <w:pPr>
              <w:rPr>
                <w:rFonts w:ascii="Calibri Light" w:hAnsi="Calibri Light" w:cs="Calibri Light"/>
                <w:b/>
                <w:bCs/>
                <w:sz w:val="16"/>
                <w:szCs w:val="16"/>
                <w:lang w:eastAsia="en-GB"/>
              </w:rPr>
            </w:pPr>
            <w:r w:rsidRPr="004301F5">
              <w:rPr>
                <w:rFonts w:ascii="Calibri Light" w:hAnsi="Calibri Light" w:cs="Calibri Light"/>
                <w:b/>
                <w:bCs/>
                <w:sz w:val="16"/>
                <w:szCs w:val="16"/>
                <w:lang w:eastAsia="en-GB"/>
              </w:rPr>
              <w:t>Staff costs including</w:t>
            </w:r>
            <w:r w:rsidRPr="004301F5">
              <w:t xml:space="preserve"> </w:t>
            </w:r>
            <w:r w:rsidRPr="004301F5">
              <w:rPr>
                <w:rFonts w:ascii="Calibri Light" w:hAnsi="Calibri Light" w:cs="Calibri Light"/>
                <w:b/>
                <w:bCs/>
                <w:sz w:val="16"/>
                <w:szCs w:val="16"/>
                <w:lang w:eastAsia="en-GB"/>
              </w:rPr>
              <w:t>incremental staff costs associated with the Covid19 crisis (i.e. additional personne</w:t>
            </w:r>
            <w:r>
              <w:rPr>
                <w:rFonts w:ascii="Calibri Light" w:hAnsi="Calibri Light" w:cs="Calibri Light"/>
                <w:b/>
                <w:bCs/>
                <w:sz w:val="16"/>
                <w:szCs w:val="16"/>
                <w:lang w:eastAsia="en-GB"/>
              </w:rPr>
              <w:t>l mobilised, extra-hours, etc.)</w:t>
            </w: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 </w:t>
            </w:r>
          </w:p>
        </w:tc>
      </w:tr>
      <w:tr w:rsidR="00A038E5" w:rsidRPr="00CF651E" w:rsidTr="00296584">
        <w:trPr>
          <w:trHeight w:val="349"/>
        </w:trPr>
        <w:tc>
          <w:tcPr>
            <w:tcW w:w="4904" w:type="dxa"/>
            <w:vMerge w:val="restart"/>
            <w:tcBorders>
              <w:top w:val="nil"/>
              <w:left w:val="single" w:sz="4" w:space="0" w:color="auto"/>
              <w:bottom w:val="single" w:sz="4" w:space="0" w:color="000000"/>
              <w:right w:val="single" w:sz="4" w:space="0" w:color="auto"/>
            </w:tcBorders>
            <w:shd w:val="clear" w:color="auto" w:fill="auto"/>
            <w:noWrap/>
            <w:hideMark/>
          </w:tcPr>
          <w:p w:rsidR="00A038E5" w:rsidRPr="00CF651E" w:rsidRDefault="00A038E5" w:rsidP="00296584">
            <w:pPr>
              <w:jc w:val="cente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(specifically aimed at COVID response)</w:t>
            </w: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Staff training</w:t>
            </w:r>
          </w:p>
        </w:tc>
      </w:tr>
      <w:tr w:rsidR="00A038E5" w:rsidRPr="00CF651E" w:rsidTr="00296584">
        <w:trPr>
          <w:trHeight w:val="349"/>
        </w:trPr>
        <w:tc>
          <w:tcPr>
            <w:tcW w:w="4904" w:type="dxa"/>
            <w:vMerge/>
            <w:tcBorders>
              <w:top w:val="nil"/>
              <w:left w:val="single" w:sz="4" w:space="0" w:color="auto"/>
              <w:bottom w:val="single" w:sz="4" w:space="0" w:color="000000"/>
              <w:right w:val="single" w:sz="4" w:space="0" w:color="auto"/>
            </w:tcBorders>
            <w:shd w:val="clear" w:color="auto" w:fill="auto"/>
            <w:noWrap/>
          </w:tcPr>
          <w:p w:rsidR="00A038E5" w:rsidRPr="00CF651E" w:rsidRDefault="00A038E5" w:rsidP="00296584">
            <w:pPr>
              <w:jc w:val="cente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tcPr>
          <w:p w:rsidR="00A038E5" w:rsidRPr="00CF651E" w:rsidRDefault="00A038E5" w:rsidP="00296584">
            <w:pPr>
              <w:rPr>
                <w:rFonts w:ascii="Calibri Light" w:hAnsi="Calibri Light" w:cs="Calibri Light"/>
                <w:color w:val="000000"/>
                <w:sz w:val="16"/>
                <w:szCs w:val="16"/>
                <w:lang w:eastAsia="en-GB"/>
              </w:rPr>
            </w:pPr>
            <w:r>
              <w:rPr>
                <w:rFonts w:ascii="Calibri Light" w:hAnsi="Calibri Light" w:cs="Calibri Light"/>
                <w:color w:val="000000"/>
                <w:sz w:val="16"/>
                <w:szCs w:val="16"/>
                <w:lang w:eastAsia="en-GB"/>
              </w:rPr>
              <w:t>Incremental CoVid-19 related staff costs (temporary staff only)</w:t>
            </w:r>
          </w:p>
        </w:tc>
      </w:tr>
      <w:tr w:rsidR="00A038E5" w:rsidRPr="00CF651E" w:rsidTr="00296584">
        <w:trPr>
          <w:trHeight w:val="349"/>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R&amp;D salaries</w:t>
            </w:r>
          </w:p>
        </w:tc>
      </w:tr>
      <w:tr w:rsidR="00A038E5" w:rsidRPr="00CF651E" w:rsidTr="00296584">
        <w:trPr>
          <w:trHeight w:val="285"/>
        </w:trPr>
        <w:tc>
          <w:tcPr>
            <w:tcW w:w="4904" w:type="dxa"/>
            <w:tcBorders>
              <w:top w:val="nil"/>
              <w:left w:val="single" w:sz="4" w:space="0" w:color="auto"/>
              <w:bottom w:val="single" w:sz="4" w:space="0" w:color="auto"/>
              <w:right w:val="single" w:sz="4" w:space="0" w:color="auto"/>
            </w:tcBorders>
            <w:shd w:val="clear" w:color="000000" w:fill="D9D9D9"/>
            <w:noWrap/>
            <w:vAlign w:val="center"/>
            <w:hideMark/>
          </w:tcPr>
          <w:p w:rsidR="00A038E5" w:rsidRPr="00CF651E" w:rsidRDefault="00A038E5" w:rsidP="00296584">
            <w:pPr>
              <w:rPr>
                <w:rFonts w:ascii="Calibri Light" w:hAnsi="Calibri Light" w:cs="Calibri Light"/>
                <w:b/>
                <w:bCs/>
                <w:color w:val="000000"/>
                <w:sz w:val="16"/>
                <w:szCs w:val="16"/>
                <w:lang w:eastAsia="en-GB"/>
              </w:rPr>
            </w:pPr>
            <w:r w:rsidRPr="00CF651E">
              <w:rPr>
                <w:rFonts w:ascii="Calibri Light" w:hAnsi="Calibri Light" w:cs="Calibri Light"/>
                <w:b/>
                <w:bCs/>
                <w:color w:val="000000"/>
                <w:sz w:val="16"/>
                <w:szCs w:val="16"/>
                <w:lang w:eastAsia="en-GB"/>
              </w:rPr>
              <w:t>Facility Management</w:t>
            </w: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 </w:t>
            </w:r>
          </w:p>
        </w:tc>
      </w:tr>
      <w:tr w:rsidR="00A038E5" w:rsidRPr="00CF651E" w:rsidTr="00296584">
        <w:trPr>
          <w:trHeight w:val="420"/>
        </w:trPr>
        <w:tc>
          <w:tcPr>
            <w:tcW w:w="4904" w:type="dxa"/>
            <w:vMerge w:val="restart"/>
            <w:tcBorders>
              <w:top w:val="nil"/>
              <w:left w:val="single" w:sz="4" w:space="0" w:color="auto"/>
              <w:bottom w:val="single" w:sz="4" w:space="0" w:color="000000"/>
              <w:right w:val="single" w:sz="4" w:space="0" w:color="auto"/>
            </w:tcBorders>
            <w:shd w:val="clear" w:color="auto" w:fill="auto"/>
            <w:noWrap/>
            <w:hideMark/>
          </w:tcPr>
          <w:p w:rsidR="00A038E5" w:rsidRPr="00CF651E" w:rsidRDefault="00A038E5" w:rsidP="00296584">
            <w:pPr>
              <w:jc w:val="cente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(Emergency maintenance and repairs )</w:t>
            </w: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operation and maintenance emergency activities (building, installations and systems)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 xml:space="preserve">clinical engineering emergency activities </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urgent spare parts / repair kits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Security activities and equipment</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Disinfection</w:t>
            </w:r>
          </w:p>
        </w:tc>
      </w:tr>
      <w:tr w:rsidR="00A038E5" w:rsidRPr="00CF651E" w:rsidTr="00296584">
        <w:trPr>
          <w:trHeight w:val="420"/>
        </w:trPr>
        <w:tc>
          <w:tcPr>
            <w:tcW w:w="4904" w:type="dxa"/>
            <w:tcBorders>
              <w:top w:val="nil"/>
              <w:left w:val="single" w:sz="4" w:space="0" w:color="auto"/>
              <w:bottom w:val="single" w:sz="4" w:space="0" w:color="auto"/>
              <w:right w:val="single" w:sz="4" w:space="0" w:color="auto"/>
            </w:tcBorders>
            <w:shd w:val="clear" w:color="000000" w:fill="D9D9D9"/>
            <w:noWrap/>
            <w:vAlign w:val="center"/>
            <w:hideMark/>
          </w:tcPr>
          <w:p w:rsidR="00A038E5" w:rsidRPr="00CF651E" w:rsidRDefault="00A038E5" w:rsidP="00296584">
            <w:pPr>
              <w:rPr>
                <w:rFonts w:ascii="Calibri Light" w:hAnsi="Calibri Light" w:cs="Calibri Light"/>
                <w:b/>
                <w:bCs/>
                <w:color w:val="000000"/>
                <w:sz w:val="16"/>
                <w:szCs w:val="16"/>
                <w:lang w:eastAsia="en-GB"/>
              </w:rPr>
            </w:pPr>
            <w:r w:rsidRPr="00CF651E">
              <w:rPr>
                <w:rFonts w:ascii="Calibri Light" w:hAnsi="Calibri Light" w:cs="Calibri Light"/>
                <w:b/>
                <w:bCs/>
                <w:color w:val="000000"/>
                <w:sz w:val="16"/>
                <w:szCs w:val="16"/>
                <w:lang w:eastAsia="en-GB"/>
              </w:rPr>
              <w:t>IT and telecommunication systems</w:t>
            </w:r>
            <w:r w:rsidRPr="00CF651E">
              <w:rPr>
                <w:rFonts w:ascii="Calibri Light" w:hAnsi="Calibri Light" w:cs="Calibri Light"/>
                <w:color w:val="000000"/>
                <w:sz w:val="16"/>
                <w:szCs w:val="16"/>
                <w:lang w:eastAsia="en-GB"/>
              </w:rPr>
              <w:t xml:space="preserve"> </w:t>
            </w:r>
            <w:r w:rsidRPr="00CF651E">
              <w:rPr>
                <w:rFonts w:ascii="Calibri Light" w:hAnsi="Calibri Light" w:cs="Calibri Light"/>
                <w:b/>
                <w:bCs/>
                <w:color w:val="000000"/>
                <w:sz w:val="16"/>
                <w:szCs w:val="16"/>
                <w:lang w:eastAsia="en-GB"/>
              </w:rPr>
              <w:t>and equipment</w:t>
            </w:r>
            <w:r w:rsidRPr="00CF651E">
              <w:rPr>
                <w:rFonts w:ascii="Calibri Light" w:hAnsi="Calibri Light" w:cs="Calibri Light"/>
                <w:color w:val="000000"/>
                <w:sz w:val="16"/>
                <w:szCs w:val="16"/>
                <w:lang w:eastAsia="en-GB"/>
              </w:rPr>
              <w:t xml:space="preserve"> </w:t>
            </w: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 </w:t>
            </w:r>
          </w:p>
        </w:tc>
      </w:tr>
      <w:tr w:rsidR="00A038E5" w:rsidRPr="00CF651E" w:rsidTr="00296584">
        <w:trPr>
          <w:trHeight w:val="285"/>
        </w:trPr>
        <w:tc>
          <w:tcPr>
            <w:tcW w:w="4904" w:type="dxa"/>
            <w:vMerge w:val="restart"/>
            <w:tcBorders>
              <w:top w:val="nil"/>
              <w:left w:val="single" w:sz="4" w:space="0" w:color="auto"/>
              <w:bottom w:val="single" w:sz="4" w:space="0" w:color="000000"/>
              <w:right w:val="single" w:sz="4" w:space="0" w:color="auto"/>
            </w:tcBorders>
            <w:shd w:val="clear" w:color="auto" w:fill="auto"/>
            <w:noWrap/>
            <w:hideMark/>
          </w:tcPr>
          <w:p w:rsidR="00A038E5" w:rsidRPr="00CF651E" w:rsidRDefault="00A038E5" w:rsidP="00296584">
            <w:pPr>
              <w:jc w:val="cente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 </w:t>
            </w: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surveillance solutions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diagnostics solutions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modelling solutions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eHealth solutions</w:t>
            </w:r>
          </w:p>
        </w:tc>
      </w:tr>
      <w:tr w:rsidR="00A038E5" w:rsidRPr="00CF651E" w:rsidTr="00296584">
        <w:trPr>
          <w:trHeight w:val="420"/>
        </w:trPr>
        <w:tc>
          <w:tcPr>
            <w:tcW w:w="4904" w:type="dxa"/>
            <w:tcBorders>
              <w:top w:val="nil"/>
              <w:left w:val="single" w:sz="4" w:space="0" w:color="auto"/>
              <w:bottom w:val="single" w:sz="4" w:space="0" w:color="auto"/>
              <w:right w:val="single" w:sz="4" w:space="0" w:color="auto"/>
            </w:tcBorders>
            <w:shd w:val="clear" w:color="000000" w:fill="D9D9D9"/>
            <w:noWrap/>
            <w:vAlign w:val="center"/>
            <w:hideMark/>
          </w:tcPr>
          <w:p w:rsidR="00A038E5" w:rsidRPr="00CF651E" w:rsidRDefault="00A038E5" w:rsidP="00296584">
            <w:pPr>
              <w:rPr>
                <w:rFonts w:ascii="Calibri Light" w:hAnsi="Calibri Light" w:cs="Calibri Light"/>
                <w:b/>
                <w:bCs/>
                <w:color w:val="000000"/>
                <w:sz w:val="16"/>
                <w:szCs w:val="16"/>
                <w:lang w:eastAsia="en-GB"/>
              </w:rPr>
            </w:pPr>
            <w:r w:rsidRPr="00CF651E">
              <w:rPr>
                <w:rFonts w:ascii="Calibri Light" w:hAnsi="Calibri Light" w:cs="Calibri Light"/>
                <w:b/>
                <w:bCs/>
                <w:color w:val="000000"/>
                <w:sz w:val="16"/>
                <w:szCs w:val="16"/>
                <w:lang w:eastAsia="en-GB"/>
              </w:rPr>
              <w:t>Fees/payments for contracting-in of private hospital facilities/hotels and service providers</w:t>
            </w: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 </w:t>
            </w:r>
          </w:p>
        </w:tc>
      </w:tr>
      <w:tr w:rsidR="00A038E5" w:rsidRPr="00CF651E" w:rsidTr="00296584">
        <w:trPr>
          <w:trHeight w:val="285"/>
        </w:trPr>
        <w:tc>
          <w:tcPr>
            <w:tcW w:w="4904" w:type="dxa"/>
            <w:vMerge w:val="restart"/>
            <w:tcBorders>
              <w:top w:val="nil"/>
              <w:left w:val="single" w:sz="4" w:space="0" w:color="auto"/>
              <w:bottom w:val="single" w:sz="4" w:space="0" w:color="000000"/>
              <w:right w:val="single" w:sz="4" w:space="0" w:color="auto"/>
            </w:tcBorders>
            <w:shd w:val="clear" w:color="auto" w:fill="auto"/>
            <w:noWrap/>
            <w:hideMark/>
          </w:tcPr>
          <w:p w:rsidR="00A038E5" w:rsidRPr="00CF651E" w:rsidRDefault="00A038E5" w:rsidP="00296584">
            <w:pPr>
              <w:jc w:val="cente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 for epidemiological, clinical and support services)</w:t>
            </w: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extra beds fees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facilities / units rental</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equipment rental</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diagnostic services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 xml:space="preserve">additional activities </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w:t>
            </w:r>
          </w:p>
        </w:tc>
      </w:tr>
      <w:tr w:rsidR="00A038E5" w:rsidRPr="00CF651E" w:rsidTr="00296584">
        <w:trPr>
          <w:trHeight w:val="285"/>
        </w:trPr>
        <w:tc>
          <w:tcPr>
            <w:tcW w:w="4904" w:type="dxa"/>
            <w:tcBorders>
              <w:top w:val="nil"/>
              <w:left w:val="single" w:sz="4" w:space="0" w:color="auto"/>
              <w:bottom w:val="single" w:sz="4" w:space="0" w:color="auto"/>
              <w:right w:val="single" w:sz="4" w:space="0" w:color="auto"/>
            </w:tcBorders>
            <w:shd w:val="clear" w:color="000000" w:fill="D9D9D9"/>
            <w:noWrap/>
            <w:vAlign w:val="center"/>
            <w:hideMark/>
          </w:tcPr>
          <w:p w:rsidR="00A038E5" w:rsidRPr="00CF651E" w:rsidRDefault="00A038E5" w:rsidP="00296584">
            <w:pPr>
              <w:rPr>
                <w:rFonts w:ascii="Calibri Light" w:hAnsi="Calibri Light" w:cs="Calibri Light"/>
                <w:b/>
                <w:bCs/>
                <w:color w:val="000000"/>
                <w:sz w:val="16"/>
                <w:szCs w:val="16"/>
                <w:lang w:eastAsia="en-GB"/>
              </w:rPr>
            </w:pPr>
            <w:r w:rsidRPr="00CF651E">
              <w:rPr>
                <w:rFonts w:ascii="Calibri Light" w:hAnsi="Calibri Light" w:cs="Calibri Light"/>
                <w:b/>
                <w:bCs/>
                <w:color w:val="000000"/>
                <w:sz w:val="16"/>
                <w:szCs w:val="16"/>
                <w:lang w:eastAsia="en-GB"/>
              </w:rPr>
              <w:t xml:space="preserve">Supply chain management and warehousing </w:t>
            </w: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 </w:t>
            </w:r>
          </w:p>
        </w:tc>
      </w:tr>
      <w:tr w:rsidR="00A038E5" w:rsidRPr="00CF651E" w:rsidTr="00296584">
        <w:trPr>
          <w:trHeight w:val="285"/>
        </w:trPr>
        <w:tc>
          <w:tcPr>
            <w:tcW w:w="4904" w:type="dxa"/>
            <w:vMerge w:val="restart"/>
            <w:tcBorders>
              <w:top w:val="nil"/>
              <w:left w:val="single" w:sz="4" w:space="0" w:color="auto"/>
              <w:bottom w:val="single" w:sz="4" w:space="0" w:color="000000"/>
              <w:right w:val="single" w:sz="4" w:space="0" w:color="auto"/>
            </w:tcBorders>
            <w:shd w:val="clear" w:color="auto" w:fill="auto"/>
            <w:noWrap/>
            <w:hideMark/>
          </w:tcPr>
          <w:p w:rsidR="00A038E5" w:rsidRPr="00CF651E" w:rsidRDefault="00A038E5" w:rsidP="00296584">
            <w:pPr>
              <w:jc w:val="cente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 </w:t>
            </w: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vehicle</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transport equipment</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logistics activities</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warehouse set up</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storage facilitie</w:t>
            </w:r>
            <w:r>
              <w:rPr>
                <w:rFonts w:ascii="Calibri Light" w:hAnsi="Calibri Light" w:cs="Calibri Light"/>
                <w:color w:val="000000"/>
                <w:sz w:val="16"/>
                <w:szCs w:val="16"/>
                <w:lang w:eastAsia="en-GB"/>
              </w:rPr>
              <w:t>s</w:t>
            </w:r>
            <w:r w:rsidRPr="00CF651E">
              <w:rPr>
                <w:rFonts w:ascii="Calibri Light" w:hAnsi="Calibri Light" w:cs="Calibri Light"/>
                <w:color w:val="000000"/>
                <w:sz w:val="16"/>
                <w:szCs w:val="16"/>
                <w:lang w:eastAsia="en-GB"/>
              </w:rPr>
              <w:t xml:space="preserve"> rental</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supply chain management solutions</w:t>
            </w:r>
          </w:p>
        </w:tc>
      </w:tr>
      <w:tr w:rsidR="00A038E5" w:rsidRPr="00CF651E" w:rsidTr="00296584">
        <w:trPr>
          <w:trHeight w:val="285"/>
        </w:trPr>
        <w:tc>
          <w:tcPr>
            <w:tcW w:w="49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038E5" w:rsidRPr="00CF651E" w:rsidRDefault="00A038E5" w:rsidP="00296584">
            <w:pPr>
              <w:rPr>
                <w:rFonts w:ascii="Calibri Light" w:hAnsi="Calibri Light" w:cs="Calibri Light"/>
                <w:b/>
                <w:bCs/>
                <w:color w:val="000000"/>
                <w:sz w:val="16"/>
                <w:szCs w:val="16"/>
                <w:lang w:eastAsia="en-GB"/>
              </w:rPr>
            </w:pPr>
            <w:r w:rsidRPr="00CF651E">
              <w:rPr>
                <w:rFonts w:ascii="Calibri Light" w:hAnsi="Calibri Light" w:cs="Calibri Light"/>
                <w:b/>
                <w:bCs/>
                <w:color w:val="000000"/>
                <w:sz w:val="16"/>
                <w:szCs w:val="16"/>
                <w:lang w:eastAsia="en-GB"/>
              </w:rPr>
              <w:t>Drugs supply and production</w:t>
            </w:r>
            <w:r w:rsidRPr="00CF651E">
              <w:rPr>
                <w:rFonts w:ascii="Calibri Light" w:hAnsi="Calibri Light" w:cs="Calibri Light"/>
                <w:color w:val="000000"/>
                <w:sz w:val="16"/>
                <w:szCs w:val="16"/>
                <w:lang w:eastAsia="en-GB"/>
              </w:rPr>
              <w:t xml:space="preserve"> </w:t>
            </w: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 </w:t>
            </w:r>
          </w:p>
        </w:tc>
      </w:tr>
      <w:tr w:rsidR="00A038E5" w:rsidRPr="00CF651E" w:rsidTr="00296584">
        <w:trPr>
          <w:trHeight w:val="289"/>
        </w:trPr>
        <w:tc>
          <w:tcPr>
            <w:tcW w:w="4904" w:type="dxa"/>
            <w:vMerge w:val="restart"/>
            <w:tcBorders>
              <w:top w:val="nil"/>
              <w:left w:val="single" w:sz="4" w:space="0" w:color="auto"/>
              <w:bottom w:val="single" w:sz="4" w:space="0" w:color="000000"/>
              <w:right w:val="single" w:sz="4" w:space="0" w:color="auto"/>
            </w:tcBorders>
            <w:shd w:val="clear" w:color="auto" w:fill="auto"/>
            <w:noWrap/>
            <w:hideMark/>
          </w:tcPr>
          <w:p w:rsidR="00A038E5" w:rsidRPr="00CF651E" w:rsidRDefault="00A038E5" w:rsidP="00296584">
            <w:pPr>
              <w:jc w:val="cente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(Especially if successful off-label treatment with already available drugs can be demonstrated)</w:t>
            </w: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drugs supply and distribution</w:t>
            </w:r>
          </w:p>
        </w:tc>
      </w:tr>
      <w:tr w:rsidR="00A038E5" w:rsidRPr="00CF651E" w:rsidTr="00296584">
        <w:trPr>
          <w:trHeight w:val="285"/>
        </w:trPr>
        <w:tc>
          <w:tcPr>
            <w:tcW w:w="4904" w:type="dxa"/>
            <w:vMerge/>
            <w:tcBorders>
              <w:top w:val="nil"/>
              <w:left w:val="single" w:sz="4" w:space="0" w:color="auto"/>
              <w:bottom w:val="single" w:sz="4" w:space="0" w:color="000000"/>
              <w:right w:val="single" w:sz="4" w:space="0" w:color="auto"/>
            </w:tcBorders>
            <w:vAlign w:val="center"/>
            <w:hideMark/>
          </w:tcPr>
          <w:p w:rsidR="00A038E5" w:rsidRPr="00CF651E" w:rsidRDefault="00A038E5" w:rsidP="00296584">
            <w:pPr>
              <w:rPr>
                <w:rFonts w:ascii="Calibri Light" w:hAnsi="Calibri Light" w:cs="Calibri Light"/>
                <w:color w:val="000000"/>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production facilities expansion / scale up</w:t>
            </w:r>
          </w:p>
        </w:tc>
      </w:tr>
      <w:tr w:rsidR="00A038E5" w:rsidRPr="00CF651E" w:rsidTr="00296584">
        <w:trPr>
          <w:trHeight w:val="285"/>
        </w:trPr>
        <w:tc>
          <w:tcPr>
            <w:tcW w:w="49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038E5" w:rsidRPr="00CF651E" w:rsidRDefault="00A038E5" w:rsidP="00296584">
            <w:pPr>
              <w:rPr>
                <w:rFonts w:ascii="Calibri Light" w:hAnsi="Calibri Light" w:cs="Calibri Light"/>
                <w:b/>
                <w:bCs/>
                <w:color w:val="000000"/>
                <w:sz w:val="16"/>
                <w:szCs w:val="16"/>
                <w:lang w:eastAsia="en-GB"/>
              </w:rPr>
            </w:pPr>
            <w:r w:rsidRPr="00CF651E">
              <w:rPr>
                <w:rFonts w:ascii="Calibri Light" w:hAnsi="Calibri Light" w:cs="Calibri Light"/>
                <w:b/>
                <w:bCs/>
                <w:color w:val="000000"/>
                <w:sz w:val="16"/>
                <w:szCs w:val="16"/>
                <w:lang w:eastAsia="en-GB"/>
              </w:rPr>
              <w:t>Research activities</w:t>
            </w: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 </w:t>
            </w:r>
          </w:p>
        </w:tc>
      </w:tr>
      <w:tr w:rsidR="00A038E5" w:rsidRPr="00CF651E" w:rsidTr="00296584">
        <w:trPr>
          <w:trHeight w:val="285"/>
        </w:trPr>
        <w:tc>
          <w:tcPr>
            <w:tcW w:w="4904" w:type="dxa"/>
            <w:tcBorders>
              <w:top w:val="nil"/>
              <w:left w:val="single" w:sz="4" w:space="0" w:color="auto"/>
              <w:bottom w:val="single" w:sz="4" w:space="0" w:color="000000"/>
              <w:right w:val="single" w:sz="4" w:space="0" w:color="auto"/>
            </w:tcBorders>
            <w:shd w:val="clear" w:color="auto" w:fill="auto"/>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 xml:space="preserve">Focused on SARS-CoV-2 (fundamental and applied research: virus structure, vaccines, drugs) or COVID-19 (diagnostic and treatment strategy, disease management) </w:t>
            </w:r>
          </w:p>
        </w:tc>
        <w:tc>
          <w:tcPr>
            <w:tcW w:w="4446" w:type="dxa"/>
            <w:tcBorders>
              <w:top w:val="nil"/>
              <w:left w:val="nil"/>
              <w:bottom w:val="single" w:sz="4" w:space="0" w:color="auto"/>
              <w:right w:val="single" w:sz="4" w:space="0" w:color="auto"/>
            </w:tcBorders>
            <w:shd w:val="clear" w:color="auto" w:fill="auto"/>
            <w:noWrap/>
            <w:vAlign w:val="center"/>
            <w:hideMark/>
          </w:tcPr>
          <w:p w:rsidR="00A038E5" w:rsidRPr="00CF651E" w:rsidRDefault="00A038E5" w:rsidP="00296584">
            <w:pPr>
              <w:rPr>
                <w:rFonts w:ascii="Calibri Light" w:hAnsi="Calibri Light" w:cs="Calibri Light"/>
                <w:color w:val="000000"/>
                <w:sz w:val="16"/>
                <w:szCs w:val="16"/>
                <w:lang w:eastAsia="en-GB"/>
              </w:rPr>
            </w:pPr>
            <w:r w:rsidRPr="00CF651E">
              <w:rPr>
                <w:rFonts w:ascii="Calibri Light" w:hAnsi="Calibri Light" w:cs="Calibri Light"/>
                <w:color w:val="000000"/>
                <w:sz w:val="16"/>
                <w:szCs w:val="16"/>
                <w:lang w:eastAsia="en-GB"/>
              </w:rPr>
              <w:t> </w:t>
            </w:r>
          </w:p>
        </w:tc>
      </w:tr>
    </w:tbl>
    <w:p w:rsidR="00A038E5" w:rsidRDefault="00A038E5" w:rsidP="00A038E5">
      <w:pPr>
        <w:spacing w:after="200" w:line="276" w:lineRule="auto"/>
        <w:rPr>
          <w:rFonts w:eastAsia="Calibri" w:cs="Arial"/>
          <w:color w:val="000000"/>
          <w:sz w:val="16"/>
          <w:szCs w:val="16"/>
        </w:rPr>
      </w:pPr>
      <w:r w:rsidRPr="002D22BB">
        <w:rPr>
          <w:rFonts w:eastAsia="Calibri" w:cs="Arial"/>
          <w:color w:val="000000"/>
          <w:sz w:val="16"/>
          <w:szCs w:val="16"/>
        </w:rPr>
        <w:t xml:space="preserve">*Other purchases similar in nature or purpose </w:t>
      </w:r>
      <w:r>
        <w:rPr>
          <w:rFonts w:eastAsia="Calibri" w:cs="Arial"/>
          <w:color w:val="000000"/>
          <w:sz w:val="16"/>
          <w:szCs w:val="16"/>
        </w:rPr>
        <w:t xml:space="preserve">to the </w:t>
      </w:r>
      <w:r w:rsidRPr="002D22BB">
        <w:rPr>
          <w:rFonts w:eastAsia="Calibri" w:cs="Arial"/>
          <w:color w:val="000000"/>
          <w:sz w:val="16"/>
          <w:szCs w:val="16"/>
        </w:rPr>
        <w:t xml:space="preserve">described </w:t>
      </w:r>
      <w:r>
        <w:rPr>
          <w:rFonts w:eastAsia="Calibri" w:cs="Arial"/>
          <w:color w:val="000000"/>
          <w:sz w:val="16"/>
          <w:szCs w:val="16"/>
        </w:rPr>
        <w:t xml:space="preserve">categories </w:t>
      </w:r>
      <w:r w:rsidRPr="002D22BB">
        <w:rPr>
          <w:rFonts w:eastAsia="Calibri" w:cs="Arial"/>
          <w:color w:val="000000"/>
          <w:sz w:val="16"/>
          <w:szCs w:val="16"/>
        </w:rPr>
        <w:t>will be eligible, if authorised by the Bank.</w:t>
      </w:r>
    </w:p>
    <w:p w:rsidR="00A038E5" w:rsidRPr="007808E3" w:rsidRDefault="00A038E5" w:rsidP="00A038E5">
      <w:pPr>
        <w:spacing w:after="200" w:line="276" w:lineRule="auto"/>
        <w:rPr>
          <w:rFonts w:eastAsia="Calibri" w:cs="Arial"/>
          <w:sz w:val="20"/>
        </w:rPr>
      </w:pPr>
      <w:r w:rsidRPr="007808E3">
        <w:rPr>
          <w:rFonts w:eastAsia="Calibri" w:cs="Arial"/>
          <w:sz w:val="20"/>
        </w:rPr>
        <w:lastRenderedPageBreak/>
        <w:t>b)</w:t>
      </w:r>
      <w:r w:rsidRPr="007808E3">
        <w:rPr>
          <w:rFonts w:eastAsia="Calibri" w:cs="Arial"/>
          <w:sz w:val="20"/>
        </w:rPr>
        <w:tab/>
        <w:t>Civil protection sector</w:t>
      </w:r>
    </w:p>
    <w:p w:rsidR="00A038E5" w:rsidRPr="007808E3" w:rsidRDefault="00A038E5" w:rsidP="00A038E5">
      <w:pPr>
        <w:spacing w:after="200" w:line="276" w:lineRule="auto"/>
        <w:rPr>
          <w:rFonts w:eastAsia="Calibri" w:cs="Arial"/>
          <w:sz w:val="20"/>
        </w:rPr>
      </w:pPr>
      <w:r>
        <w:rPr>
          <w:rFonts w:eastAsia="Calibri" w:cs="Arial"/>
          <w:sz w:val="20"/>
        </w:rPr>
        <w:t>C</w:t>
      </w:r>
      <w:r w:rsidRPr="007808E3">
        <w:rPr>
          <w:rFonts w:eastAsia="Calibri" w:cs="Arial"/>
          <w:sz w:val="20"/>
        </w:rPr>
        <w:t xml:space="preserve">ivil protection services have a crucial role </w:t>
      </w:r>
      <w:r>
        <w:rPr>
          <w:rFonts w:eastAsia="Calibri" w:cs="Arial"/>
          <w:sz w:val="20"/>
        </w:rPr>
        <w:t xml:space="preserve">to </w:t>
      </w:r>
      <w:r w:rsidRPr="007808E3">
        <w:rPr>
          <w:rFonts w:eastAsia="Calibri" w:cs="Arial"/>
          <w:sz w:val="20"/>
        </w:rPr>
        <w:t>coordinat</w:t>
      </w:r>
      <w:r>
        <w:rPr>
          <w:rFonts w:eastAsia="Calibri" w:cs="Arial"/>
          <w:sz w:val="20"/>
        </w:rPr>
        <w:t>e</w:t>
      </w:r>
      <w:r w:rsidRPr="007808E3">
        <w:rPr>
          <w:rFonts w:eastAsia="Calibri" w:cs="Arial"/>
          <w:sz w:val="20"/>
        </w:rPr>
        <w:t xml:space="preserve"> relevant stakeholders and to activate additional resources where needed</w:t>
      </w:r>
      <w:r>
        <w:rPr>
          <w:rFonts w:eastAsia="Calibri" w:cs="Arial"/>
          <w:sz w:val="20"/>
        </w:rPr>
        <w:t xml:space="preserve"> in response to an emergency</w:t>
      </w:r>
      <w:r w:rsidRPr="007808E3">
        <w:rPr>
          <w:rFonts w:eastAsia="Calibri" w:cs="Arial"/>
          <w:sz w:val="20"/>
        </w:rPr>
        <w:t>. Additional resources required to</w:t>
      </w:r>
      <w:r>
        <w:rPr>
          <w:rFonts w:eastAsia="Calibri" w:cs="Arial"/>
          <w:sz w:val="20"/>
        </w:rPr>
        <w:t xml:space="preserve"> fulfil this coordinating role and</w:t>
      </w:r>
      <w:r w:rsidRPr="007808E3">
        <w:rPr>
          <w:rFonts w:eastAsia="Calibri" w:cs="Arial"/>
          <w:sz w:val="20"/>
        </w:rPr>
        <w:t xml:space="preserve"> mitigate the effects of a disaster</w:t>
      </w:r>
      <w:r>
        <w:rPr>
          <w:rFonts w:eastAsia="Calibri" w:cs="Arial"/>
          <w:sz w:val="20"/>
        </w:rPr>
        <w:t xml:space="preserve"> (in addition to the aspect included in the above mentioned healthcare sector)</w:t>
      </w:r>
      <w:r w:rsidRPr="007808E3">
        <w:rPr>
          <w:rFonts w:eastAsia="Calibri" w:cs="Arial"/>
          <w:sz w:val="20"/>
        </w:rPr>
        <w:t xml:space="preserve"> </w:t>
      </w:r>
      <w:r>
        <w:rPr>
          <w:rFonts w:eastAsia="Calibri" w:cs="Arial"/>
          <w:sz w:val="20"/>
        </w:rPr>
        <w:t>can consist of expert studies and simulations, awareness raising campaigns,</w:t>
      </w:r>
      <w:r w:rsidRPr="007808E3">
        <w:rPr>
          <w:rFonts w:eastAsia="Calibri" w:cs="Arial"/>
          <w:sz w:val="20"/>
        </w:rPr>
        <w:t xml:space="preserve"> </w:t>
      </w:r>
      <w:r>
        <w:rPr>
          <w:rFonts w:eastAsia="Calibri" w:cs="Arial"/>
          <w:sz w:val="20"/>
        </w:rPr>
        <w:t xml:space="preserve">additional </w:t>
      </w:r>
      <w:r w:rsidRPr="007808E3">
        <w:rPr>
          <w:rFonts w:eastAsia="Calibri" w:cs="Arial"/>
          <w:sz w:val="20"/>
        </w:rPr>
        <w:t>staff of civil protection and fire brigades, army reserves, the Red Cross and private services. For the pandemic</w:t>
      </w:r>
      <w:r>
        <w:rPr>
          <w:rFonts w:eastAsia="Calibri" w:cs="Arial"/>
          <w:sz w:val="20"/>
        </w:rPr>
        <w:t xml:space="preserve"> of COVID-19</w:t>
      </w:r>
      <w:r w:rsidRPr="007808E3">
        <w:rPr>
          <w:rFonts w:eastAsia="Calibri" w:cs="Arial"/>
          <w:sz w:val="20"/>
        </w:rPr>
        <w:t xml:space="preserve">, this could consist </w:t>
      </w:r>
      <w:r>
        <w:rPr>
          <w:rFonts w:eastAsia="Calibri" w:cs="Arial"/>
          <w:sz w:val="20"/>
        </w:rPr>
        <w:t xml:space="preserve">of </w:t>
      </w:r>
      <w:r w:rsidRPr="007808E3">
        <w:rPr>
          <w:rFonts w:eastAsia="Calibri" w:cs="Arial"/>
          <w:sz w:val="20"/>
        </w:rPr>
        <w:t>infrastructure</w:t>
      </w:r>
      <w:r>
        <w:rPr>
          <w:rFonts w:eastAsia="Calibri" w:cs="Arial"/>
          <w:sz w:val="20"/>
        </w:rPr>
        <w:t xml:space="preserve"> and equipment for (</w:t>
      </w:r>
      <w:proofErr w:type="spellStart"/>
      <w:r>
        <w:rPr>
          <w:rFonts w:eastAsia="Calibri" w:cs="Arial"/>
          <w:sz w:val="20"/>
        </w:rPr>
        <w:t>i</w:t>
      </w:r>
      <w:proofErr w:type="spellEnd"/>
      <w:r>
        <w:rPr>
          <w:rFonts w:eastAsia="Calibri" w:cs="Arial"/>
          <w:sz w:val="20"/>
        </w:rPr>
        <w:t>) coordination, communication and awareness raising</w:t>
      </w:r>
      <w:r w:rsidRPr="007808E3">
        <w:rPr>
          <w:rFonts w:eastAsia="Calibri" w:cs="Arial"/>
          <w:sz w:val="20"/>
        </w:rPr>
        <w:t>; (ii) hygiene and disinfection measures</w:t>
      </w:r>
      <w:proofErr w:type="gramStart"/>
      <w:r w:rsidRPr="007808E3">
        <w:rPr>
          <w:rFonts w:eastAsia="Calibri" w:cs="Arial"/>
          <w:sz w:val="20"/>
        </w:rPr>
        <w:t>;</w:t>
      </w:r>
      <w:proofErr w:type="gramEnd"/>
      <w:r w:rsidRPr="007808E3">
        <w:rPr>
          <w:rFonts w:eastAsia="Calibri" w:cs="Arial"/>
          <w:sz w:val="20"/>
        </w:rPr>
        <w:t xml:space="preserve"> (iii) examinations, screening, quarantines and other official measures ordered to prevent the spread of infectious diseases.</w:t>
      </w:r>
    </w:p>
    <w:p w:rsidR="00A038E5" w:rsidRDefault="00A038E5" w:rsidP="00A038E5">
      <w:pPr>
        <w:spacing w:after="200" w:line="276" w:lineRule="auto"/>
        <w:rPr>
          <w:rFonts w:eastAsia="Calibri" w:cs="Arial"/>
          <w:b/>
          <w:color w:val="000000"/>
          <w:sz w:val="20"/>
        </w:rPr>
      </w:pPr>
      <w:r w:rsidRPr="007808E3">
        <w:rPr>
          <w:rFonts w:eastAsia="Calibri" w:cs="Arial"/>
          <w:b/>
          <w:color w:val="000000"/>
          <w:sz w:val="20"/>
        </w:rPr>
        <w:t>The loan will finance the equipment and, consumables (protective materials and equipment, hygiene and disinfection measures) purchased to tame the pandemic of COVID-19 in line with</w:t>
      </w:r>
      <w:r w:rsidRPr="007808E3">
        <w:rPr>
          <w:rFonts w:eastAsia="Calibri"/>
          <w:b/>
          <w:color w:val="000000"/>
          <w:sz w:val="20"/>
        </w:rPr>
        <w:t xml:space="preserve"> the relevant national pandemic or civil protection / disaster plans</w:t>
      </w:r>
      <w:r w:rsidRPr="007808E3">
        <w:rPr>
          <w:rFonts w:eastAsia="Calibri" w:cs="Arial"/>
          <w:b/>
          <w:color w:val="000000"/>
          <w:sz w:val="20"/>
        </w:rPr>
        <w:t xml:space="preserve"> with the eligibility starting as of </w:t>
      </w:r>
      <w:proofErr w:type="gramStart"/>
      <w:r w:rsidRPr="007808E3">
        <w:rPr>
          <w:rFonts w:eastAsia="Calibri" w:cs="Arial"/>
          <w:b/>
          <w:color w:val="000000"/>
          <w:sz w:val="20"/>
        </w:rPr>
        <w:t>1st</w:t>
      </w:r>
      <w:proofErr w:type="gramEnd"/>
      <w:r w:rsidRPr="007808E3">
        <w:rPr>
          <w:rFonts w:eastAsia="Calibri" w:cs="Arial"/>
          <w:b/>
          <w:color w:val="000000"/>
          <w:sz w:val="20"/>
        </w:rPr>
        <w:t xml:space="preserve"> of February 2020. Other purchases similar in nature or purpose will be eligible, if authorised by the Bank.</w:t>
      </w:r>
      <w:r>
        <w:rPr>
          <w:rFonts w:eastAsia="Calibri" w:cs="Arial"/>
          <w:b/>
          <w:color w:val="000000"/>
          <w:sz w:val="20"/>
        </w:rPr>
        <w:t xml:space="preserve"> Salaries of civil protection staff are non-eligible.</w:t>
      </w:r>
    </w:p>
    <w:p w:rsidR="00695F4D" w:rsidRPr="00A4500B" w:rsidRDefault="00695F4D"/>
    <w:sectPr w:rsidR="00695F4D" w:rsidRPr="00A4500B" w:rsidSect="00A4500B">
      <w:pgSz w:w="11906" w:h="16838"/>
      <w:pgMar w:top="1418"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8E5"/>
    <w:rsid w:val="00070428"/>
    <w:rsid w:val="0019587B"/>
    <w:rsid w:val="002254C0"/>
    <w:rsid w:val="00282D11"/>
    <w:rsid w:val="003E5204"/>
    <w:rsid w:val="00424C58"/>
    <w:rsid w:val="005312E8"/>
    <w:rsid w:val="00531C1C"/>
    <w:rsid w:val="0056762B"/>
    <w:rsid w:val="00590A99"/>
    <w:rsid w:val="00593653"/>
    <w:rsid w:val="00695F4D"/>
    <w:rsid w:val="0085344B"/>
    <w:rsid w:val="008A5878"/>
    <w:rsid w:val="008C7BD5"/>
    <w:rsid w:val="009177C5"/>
    <w:rsid w:val="00A038E5"/>
    <w:rsid w:val="00A42FF4"/>
    <w:rsid w:val="00A4500B"/>
    <w:rsid w:val="00AA6FE3"/>
    <w:rsid w:val="00AC15BE"/>
    <w:rsid w:val="00DB65EC"/>
    <w:rsid w:val="00E14743"/>
    <w:rsid w:val="00EF0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72181"/>
  <w15:chartTrackingRefBased/>
  <w15:docId w15:val="{88DB028B-1D4D-4BE5-A950-A070AD29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8E5"/>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SEEJORE Jatin</dc:creator>
  <cp:keywords/>
  <dc:description/>
  <cp:lastModifiedBy>SEEJORE Jatin</cp:lastModifiedBy>
  <cp:revision>1</cp:revision>
  <dcterms:created xsi:type="dcterms:W3CDTF">2020-04-06T19:35:00Z</dcterms:created>
  <dcterms:modified xsi:type="dcterms:W3CDTF">2020-04-06T19:37:00Z</dcterms:modified>
</cp:coreProperties>
</file>