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014F9BD" w:rsidR="00594190" w:rsidRPr="00F51FD7" w:rsidRDefault="00BE3C55">
      <w:pPr>
        <w:rPr>
          <w:sz w:val="18"/>
          <w:szCs w:val="18"/>
        </w:rPr>
      </w:pPr>
      <w:r w:rsidRPr="00F51FD7">
        <w:rPr>
          <w:b/>
          <w:sz w:val="18"/>
          <w:szCs w:val="18"/>
        </w:rPr>
        <w:t xml:space="preserve">Partner Name: </w:t>
      </w:r>
      <w:r w:rsidRPr="00F51FD7">
        <w:rPr>
          <w:sz w:val="18"/>
          <w:szCs w:val="18"/>
        </w:rPr>
        <w:t>World Health Organization</w:t>
      </w:r>
      <w:r w:rsidR="006463C5">
        <w:rPr>
          <w:sz w:val="18"/>
          <w:szCs w:val="18"/>
        </w:rPr>
        <w:t xml:space="preserve"> Country Office in Georgia </w:t>
      </w:r>
    </w:p>
    <w:p w14:paraId="00000002" w14:textId="77777777" w:rsidR="00594190" w:rsidRPr="00F51FD7" w:rsidRDefault="00BE3C55">
      <w:pPr>
        <w:rPr>
          <w:sz w:val="18"/>
          <w:szCs w:val="18"/>
        </w:rPr>
      </w:pPr>
      <w:r w:rsidRPr="00F51FD7">
        <w:rPr>
          <w:b/>
          <w:sz w:val="18"/>
          <w:szCs w:val="18"/>
        </w:rPr>
        <w:t>Activity Title</w:t>
      </w:r>
      <w:r w:rsidRPr="00F51FD7">
        <w:rPr>
          <w:sz w:val="18"/>
          <w:szCs w:val="18"/>
        </w:rPr>
        <w:t>: Support to WHO’s preparedness and response activities to combat the global Novel Coronavirus outbreak</w:t>
      </w:r>
    </w:p>
    <w:p w14:paraId="00000003" w14:textId="34DC31FC" w:rsidR="00594190" w:rsidRPr="00F51FD7" w:rsidRDefault="00BE3C55">
      <w:pPr>
        <w:rPr>
          <w:b/>
          <w:sz w:val="18"/>
          <w:szCs w:val="18"/>
        </w:rPr>
      </w:pPr>
      <w:r w:rsidRPr="00F51FD7">
        <w:rPr>
          <w:b/>
          <w:sz w:val="18"/>
          <w:szCs w:val="18"/>
        </w:rPr>
        <w:t>Country:</w:t>
      </w:r>
      <w:r w:rsidR="007D65A7">
        <w:rPr>
          <w:b/>
          <w:sz w:val="18"/>
          <w:szCs w:val="18"/>
        </w:rPr>
        <w:t xml:space="preserve"> Georgia</w:t>
      </w:r>
    </w:p>
    <w:p w14:paraId="00000004" w14:textId="6BE8EA7A" w:rsidR="00594190" w:rsidRPr="00F51FD7" w:rsidRDefault="00BE3C55">
      <w:pPr>
        <w:rPr>
          <w:b/>
          <w:sz w:val="18"/>
          <w:szCs w:val="18"/>
        </w:rPr>
      </w:pPr>
      <w:r w:rsidRPr="00F51FD7">
        <w:rPr>
          <w:b/>
          <w:sz w:val="18"/>
          <w:szCs w:val="18"/>
        </w:rPr>
        <w:t xml:space="preserve">Total Budget amount: </w:t>
      </w:r>
      <w:r w:rsidR="007D65A7">
        <w:rPr>
          <w:b/>
          <w:sz w:val="18"/>
          <w:szCs w:val="18"/>
        </w:rPr>
        <w:t>USD 650,000</w:t>
      </w:r>
    </w:p>
    <w:p w14:paraId="4212EA2A" w14:textId="1A3BFDA2" w:rsidR="003B7710" w:rsidRPr="00F51FD7" w:rsidRDefault="00BE3C55">
      <w:pPr>
        <w:rPr>
          <w:b/>
          <w:sz w:val="18"/>
          <w:szCs w:val="18"/>
        </w:rPr>
      </w:pPr>
      <w:r w:rsidRPr="00F51FD7">
        <w:rPr>
          <w:b/>
          <w:sz w:val="18"/>
          <w:szCs w:val="18"/>
        </w:rPr>
        <w:t>Month/Year:</w:t>
      </w:r>
      <w:r w:rsidR="007D65A7">
        <w:rPr>
          <w:b/>
          <w:sz w:val="18"/>
          <w:szCs w:val="18"/>
        </w:rPr>
        <w:t xml:space="preserve"> April/2020</w:t>
      </w:r>
    </w:p>
    <w:p w14:paraId="00000013" w14:textId="5581E15C" w:rsidR="00594190" w:rsidRPr="00B7016D" w:rsidRDefault="00520B04" w:rsidP="001B1106">
      <w:pPr>
        <w:rPr>
          <w:b/>
          <w:sz w:val="20"/>
          <w:szCs w:val="20"/>
        </w:rPr>
      </w:pPr>
      <w:r>
        <w:pict w14:anchorId="46959431">
          <v:rect id="_x0000_i1025" style="width:0;height:1.5pt" o:hralign="center" o:hrstd="t" o:hr="t" fillcolor="#a0a0a0" stroked="f"/>
        </w:pict>
      </w:r>
      <w:r w:rsidR="001B1106">
        <w:rPr>
          <w:b/>
        </w:rPr>
        <w:t xml:space="preserve">1. </w:t>
      </w:r>
      <w:r w:rsidR="003B7710" w:rsidRPr="001B1106">
        <w:rPr>
          <w:b/>
          <w:sz w:val="20"/>
          <w:szCs w:val="20"/>
        </w:rPr>
        <w:t xml:space="preserve">Overview of Country Level </w:t>
      </w:r>
      <w:r w:rsidR="00983EAD" w:rsidRPr="001B1106">
        <w:rPr>
          <w:b/>
          <w:sz w:val="20"/>
          <w:szCs w:val="20"/>
        </w:rPr>
        <w:t>Plan</w:t>
      </w:r>
      <w:r w:rsidR="003B7710" w:rsidRPr="001B1106">
        <w:rPr>
          <w:b/>
          <w:sz w:val="20"/>
          <w:szCs w:val="20"/>
        </w:rPr>
        <w:t xml:space="preserve"> </w:t>
      </w:r>
      <w:r w:rsidR="003B7710" w:rsidRPr="00B7016D">
        <w:rPr>
          <w:bCs/>
          <w:i/>
          <w:iCs/>
          <w:sz w:val="20"/>
          <w:szCs w:val="20"/>
        </w:rPr>
        <w:t xml:space="preserve">(please provide a brief summary of activities according to </w:t>
      </w:r>
      <w:r w:rsidR="00983EAD" w:rsidRPr="00B7016D">
        <w:rPr>
          <w:bCs/>
          <w:i/>
          <w:iCs/>
          <w:sz w:val="20"/>
          <w:szCs w:val="20"/>
        </w:rPr>
        <w:t xml:space="preserve">one or more of the </w:t>
      </w:r>
      <w:r w:rsidR="00B7016D" w:rsidRPr="00B7016D">
        <w:rPr>
          <w:bCs/>
          <w:i/>
          <w:iCs/>
          <w:sz w:val="20"/>
          <w:szCs w:val="20"/>
        </w:rPr>
        <w:t xml:space="preserve">following </w:t>
      </w:r>
      <w:r w:rsidR="003B7710" w:rsidRPr="00B7016D">
        <w:rPr>
          <w:bCs/>
          <w:i/>
          <w:iCs/>
          <w:sz w:val="20"/>
          <w:szCs w:val="20"/>
        </w:rPr>
        <w:t>categories</w:t>
      </w:r>
      <w:r w:rsidR="00B7016D" w:rsidRPr="00B7016D">
        <w:rPr>
          <w:bCs/>
          <w:i/>
          <w:iCs/>
          <w:sz w:val="20"/>
          <w:szCs w:val="20"/>
        </w:rPr>
        <w:t xml:space="preserve">: </w:t>
      </w:r>
      <w:r w:rsidR="00B7016D" w:rsidRPr="00B7016D">
        <w:rPr>
          <w:b/>
          <w:i/>
          <w:iCs/>
          <w:sz w:val="20"/>
          <w:szCs w:val="20"/>
        </w:rPr>
        <w:t>1) national laboratories; 2) surveillance and rapid response; 3) infection prevention and control; 4) points of entry; 5) case management; 6) risk communication and community engagement.</w:t>
      </w:r>
      <w:r w:rsidR="003B7710" w:rsidRPr="00B7016D">
        <w:rPr>
          <w:bCs/>
          <w:i/>
          <w:iCs/>
          <w:sz w:val="20"/>
          <w:szCs w:val="20"/>
        </w:rPr>
        <w:t xml:space="preserve"> </w:t>
      </w:r>
      <w:r w:rsidR="00B7016D" w:rsidRPr="00B7016D">
        <w:rPr>
          <w:bCs/>
          <w:i/>
          <w:iCs/>
          <w:sz w:val="20"/>
          <w:szCs w:val="20"/>
          <w:u w:val="single"/>
        </w:rPr>
        <w:t>Note that activities are not required for each</w:t>
      </w:r>
      <w:r w:rsidR="003B7710" w:rsidRPr="00B7016D">
        <w:rPr>
          <w:bCs/>
          <w:i/>
          <w:iCs/>
          <w:sz w:val="20"/>
          <w:szCs w:val="20"/>
          <w:u w:val="single"/>
        </w:rPr>
        <w:t xml:space="preserve"> category</w:t>
      </w:r>
      <w:r w:rsidR="003B7710" w:rsidRPr="00B7016D">
        <w:rPr>
          <w:bCs/>
          <w:i/>
          <w:iCs/>
          <w:sz w:val="20"/>
          <w:szCs w:val="20"/>
        </w:rPr>
        <w:t xml:space="preserve">, </w:t>
      </w:r>
      <w:r w:rsidR="00B7016D" w:rsidRPr="00B7016D">
        <w:rPr>
          <w:bCs/>
          <w:i/>
          <w:iCs/>
          <w:sz w:val="20"/>
          <w:szCs w:val="20"/>
        </w:rPr>
        <w:t>please select interventions with focus and applicability in mind.</w:t>
      </w:r>
      <w:r w:rsidR="003B7710" w:rsidRPr="00B7016D">
        <w:rPr>
          <w:bCs/>
          <w:i/>
          <w:iCs/>
          <w:sz w:val="20"/>
          <w:szCs w:val="20"/>
        </w:rPr>
        <w:t xml:space="preserve">): </w:t>
      </w:r>
    </w:p>
    <w:p w14:paraId="5F4EB881" w14:textId="0D18A90E" w:rsidR="00983EAD" w:rsidRDefault="00983EAD">
      <w:pP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1655"/>
        <w:gridCol w:w="2840"/>
        <w:gridCol w:w="2430"/>
        <w:gridCol w:w="990"/>
        <w:gridCol w:w="1146"/>
      </w:tblGrid>
      <w:tr w:rsidR="0026256A" w14:paraId="5E71E131" w14:textId="475F9830" w:rsidTr="00013D67">
        <w:tc>
          <w:tcPr>
            <w:tcW w:w="1655" w:type="dxa"/>
            <w:shd w:val="clear" w:color="auto" w:fill="DBE5F1" w:themeFill="accent1" w:themeFillTint="33"/>
          </w:tcPr>
          <w:p w14:paraId="7A53D145" w14:textId="77777777" w:rsidR="0026256A" w:rsidRPr="000C57AD" w:rsidRDefault="0026256A" w:rsidP="00776B26">
            <w:pPr>
              <w:rPr>
                <w:b/>
                <w:bCs/>
                <w:sz w:val="20"/>
                <w:szCs w:val="20"/>
              </w:rPr>
            </w:pPr>
            <w:r w:rsidRPr="000C57AD">
              <w:rPr>
                <w:b/>
                <w:bCs/>
                <w:sz w:val="20"/>
                <w:szCs w:val="20"/>
              </w:rPr>
              <w:t>Technical area</w:t>
            </w:r>
          </w:p>
          <w:p w14:paraId="7C904F94" w14:textId="77777777" w:rsidR="0026256A" w:rsidRPr="000C57AD" w:rsidRDefault="0026256A" w:rsidP="00776B26">
            <w:pPr>
              <w:rPr>
                <w:b/>
                <w:bCs/>
                <w:sz w:val="20"/>
                <w:szCs w:val="20"/>
              </w:rPr>
            </w:pPr>
          </w:p>
        </w:tc>
        <w:tc>
          <w:tcPr>
            <w:tcW w:w="2840" w:type="dxa"/>
            <w:shd w:val="clear" w:color="auto" w:fill="DBE5F1" w:themeFill="accent1" w:themeFillTint="33"/>
          </w:tcPr>
          <w:p w14:paraId="4749E95C" w14:textId="77777777" w:rsidR="0026256A" w:rsidRPr="000C57AD" w:rsidRDefault="0026256A" w:rsidP="00776B26">
            <w:pPr>
              <w:rPr>
                <w:b/>
                <w:bCs/>
                <w:sz w:val="20"/>
                <w:szCs w:val="20"/>
              </w:rPr>
            </w:pPr>
            <w:r w:rsidRPr="000C57AD">
              <w:rPr>
                <w:b/>
                <w:bCs/>
                <w:sz w:val="20"/>
                <w:szCs w:val="20"/>
              </w:rPr>
              <w:t>Activities</w:t>
            </w:r>
          </w:p>
        </w:tc>
        <w:tc>
          <w:tcPr>
            <w:tcW w:w="2430" w:type="dxa"/>
            <w:shd w:val="clear" w:color="auto" w:fill="DBE5F1" w:themeFill="accent1" w:themeFillTint="33"/>
          </w:tcPr>
          <w:p w14:paraId="798A4D5A" w14:textId="77777777" w:rsidR="0026256A" w:rsidRPr="000C57AD" w:rsidRDefault="0026256A" w:rsidP="00776B26">
            <w:pPr>
              <w:rPr>
                <w:b/>
                <w:bCs/>
                <w:sz w:val="20"/>
                <w:szCs w:val="20"/>
              </w:rPr>
            </w:pPr>
            <w:r w:rsidRPr="000C57AD">
              <w:rPr>
                <w:b/>
                <w:bCs/>
                <w:sz w:val="20"/>
                <w:szCs w:val="20"/>
              </w:rPr>
              <w:t>Expected output</w:t>
            </w:r>
          </w:p>
        </w:tc>
        <w:tc>
          <w:tcPr>
            <w:tcW w:w="990" w:type="dxa"/>
            <w:shd w:val="clear" w:color="auto" w:fill="DBE5F1" w:themeFill="accent1" w:themeFillTint="33"/>
          </w:tcPr>
          <w:p w14:paraId="49C67B38" w14:textId="77777777" w:rsidR="0026256A" w:rsidRPr="000C57AD" w:rsidRDefault="0026256A" w:rsidP="00776B26">
            <w:pPr>
              <w:rPr>
                <w:b/>
                <w:bCs/>
                <w:sz w:val="20"/>
                <w:szCs w:val="20"/>
              </w:rPr>
            </w:pPr>
            <w:r w:rsidRPr="000C57AD">
              <w:rPr>
                <w:b/>
                <w:bCs/>
                <w:sz w:val="20"/>
                <w:szCs w:val="20"/>
              </w:rPr>
              <w:t>Budget (USD)</w:t>
            </w:r>
          </w:p>
        </w:tc>
        <w:tc>
          <w:tcPr>
            <w:tcW w:w="1146" w:type="dxa"/>
            <w:shd w:val="clear" w:color="auto" w:fill="DBE5F1" w:themeFill="accent1" w:themeFillTint="33"/>
          </w:tcPr>
          <w:p w14:paraId="395E3797" w14:textId="732A22CD" w:rsidR="0026256A" w:rsidRPr="000C57AD" w:rsidRDefault="0026256A" w:rsidP="00776B26">
            <w:pPr>
              <w:rPr>
                <w:b/>
                <w:bCs/>
                <w:sz w:val="20"/>
                <w:szCs w:val="20"/>
              </w:rPr>
            </w:pPr>
            <w:r>
              <w:rPr>
                <w:b/>
                <w:bCs/>
                <w:sz w:val="20"/>
                <w:szCs w:val="20"/>
              </w:rPr>
              <w:t xml:space="preserve">Timeline </w:t>
            </w:r>
          </w:p>
        </w:tc>
      </w:tr>
      <w:tr w:rsidR="0037729C" w14:paraId="762E0F90" w14:textId="6E8760A3" w:rsidTr="00013D67">
        <w:tc>
          <w:tcPr>
            <w:tcW w:w="1655" w:type="dxa"/>
            <w:vMerge w:val="restart"/>
          </w:tcPr>
          <w:p w14:paraId="51D90A70" w14:textId="77777777" w:rsidR="0037729C" w:rsidRPr="000C57AD" w:rsidRDefault="0037729C" w:rsidP="00776B26">
            <w:pPr>
              <w:rPr>
                <w:b/>
                <w:bCs/>
                <w:sz w:val="20"/>
                <w:szCs w:val="20"/>
              </w:rPr>
            </w:pPr>
            <w:r w:rsidRPr="000C57AD">
              <w:rPr>
                <w:b/>
                <w:bCs/>
                <w:sz w:val="20"/>
                <w:szCs w:val="20"/>
              </w:rPr>
              <w:t>National laboratories</w:t>
            </w:r>
          </w:p>
          <w:p w14:paraId="006FE7FA" w14:textId="77777777" w:rsidR="0037729C" w:rsidRDefault="0037729C" w:rsidP="00776B26">
            <w:pPr>
              <w:rPr>
                <w:b/>
                <w:bCs/>
                <w:sz w:val="20"/>
                <w:szCs w:val="20"/>
              </w:rPr>
            </w:pPr>
          </w:p>
          <w:p w14:paraId="60230A0E" w14:textId="77777777" w:rsidR="0037729C" w:rsidRDefault="0037729C" w:rsidP="00776B26">
            <w:pPr>
              <w:rPr>
                <w:b/>
                <w:bCs/>
                <w:sz w:val="20"/>
                <w:szCs w:val="20"/>
              </w:rPr>
            </w:pPr>
          </w:p>
          <w:p w14:paraId="0E724B46" w14:textId="77777777" w:rsidR="0037729C" w:rsidRPr="000C57AD" w:rsidRDefault="0037729C" w:rsidP="00776B26">
            <w:pPr>
              <w:rPr>
                <w:b/>
                <w:bCs/>
                <w:sz w:val="20"/>
                <w:szCs w:val="20"/>
              </w:rPr>
            </w:pPr>
          </w:p>
        </w:tc>
        <w:tc>
          <w:tcPr>
            <w:tcW w:w="2840" w:type="dxa"/>
          </w:tcPr>
          <w:p w14:paraId="51BE7513" w14:textId="38D97150" w:rsidR="0037729C" w:rsidRDefault="0037729C" w:rsidP="00776B26">
            <w:pPr>
              <w:rPr>
                <w:sz w:val="20"/>
                <w:szCs w:val="20"/>
              </w:rPr>
            </w:pPr>
            <w:r w:rsidRPr="000C57AD">
              <w:rPr>
                <w:sz w:val="20"/>
                <w:szCs w:val="20"/>
              </w:rPr>
              <w:t>Procure COVID-19</w:t>
            </w:r>
            <w:r>
              <w:rPr>
                <w:sz w:val="20"/>
                <w:szCs w:val="20"/>
              </w:rPr>
              <w:t xml:space="preserve"> PCR </w:t>
            </w:r>
            <w:r w:rsidRPr="000C57AD">
              <w:rPr>
                <w:sz w:val="20"/>
                <w:szCs w:val="20"/>
              </w:rPr>
              <w:t>testing kits</w:t>
            </w:r>
            <w:r>
              <w:rPr>
                <w:rStyle w:val="FootnoteReference"/>
                <w:sz w:val="20"/>
                <w:szCs w:val="20"/>
              </w:rPr>
              <w:footnoteReference w:id="1"/>
            </w:r>
            <w:r>
              <w:rPr>
                <w:sz w:val="20"/>
                <w:szCs w:val="20"/>
              </w:rPr>
              <w:t xml:space="preserve"> in accordance with the WHO recommendations </w:t>
            </w:r>
            <w:r w:rsidRPr="000C57AD">
              <w:rPr>
                <w:sz w:val="20"/>
                <w:szCs w:val="20"/>
              </w:rPr>
              <w:t>as per the estimated</w:t>
            </w:r>
            <w:r>
              <w:rPr>
                <w:sz w:val="20"/>
                <w:szCs w:val="20"/>
              </w:rPr>
              <w:t xml:space="preserve"> country</w:t>
            </w:r>
            <w:r w:rsidRPr="000C57AD">
              <w:rPr>
                <w:sz w:val="20"/>
                <w:szCs w:val="20"/>
              </w:rPr>
              <w:t xml:space="preserve"> needs</w:t>
            </w:r>
            <w:r>
              <w:rPr>
                <w:sz w:val="20"/>
                <w:szCs w:val="20"/>
              </w:rPr>
              <w:t>. Procurement is to be handled centrally by WHO.</w:t>
            </w:r>
          </w:p>
          <w:p w14:paraId="08DCC961" w14:textId="61A1F885" w:rsidR="0037729C" w:rsidRDefault="0037729C" w:rsidP="00776B26">
            <w:pPr>
              <w:rPr>
                <w:sz w:val="20"/>
                <w:szCs w:val="20"/>
              </w:rPr>
            </w:pPr>
          </w:p>
          <w:p w14:paraId="1DC7FB35" w14:textId="4A06A526" w:rsidR="0037729C" w:rsidRDefault="0037729C" w:rsidP="00776B26">
            <w:pPr>
              <w:rPr>
                <w:sz w:val="20"/>
                <w:szCs w:val="20"/>
              </w:rPr>
            </w:pPr>
            <w:r>
              <w:rPr>
                <w:sz w:val="20"/>
                <w:szCs w:val="20"/>
              </w:rPr>
              <w:t xml:space="preserve">Virtual trainings and coaching for the specialists of the laboratories designated by the Ministry of Health </w:t>
            </w:r>
          </w:p>
          <w:p w14:paraId="7BFA8542" w14:textId="54D728BD" w:rsidR="0037729C" w:rsidRDefault="0037729C" w:rsidP="00776B26">
            <w:pPr>
              <w:rPr>
                <w:sz w:val="20"/>
                <w:szCs w:val="20"/>
              </w:rPr>
            </w:pPr>
          </w:p>
          <w:p w14:paraId="5D42CCED" w14:textId="1F64A225" w:rsidR="0037729C" w:rsidRPr="000C57AD" w:rsidRDefault="0037729C" w:rsidP="00776B26">
            <w:pPr>
              <w:rPr>
                <w:sz w:val="20"/>
                <w:szCs w:val="20"/>
              </w:rPr>
            </w:pPr>
            <w:r>
              <w:rPr>
                <w:sz w:val="20"/>
                <w:szCs w:val="20"/>
              </w:rPr>
              <w:t>Equip state-owned laboratory facilities in need of such support with videoconferencing equipment to enable distant training and coaching by WHO experts</w:t>
            </w:r>
            <w:r>
              <w:rPr>
                <w:rStyle w:val="FootnoteReference"/>
                <w:sz w:val="20"/>
                <w:szCs w:val="20"/>
              </w:rPr>
              <w:footnoteReference w:id="2"/>
            </w:r>
            <w:r>
              <w:rPr>
                <w:sz w:val="20"/>
                <w:szCs w:val="20"/>
              </w:rPr>
              <w:t xml:space="preserve"> </w:t>
            </w:r>
          </w:p>
          <w:p w14:paraId="129E4008" w14:textId="77777777" w:rsidR="0037729C" w:rsidRPr="000C57AD" w:rsidRDefault="0037729C" w:rsidP="00776B26">
            <w:pPr>
              <w:rPr>
                <w:sz w:val="20"/>
                <w:szCs w:val="20"/>
              </w:rPr>
            </w:pPr>
          </w:p>
        </w:tc>
        <w:tc>
          <w:tcPr>
            <w:tcW w:w="2430" w:type="dxa"/>
          </w:tcPr>
          <w:p w14:paraId="5C0B3C7C" w14:textId="72CB2A93" w:rsidR="0037729C" w:rsidRPr="000C57AD" w:rsidRDefault="0037729C" w:rsidP="00776B26">
            <w:pPr>
              <w:rPr>
                <w:sz w:val="20"/>
                <w:szCs w:val="20"/>
              </w:rPr>
            </w:pPr>
            <w:r>
              <w:rPr>
                <w:sz w:val="20"/>
                <w:szCs w:val="20"/>
              </w:rPr>
              <w:t>The country can conduct testing for COVID-19</w:t>
            </w:r>
          </w:p>
        </w:tc>
        <w:tc>
          <w:tcPr>
            <w:tcW w:w="990" w:type="dxa"/>
          </w:tcPr>
          <w:p w14:paraId="361C4920" w14:textId="30E8C6C4" w:rsidR="0037729C" w:rsidRPr="000C57AD" w:rsidRDefault="0037729C" w:rsidP="00776B26">
            <w:pPr>
              <w:rPr>
                <w:sz w:val="20"/>
                <w:szCs w:val="20"/>
              </w:rPr>
            </w:pPr>
            <w:r>
              <w:rPr>
                <w:sz w:val="20"/>
                <w:szCs w:val="20"/>
              </w:rPr>
              <w:t>400,000</w:t>
            </w:r>
          </w:p>
        </w:tc>
        <w:tc>
          <w:tcPr>
            <w:tcW w:w="1146" w:type="dxa"/>
          </w:tcPr>
          <w:p w14:paraId="5A9343AD" w14:textId="12198679" w:rsidR="0037729C" w:rsidRDefault="0037729C" w:rsidP="00776B26">
            <w:pPr>
              <w:rPr>
                <w:sz w:val="20"/>
                <w:szCs w:val="20"/>
              </w:rPr>
            </w:pPr>
            <w:r>
              <w:rPr>
                <w:sz w:val="20"/>
                <w:szCs w:val="20"/>
              </w:rPr>
              <w:t>April-June 2020</w:t>
            </w:r>
          </w:p>
        </w:tc>
      </w:tr>
      <w:tr w:rsidR="0037729C" w14:paraId="72D5DF2D" w14:textId="77777777" w:rsidTr="006D76FA">
        <w:tc>
          <w:tcPr>
            <w:tcW w:w="1655" w:type="dxa"/>
            <w:vMerge/>
          </w:tcPr>
          <w:p w14:paraId="3C411D6E" w14:textId="67CE09F3" w:rsidR="0037729C" w:rsidRPr="000C57AD" w:rsidRDefault="0037729C" w:rsidP="00776B26">
            <w:pPr>
              <w:rPr>
                <w:b/>
                <w:bCs/>
                <w:sz w:val="20"/>
                <w:szCs w:val="20"/>
              </w:rPr>
            </w:pPr>
          </w:p>
        </w:tc>
        <w:tc>
          <w:tcPr>
            <w:tcW w:w="7406" w:type="dxa"/>
            <w:gridSpan w:val="4"/>
          </w:tcPr>
          <w:p w14:paraId="3E65222D" w14:textId="5664ACE6" w:rsidR="0037729C" w:rsidRPr="00EE48F8" w:rsidRDefault="0037729C" w:rsidP="00EE48F8">
            <w:pPr>
              <w:rPr>
                <w:b/>
                <w:bCs/>
                <w:sz w:val="20"/>
                <w:szCs w:val="20"/>
              </w:rPr>
            </w:pPr>
            <w:r w:rsidRPr="00EE48F8">
              <w:rPr>
                <w:b/>
                <w:bCs/>
                <w:sz w:val="20"/>
                <w:szCs w:val="20"/>
              </w:rPr>
              <w:t>Procurement</w:t>
            </w:r>
            <w:r>
              <w:rPr>
                <w:b/>
                <w:bCs/>
                <w:sz w:val="20"/>
                <w:szCs w:val="20"/>
              </w:rPr>
              <w:t xml:space="preserve"> items</w:t>
            </w:r>
            <w:r w:rsidRPr="00EE48F8">
              <w:rPr>
                <w:b/>
                <w:bCs/>
                <w:sz w:val="20"/>
                <w:szCs w:val="20"/>
              </w:rPr>
              <w:t>:</w:t>
            </w:r>
          </w:p>
          <w:p w14:paraId="0B37DC41" w14:textId="68B9EE45" w:rsidR="0037729C" w:rsidRPr="00FC1526" w:rsidRDefault="0037729C" w:rsidP="00FC1526">
            <w:pPr>
              <w:pStyle w:val="ListParagraph"/>
              <w:numPr>
                <w:ilvl w:val="0"/>
                <w:numId w:val="3"/>
              </w:numPr>
              <w:rPr>
                <w:sz w:val="20"/>
                <w:szCs w:val="20"/>
              </w:rPr>
            </w:pPr>
            <w:r w:rsidRPr="00FC1526">
              <w:rPr>
                <w:sz w:val="20"/>
                <w:szCs w:val="20"/>
              </w:rPr>
              <w:t xml:space="preserve">Testing consumables: </w:t>
            </w:r>
            <w:r>
              <w:rPr>
                <w:sz w:val="20"/>
                <w:szCs w:val="20"/>
              </w:rPr>
              <w:t>supporting approx. 150</w:t>
            </w:r>
            <w:r w:rsidRPr="00FC1526">
              <w:rPr>
                <w:sz w:val="20"/>
                <w:szCs w:val="20"/>
              </w:rPr>
              <w:t xml:space="preserve">,000 tests </w:t>
            </w:r>
          </w:p>
          <w:p w14:paraId="03C8792C" w14:textId="030C6DA9" w:rsidR="0037729C" w:rsidRPr="00FC1526" w:rsidRDefault="0037729C" w:rsidP="00FC1526">
            <w:pPr>
              <w:pStyle w:val="ListParagraph"/>
              <w:numPr>
                <w:ilvl w:val="0"/>
                <w:numId w:val="3"/>
              </w:numPr>
              <w:rPr>
                <w:sz w:val="20"/>
                <w:szCs w:val="20"/>
              </w:rPr>
            </w:pPr>
            <w:r w:rsidRPr="00FC1526">
              <w:rPr>
                <w:sz w:val="20"/>
                <w:szCs w:val="20"/>
              </w:rPr>
              <w:t>Co-sharing the cost of the centrally recruited WHO laboratory experts: 2 for</w:t>
            </w:r>
            <w:r>
              <w:rPr>
                <w:sz w:val="20"/>
                <w:szCs w:val="20"/>
              </w:rPr>
              <w:t xml:space="preserve"> </w:t>
            </w:r>
            <w:r w:rsidR="00D77069">
              <w:rPr>
                <w:sz w:val="20"/>
                <w:szCs w:val="20"/>
              </w:rPr>
              <w:t>5</w:t>
            </w:r>
            <w:r>
              <w:rPr>
                <w:sz w:val="20"/>
                <w:szCs w:val="20"/>
              </w:rPr>
              <w:t xml:space="preserve"> months </w:t>
            </w:r>
            <w:r w:rsidRPr="00FC1526">
              <w:rPr>
                <w:sz w:val="20"/>
                <w:szCs w:val="20"/>
              </w:rPr>
              <w:t xml:space="preserve"> </w:t>
            </w:r>
          </w:p>
          <w:p w14:paraId="0C3020E0" w14:textId="3F2DB37A" w:rsidR="0037729C" w:rsidRPr="00EE48F8" w:rsidRDefault="0037729C" w:rsidP="003A593E">
            <w:pPr>
              <w:pStyle w:val="ListParagraph"/>
              <w:numPr>
                <w:ilvl w:val="0"/>
                <w:numId w:val="3"/>
              </w:numPr>
              <w:rPr>
                <w:sz w:val="20"/>
                <w:szCs w:val="20"/>
              </w:rPr>
            </w:pPr>
            <w:r w:rsidRPr="00EE48F8">
              <w:rPr>
                <w:sz w:val="20"/>
                <w:szCs w:val="20"/>
              </w:rPr>
              <w:t xml:space="preserve">Videoconferencing equipment sets (55 inch TV, wall mounting bracket, HDMI cable, laptop, wireless mouse, PC web camera, USB cable, installation materials, transportation costs): </w:t>
            </w:r>
            <w:r>
              <w:rPr>
                <w:sz w:val="20"/>
                <w:szCs w:val="20"/>
              </w:rPr>
              <w:t>5</w:t>
            </w:r>
            <w:r w:rsidRPr="00EE48F8">
              <w:rPr>
                <w:sz w:val="20"/>
                <w:szCs w:val="20"/>
              </w:rPr>
              <w:t xml:space="preserve"> sets</w:t>
            </w:r>
          </w:p>
          <w:p w14:paraId="00630C27" w14:textId="3CDD2DBB" w:rsidR="0037729C" w:rsidRDefault="0037729C" w:rsidP="00013D67">
            <w:pPr>
              <w:rPr>
                <w:sz w:val="20"/>
                <w:szCs w:val="20"/>
              </w:rPr>
            </w:pPr>
          </w:p>
        </w:tc>
      </w:tr>
      <w:tr w:rsidR="0037729C" w14:paraId="7910A707" w14:textId="5E98246E" w:rsidTr="00013D67">
        <w:trPr>
          <w:trHeight w:val="2148"/>
        </w:trPr>
        <w:tc>
          <w:tcPr>
            <w:tcW w:w="1655" w:type="dxa"/>
            <w:vMerge w:val="restart"/>
          </w:tcPr>
          <w:p w14:paraId="6017F754" w14:textId="77777777" w:rsidR="0037729C" w:rsidRPr="000C57AD" w:rsidRDefault="0037729C" w:rsidP="00776B26">
            <w:pPr>
              <w:rPr>
                <w:b/>
                <w:bCs/>
                <w:sz w:val="20"/>
                <w:szCs w:val="20"/>
              </w:rPr>
            </w:pPr>
            <w:r w:rsidRPr="000C57AD">
              <w:rPr>
                <w:b/>
                <w:bCs/>
                <w:sz w:val="20"/>
                <w:szCs w:val="20"/>
              </w:rPr>
              <w:lastRenderedPageBreak/>
              <w:t xml:space="preserve">Case management </w:t>
            </w:r>
          </w:p>
          <w:p w14:paraId="127840A3" w14:textId="77777777" w:rsidR="0037729C" w:rsidRPr="000C57AD" w:rsidRDefault="0037729C" w:rsidP="00776B26">
            <w:pPr>
              <w:rPr>
                <w:b/>
                <w:bCs/>
                <w:sz w:val="20"/>
                <w:szCs w:val="20"/>
              </w:rPr>
            </w:pPr>
          </w:p>
        </w:tc>
        <w:tc>
          <w:tcPr>
            <w:tcW w:w="2840" w:type="dxa"/>
          </w:tcPr>
          <w:p w14:paraId="1C90E897" w14:textId="79584FD5" w:rsidR="0037729C" w:rsidRDefault="0037729C" w:rsidP="00776B26">
            <w:pPr>
              <w:rPr>
                <w:sz w:val="20"/>
                <w:szCs w:val="20"/>
              </w:rPr>
            </w:pPr>
            <w:r>
              <w:rPr>
                <w:sz w:val="20"/>
                <w:szCs w:val="20"/>
              </w:rPr>
              <w:t>Co-financing international expert recruited by WHO on case management and IPC related to COVID-19</w:t>
            </w:r>
          </w:p>
          <w:p w14:paraId="3A0191AF" w14:textId="77777777" w:rsidR="0037729C" w:rsidRDefault="0037729C" w:rsidP="00776B26">
            <w:pPr>
              <w:rPr>
                <w:sz w:val="20"/>
                <w:szCs w:val="20"/>
              </w:rPr>
            </w:pPr>
          </w:p>
          <w:p w14:paraId="2A546F01" w14:textId="7E37B401" w:rsidR="0037729C" w:rsidRDefault="0037729C" w:rsidP="00776B26">
            <w:pPr>
              <w:rPr>
                <w:sz w:val="20"/>
                <w:szCs w:val="20"/>
              </w:rPr>
            </w:pPr>
            <w:r>
              <w:rPr>
                <w:sz w:val="20"/>
                <w:szCs w:val="20"/>
              </w:rPr>
              <w:t>Virtual trainings conducted by WHO experts for healthcare staff in the designated facilities on clinical management of COVID-19 patients and ongoing follow-up</w:t>
            </w:r>
          </w:p>
          <w:p w14:paraId="04333F46" w14:textId="77777777" w:rsidR="0037729C" w:rsidRDefault="0037729C" w:rsidP="00776B26">
            <w:pPr>
              <w:rPr>
                <w:sz w:val="20"/>
                <w:szCs w:val="20"/>
              </w:rPr>
            </w:pPr>
          </w:p>
          <w:p w14:paraId="3D0F25F7" w14:textId="0E442997" w:rsidR="0037729C" w:rsidRPr="000C57AD" w:rsidRDefault="0037729C" w:rsidP="00776B26">
            <w:pPr>
              <w:rPr>
                <w:sz w:val="20"/>
                <w:szCs w:val="20"/>
              </w:rPr>
            </w:pPr>
            <w:r w:rsidRPr="000C57AD">
              <w:rPr>
                <w:sz w:val="20"/>
                <w:szCs w:val="20"/>
              </w:rPr>
              <w:t xml:space="preserve">Equip </w:t>
            </w:r>
            <w:r>
              <w:rPr>
                <w:sz w:val="20"/>
                <w:szCs w:val="20"/>
              </w:rPr>
              <w:t>healthcare facilities</w:t>
            </w:r>
            <w:r w:rsidRPr="000C57AD">
              <w:rPr>
                <w:sz w:val="20"/>
                <w:szCs w:val="20"/>
              </w:rPr>
              <w:t xml:space="preserve"> designated </w:t>
            </w:r>
            <w:r>
              <w:rPr>
                <w:sz w:val="20"/>
                <w:szCs w:val="20"/>
              </w:rPr>
              <w:t xml:space="preserve">by the Ministry of Health </w:t>
            </w:r>
            <w:r w:rsidRPr="000C57AD">
              <w:rPr>
                <w:sz w:val="20"/>
                <w:szCs w:val="20"/>
              </w:rPr>
              <w:t>with videoconferencing equipment to enable distant training and coaching by WHO experts on clinical management and infection prevention and control</w:t>
            </w:r>
            <w:r>
              <w:rPr>
                <w:sz w:val="20"/>
                <w:szCs w:val="20"/>
              </w:rPr>
              <w:t>, and virtual support on COVID-19 response, as well printing facilities to ensure rapid distribution of the updated clinical guidance and other materials</w:t>
            </w:r>
          </w:p>
          <w:p w14:paraId="09303DCA" w14:textId="77777777" w:rsidR="0037729C" w:rsidRPr="000C57AD" w:rsidRDefault="0037729C" w:rsidP="00776B26">
            <w:pPr>
              <w:rPr>
                <w:sz w:val="20"/>
                <w:szCs w:val="20"/>
              </w:rPr>
            </w:pPr>
          </w:p>
        </w:tc>
        <w:tc>
          <w:tcPr>
            <w:tcW w:w="2430" w:type="dxa"/>
          </w:tcPr>
          <w:p w14:paraId="1ABF25AF" w14:textId="77777777" w:rsidR="0037729C" w:rsidRPr="000C57AD" w:rsidRDefault="0037729C" w:rsidP="00776B26">
            <w:pPr>
              <w:rPr>
                <w:sz w:val="20"/>
                <w:szCs w:val="20"/>
              </w:rPr>
            </w:pPr>
            <w:r w:rsidRPr="000C57AD">
              <w:rPr>
                <w:sz w:val="20"/>
                <w:szCs w:val="20"/>
              </w:rPr>
              <w:t>Healthcare staff of the designated hospitals are familiar with up-to-date guidance and methodologies on clinical management and infection prevention and control measures in relation to COVID-19</w:t>
            </w:r>
          </w:p>
        </w:tc>
        <w:tc>
          <w:tcPr>
            <w:tcW w:w="990" w:type="dxa"/>
          </w:tcPr>
          <w:p w14:paraId="32156000" w14:textId="68625505" w:rsidR="0037729C" w:rsidRPr="000C57AD" w:rsidRDefault="0037729C" w:rsidP="00776B26">
            <w:pPr>
              <w:rPr>
                <w:sz w:val="20"/>
                <w:szCs w:val="20"/>
              </w:rPr>
            </w:pPr>
            <w:r>
              <w:rPr>
                <w:sz w:val="20"/>
                <w:szCs w:val="20"/>
              </w:rPr>
              <w:t>80,000</w:t>
            </w:r>
          </w:p>
        </w:tc>
        <w:tc>
          <w:tcPr>
            <w:tcW w:w="1146" w:type="dxa"/>
          </w:tcPr>
          <w:p w14:paraId="0BA6F26B" w14:textId="3A8A6C7D" w:rsidR="0037729C" w:rsidRDefault="0037729C" w:rsidP="00776B26">
            <w:pPr>
              <w:rPr>
                <w:sz w:val="20"/>
                <w:szCs w:val="20"/>
              </w:rPr>
            </w:pPr>
            <w:r>
              <w:rPr>
                <w:sz w:val="20"/>
                <w:szCs w:val="20"/>
              </w:rPr>
              <w:t>April 2020</w:t>
            </w:r>
          </w:p>
          <w:p w14:paraId="2E3BC9FA" w14:textId="77777777" w:rsidR="0037729C" w:rsidRDefault="0037729C" w:rsidP="00776B26">
            <w:pPr>
              <w:rPr>
                <w:sz w:val="20"/>
                <w:szCs w:val="20"/>
              </w:rPr>
            </w:pPr>
          </w:p>
          <w:p w14:paraId="5BA02632" w14:textId="77777777" w:rsidR="0037729C" w:rsidRDefault="0037729C" w:rsidP="00776B26">
            <w:pPr>
              <w:rPr>
                <w:sz w:val="20"/>
                <w:szCs w:val="20"/>
              </w:rPr>
            </w:pPr>
          </w:p>
          <w:p w14:paraId="7DD99FB2" w14:textId="77777777" w:rsidR="0037729C" w:rsidRDefault="0037729C" w:rsidP="00776B26">
            <w:pPr>
              <w:rPr>
                <w:sz w:val="20"/>
                <w:szCs w:val="20"/>
              </w:rPr>
            </w:pPr>
          </w:p>
          <w:p w14:paraId="75CB1BB4" w14:textId="77777777" w:rsidR="0037729C" w:rsidRDefault="0037729C" w:rsidP="00776B26">
            <w:pPr>
              <w:rPr>
                <w:sz w:val="20"/>
                <w:szCs w:val="20"/>
              </w:rPr>
            </w:pPr>
          </w:p>
          <w:p w14:paraId="3CC9F90D" w14:textId="20D0654E" w:rsidR="0037729C" w:rsidRDefault="0037729C" w:rsidP="00776B26">
            <w:pPr>
              <w:rPr>
                <w:sz w:val="20"/>
                <w:szCs w:val="20"/>
              </w:rPr>
            </w:pPr>
            <w:r>
              <w:rPr>
                <w:sz w:val="20"/>
                <w:szCs w:val="20"/>
              </w:rPr>
              <w:t>April-September 2020</w:t>
            </w:r>
          </w:p>
          <w:p w14:paraId="3E2E9A43" w14:textId="77777777" w:rsidR="0037729C" w:rsidRDefault="0037729C" w:rsidP="00776B26">
            <w:pPr>
              <w:rPr>
                <w:sz w:val="20"/>
                <w:szCs w:val="20"/>
              </w:rPr>
            </w:pPr>
          </w:p>
          <w:p w14:paraId="7A629EE9" w14:textId="77777777" w:rsidR="0037729C" w:rsidRDefault="0037729C" w:rsidP="00776B26">
            <w:pPr>
              <w:rPr>
                <w:sz w:val="20"/>
                <w:szCs w:val="20"/>
              </w:rPr>
            </w:pPr>
          </w:p>
          <w:p w14:paraId="614B5C3B" w14:textId="77777777" w:rsidR="0037729C" w:rsidRDefault="0037729C" w:rsidP="00776B26">
            <w:pPr>
              <w:rPr>
                <w:sz w:val="20"/>
                <w:szCs w:val="20"/>
              </w:rPr>
            </w:pPr>
          </w:p>
          <w:p w14:paraId="58A5D1F3" w14:textId="77777777" w:rsidR="0037729C" w:rsidRDefault="0037729C" w:rsidP="00776B26">
            <w:pPr>
              <w:rPr>
                <w:sz w:val="20"/>
                <w:szCs w:val="20"/>
              </w:rPr>
            </w:pPr>
          </w:p>
          <w:p w14:paraId="4244E9C9" w14:textId="77777777" w:rsidR="0037729C" w:rsidRDefault="0037729C" w:rsidP="00776B26">
            <w:pPr>
              <w:rPr>
                <w:sz w:val="20"/>
                <w:szCs w:val="20"/>
              </w:rPr>
            </w:pPr>
          </w:p>
          <w:p w14:paraId="0DBA6EF9" w14:textId="3228245B" w:rsidR="0037729C" w:rsidRDefault="0037729C" w:rsidP="00776B26">
            <w:pPr>
              <w:rPr>
                <w:sz w:val="20"/>
                <w:szCs w:val="20"/>
              </w:rPr>
            </w:pPr>
            <w:r>
              <w:rPr>
                <w:sz w:val="20"/>
                <w:szCs w:val="20"/>
              </w:rPr>
              <w:t>April-May 2020</w:t>
            </w:r>
          </w:p>
        </w:tc>
      </w:tr>
      <w:tr w:rsidR="0037729C" w14:paraId="26E59CC4" w14:textId="77777777" w:rsidTr="007773C9">
        <w:trPr>
          <w:trHeight w:val="2148"/>
        </w:trPr>
        <w:tc>
          <w:tcPr>
            <w:tcW w:w="1655" w:type="dxa"/>
            <w:vMerge/>
          </w:tcPr>
          <w:p w14:paraId="52C6B33F" w14:textId="77777777" w:rsidR="0037729C" w:rsidRPr="000C57AD" w:rsidRDefault="0037729C" w:rsidP="00776B26">
            <w:pPr>
              <w:rPr>
                <w:b/>
                <w:bCs/>
                <w:sz w:val="20"/>
                <w:szCs w:val="20"/>
              </w:rPr>
            </w:pPr>
          </w:p>
        </w:tc>
        <w:tc>
          <w:tcPr>
            <w:tcW w:w="7406" w:type="dxa"/>
            <w:gridSpan w:val="4"/>
          </w:tcPr>
          <w:p w14:paraId="3C67FAD7" w14:textId="6C0CBEA0" w:rsidR="0037729C" w:rsidRPr="00EE48F8" w:rsidRDefault="0037729C" w:rsidP="00776B26">
            <w:pPr>
              <w:rPr>
                <w:b/>
                <w:bCs/>
                <w:sz w:val="20"/>
                <w:szCs w:val="20"/>
              </w:rPr>
            </w:pPr>
            <w:r w:rsidRPr="00EE48F8">
              <w:rPr>
                <w:b/>
                <w:bCs/>
                <w:sz w:val="20"/>
                <w:szCs w:val="20"/>
              </w:rPr>
              <w:t>Procurement items:</w:t>
            </w:r>
          </w:p>
          <w:p w14:paraId="7C0EE750" w14:textId="02DA8BA5" w:rsidR="0037729C" w:rsidRPr="00FC1526" w:rsidRDefault="0037729C" w:rsidP="00EE48F8">
            <w:pPr>
              <w:pStyle w:val="ListParagraph"/>
              <w:numPr>
                <w:ilvl w:val="0"/>
                <w:numId w:val="3"/>
              </w:numPr>
              <w:rPr>
                <w:sz w:val="20"/>
                <w:szCs w:val="20"/>
              </w:rPr>
            </w:pPr>
            <w:r w:rsidRPr="00FC1526">
              <w:rPr>
                <w:sz w:val="20"/>
                <w:szCs w:val="20"/>
              </w:rPr>
              <w:t xml:space="preserve">Co-sharing the cost of the centrally recruited WHO </w:t>
            </w:r>
            <w:r>
              <w:rPr>
                <w:sz w:val="20"/>
                <w:szCs w:val="20"/>
              </w:rPr>
              <w:t xml:space="preserve">hospital readiness/infection prevention and control </w:t>
            </w:r>
            <w:r w:rsidRPr="00FC1526">
              <w:rPr>
                <w:sz w:val="20"/>
                <w:szCs w:val="20"/>
              </w:rPr>
              <w:t>experts: 2 for</w:t>
            </w:r>
            <w:r>
              <w:rPr>
                <w:sz w:val="20"/>
                <w:szCs w:val="20"/>
              </w:rPr>
              <w:t xml:space="preserve"> </w:t>
            </w:r>
            <w:r w:rsidR="00D77069">
              <w:rPr>
                <w:sz w:val="20"/>
                <w:szCs w:val="20"/>
              </w:rPr>
              <w:t>5</w:t>
            </w:r>
            <w:r>
              <w:rPr>
                <w:sz w:val="20"/>
                <w:szCs w:val="20"/>
              </w:rPr>
              <w:t xml:space="preserve"> months </w:t>
            </w:r>
            <w:r w:rsidRPr="00FC1526">
              <w:rPr>
                <w:sz w:val="20"/>
                <w:szCs w:val="20"/>
              </w:rPr>
              <w:t xml:space="preserve"> </w:t>
            </w:r>
          </w:p>
          <w:p w14:paraId="33F9D456" w14:textId="0DDBE84F" w:rsidR="0037729C" w:rsidRDefault="0037729C" w:rsidP="00EE48F8">
            <w:pPr>
              <w:pStyle w:val="ListParagraph"/>
              <w:numPr>
                <w:ilvl w:val="0"/>
                <w:numId w:val="3"/>
              </w:numPr>
              <w:rPr>
                <w:sz w:val="20"/>
                <w:szCs w:val="20"/>
              </w:rPr>
            </w:pPr>
            <w:r w:rsidRPr="00EE48F8">
              <w:rPr>
                <w:sz w:val="20"/>
                <w:szCs w:val="20"/>
              </w:rPr>
              <w:t xml:space="preserve">Videoconferencing equipment sets (55-inch TV, wall mounting bracket, HDMI cable, laptop, wireless mouse, PC web camera, USB cable, installation materials, transportation costs): </w:t>
            </w:r>
            <w:r>
              <w:rPr>
                <w:sz w:val="20"/>
                <w:szCs w:val="20"/>
              </w:rPr>
              <w:t>15</w:t>
            </w:r>
            <w:r w:rsidRPr="00EE48F8">
              <w:rPr>
                <w:sz w:val="20"/>
                <w:szCs w:val="20"/>
              </w:rPr>
              <w:t xml:space="preserve"> sets</w:t>
            </w:r>
          </w:p>
          <w:p w14:paraId="0496C3E3" w14:textId="720C5EEF" w:rsidR="0037729C" w:rsidRDefault="0037729C" w:rsidP="00EE48F8">
            <w:pPr>
              <w:pStyle w:val="ListParagraph"/>
              <w:numPr>
                <w:ilvl w:val="0"/>
                <w:numId w:val="3"/>
              </w:numPr>
              <w:rPr>
                <w:sz w:val="20"/>
                <w:szCs w:val="20"/>
              </w:rPr>
            </w:pPr>
            <w:r>
              <w:rPr>
                <w:sz w:val="20"/>
                <w:szCs w:val="20"/>
              </w:rPr>
              <w:t xml:space="preserve">Multifunction printer/copier stations: 15 </w:t>
            </w:r>
          </w:p>
        </w:tc>
      </w:tr>
      <w:tr w:rsidR="0037729C" w14:paraId="538DDE39" w14:textId="44400639" w:rsidTr="00013D67">
        <w:tc>
          <w:tcPr>
            <w:tcW w:w="1655" w:type="dxa"/>
            <w:vMerge w:val="restart"/>
          </w:tcPr>
          <w:p w14:paraId="0EE4BF3E" w14:textId="77777777" w:rsidR="0037729C" w:rsidRPr="000C57AD" w:rsidRDefault="0037729C" w:rsidP="00776B26">
            <w:pPr>
              <w:rPr>
                <w:sz w:val="20"/>
                <w:szCs w:val="20"/>
              </w:rPr>
            </w:pPr>
            <w:r w:rsidRPr="000C57AD">
              <w:rPr>
                <w:b/>
                <w:bCs/>
                <w:sz w:val="20"/>
                <w:szCs w:val="20"/>
              </w:rPr>
              <w:t>Infection prevention and control</w:t>
            </w:r>
          </w:p>
          <w:p w14:paraId="78895F33" w14:textId="77777777" w:rsidR="0037729C" w:rsidRPr="000C57AD" w:rsidRDefault="0037729C" w:rsidP="00776B26">
            <w:pPr>
              <w:rPr>
                <w:sz w:val="20"/>
                <w:szCs w:val="20"/>
              </w:rPr>
            </w:pPr>
          </w:p>
          <w:p w14:paraId="3F79C468" w14:textId="77777777" w:rsidR="0037729C" w:rsidRDefault="0037729C" w:rsidP="00776B26">
            <w:pPr>
              <w:rPr>
                <w:b/>
                <w:bCs/>
                <w:sz w:val="20"/>
                <w:szCs w:val="20"/>
              </w:rPr>
            </w:pPr>
          </w:p>
          <w:p w14:paraId="3D709D40" w14:textId="77777777" w:rsidR="0037729C" w:rsidRDefault="0037729C" w:rsidP="00776B26">
            <w:pPr>
              <w:rPr>
                <w:b/>
                <w:bCs/>
                <w:sz w:val="20"/>
                <w:szCs w:val="20"/>
              </w:rPr>
            </w:pPr>
          </w:p>
          <w:p w14:paraId="491611C7" w14:textId="77777777" w:rsidR="0037729C" w:rsidRPr="000C57AD" w:rsidRDefault="0037729C" w:rsidP="00776B26">
            <w:pPr>
              <w:rPr>
                <w:sz w:val="20"/>
                <w:szCs w:val="20"/>
              </w:rPr>
            </w:pPr>
          </w:p>
        </w:tc>
        <w:tc>
          <w:tcPr>
            <w:tcW w:w="2840" w:type="dxa"/>
          </w:tcPr>
          <w:p w14:paraId="6EB4C8A5" w14:textId="31C7D88A" w:rsidR="0037729C" w:rsidRDefault="0037729C" w:rsidP="00776B26">
            <w:pPr>
              <w:rPr>
                <w:sz w:val="20"/>
                <w:szCs w:val="20"/>
              </w:rPr>
            </w:pPr>
            <w:r>
              <w:rPr>
                <w:sz w:val="20"/>
                <w:szCs w:val="20"/>
              </w:rPr>
              <w:t>Virtual trainings conducted by WHO experts for healthcare staff in the designated facilities on IPC, including proper use of PPE, for healthcare staff in the healthcare facilities designated by the Ministry of Health for COVID-19 response</w:t>
            </w:r>
          </w:p>
          <w:p w14:paraId="28825B7A" w14:textId="77777777" w:rsidR="0037729C" w:rsidRDefault="0037729C" w:rsidP="00776B26">
            <w:pPr>
              <w:rPr>
                <w:sz w:val="20"/>
                <w:szCs w:val="20"/>
              </w:rPr>
            </w:pPr>
          </w:p>
          <w:p w14:paraId="2BFC22C6" w14:textId="486BE56E" w:rsidR="0037729C" w:rsidRDefault="0037729C" w:rsidP="00776B26">
            <w:pPr>
              <w:rPr>
                <w:sz w:val="20"/>
                <w:szCs w:val="20"/>
              </w:rPr>
            </w:pPr>
            <w:r>
              <w:rPr>
                <w:sz w:val="20"/>
                <w:szCs w:val="20"/>
              </w:rPr>
              <w:t>Locally p</w:t>
            </w:r>
            <w:r w:rsidRPr="000C57AD">
              <w:rPr>
                <w:sz w:val="20"/>
                <w:szCs w:val="20"/>
              </w:rPr>
              <w:t xml:space="preserve">rocure </w:t>
            </w:r>
            <w:r>
              <w:rPr>
                <w:sz w:val="20"/>
                <w:szCs w:val="20"/>
              </w:rPr>
              <w:t xml:space="preserve">alcohol-based </w:t>
            </w:r>
            <w:proofErr w:type="spellStart"/>
            <w:r>
              <w:rPr>
                <w:sz w:val="20"/>
                <w:szCs w:val="20"/>
              </w:rPr>
              <w:t>handrub</w:t>
            </w:r>
            <w:proofErr w:type="spellEnd"/>
            <w:r>
              <w:rPr>
                <w:sz w:val="20"/>
                <w:szCs w:val="20"/>
              </w:rPr>
              <w:t xml:space="preserve">, disinfectants for surfaces and medical instruments and antibacterial soap </w:t>
            </w:r>
            <w:r w:rsidRPr="000C57AD">
              <w:rPr>
                <w:sz w:val="20"/>
                <w:szCs w:val="20"/>
              </w:rPr>
              <w:t>for healthcare facilities</w:t>
            </w:r>
            <w:r>
              <w:rPr>
                <w:sz w:val="20"/>
                <w:szCs w:val="20"/>
              </w:rPr>
              <w:t xml:space="preserve"> designated by the Ministry of Health for COVID-19 response </w:t>
            </w:r>
            <w:r>
              <w:rPr>
                <w:sz w:val="20"/>
                <w:szCs w:val="20"/>
              </w:rPr>
              <w:lastRenderedPageBreak/>
              <w:t xml:space="preserve">as per the estimated needs and based on the WHO disease commodities package </w:t>
            </w:r>
          </w:p>
          <w:p w14:paraId="54EA000F" w14:textId="77777777" w:rsidR="0037729C" w:rsidRPr="000C57AD" w:rsidRDefault="0037729C" w:rsidP="00776B26">
            <w:pPr>
              <w:rPr>
                <w:sz w:val="20"/>
                <w:szCs w:val="20"/>
              </w:rPr>
            </w:pPr>
          </w:p>
        </w:tc>
        <w:tc>
          <w:tcPr>
            <w:tcW w:w="2430" w:type="dxa"/>
          </w:tcPr>
          <w:p w14:paraId="30111279" w14:textId="77777777" w:rsidR="0037729C" w:rsidRPr="000C57AD" w:rsidRDefault="0037729C" w:rsidP="00776B26">
            <w:pPr>
              <w:rPr>
                <w:sz w:val="20"/>
                <w:szCs w:val="20"/>
              </w:rPr>
            </w:pPr>
            <w:r w:rsidRPr="000C57AD">
              <w:rPr>
                <w:sz w:val="20"/>
                <w:szCs w:val="20"/>
              </w:rPr>
              <w:lastRenderedPageBreak/>
              <w:t>Required infection prevention and control regime is maintained in the designated facilities for CO</w:t>
            </w:r>
            <w:r>
              <w:rPr>
                <w:sz w:val="20"/>
                <w:szCs w:val="20"/>
              </w:rPr>
              <w:t>V</w:t>
            </w:r>
            <w:r w:rsidRPr="000C57AD">
              <w:rPr>
                <w:sz w:val="20"/>
                <w:szCs w:val="20"/>
              </w:rPr>
              <w:t>ID-19</w:t>
            </w:r>
          </w:p>
        </w:tc>
        <w:tc>
          <w:tcPr>
            <w:tcW w:w="990" w:type="dxa"/>
          </w:tcPr>
          <w:p w14:paraId="19FE8054" w14:textId="6FB4E5AA" w:rsidR="0037729C" w:rsidRPr="000C57AD" w:rsidRDefault="0037729C" w:rsidP="00776B26">
            <w:pPr>
              <w:rPr>
                <w:sz w:val="20"/>
                <w:szCs w:val="20"/>
              </w:rPr>
            </w:pPr>
            <w:r>
              <w:rPr>
                <w:sz w:val="20"/>
                <w:szCs w:val="20"/>
              </w:rPr>
              <w:t>50,000</w:t>
            </w:r>
          </w:p>
        </w:tc>
        <w:tc>
          <w:tcPr>
            <w:tcW w:w="1146" w:type="dxa"/>
          </w:tcPr>
          <w:p w14:paraId="0DA663DA" w14:textId="77777777" w:rsidR="0037729C" w:rsidRDefault="0037729C" w:rsidP="00776B26">
            <w:pPr>
              <w:rPr>
                <w:sz w:val="20"/>
                <w:szCs w:val="20"/>
              </w:rPr>
            </w:pPr>
            <w:r>
              <w:rPr>
                <w:sz w:val="20"/>
                <w:szCs w:val="20"/>
              </w:rPr>
              <w:t>April-September 2020</w:t>
            </w:r>
          </w:p>
          <w:p w14:paraId="223C5A10" w14:textId="77777777" w:rsidR="0037729C" w:rsidRDefault="0037729C" w:rsidP="00776B26">
            <w:pPr>
              <w:rPr>
                <w:sz w:val="20"/>
                <w:szCs w:val="20"/>
              </w:rPr>
            </w:pPr>
          </w:p>
          <w:p w14:paraId="4760168A" w14:textId="77777777" w:rsidR="0037729C" w:rsidRDefault="0037729C" w:rsidP="00776B26">
            <w:pPr>
              <w:rPr>
                <w:sz w:val="20"/>
                <w:szCs w:val="20"/>
              </w:rPr>
            </w:pPr>
          </w:p>
          <w:p w14:paraId="56AECF47" w14:textId="77777777" w:rsidR="0037729C" w:rsidRDefault="0037729C" w:rsidP="00776B26">
            <w:pPr>
              <w:rPr>
                <w:sz w:val="20"/>
                <w:szCs w:val="20"/>
              </w:rPr>
            </w:pPr>
          </w:p>
          <w:p w14:paraId="026DF911" w14:textId="77777777" w:rsidR="0037729C" w:rsidRDefault="0037729C" w:rsidP="00776B26">
            <w:pPr>
              <w:rPr>
                <w:sz w:val="20"/>
                <w:szCs w:val="20"/>
              </w:rPr>
            </w:pPr>
          </w:p>
          <w:p w14:paraId="10B6392F" w14:textId="77777777" w:rsidR="0037729C" w:rsidRDefault="0037729C" w:rsidP="00776B26">
            <w:pPr>
              <w:rPr>
                <w:sz w:val="20"/>
                <w:szCs w:val="20"/>
              </w:rPr>
            </w:pPr>
          </w:p>
          <w:p w14:paraId="10C8D5F2" w14:textId="77777777" w:rsidR="0037729C" w:rsidRDefault="0037729C" w:rsidP="00776B26">
            <w:pPr>
              <w:rPr>
                <w:sz w:val="20"/>
                <w:szCs w:val="20"/>
              </w:rPr>
            </w:pPr>
          </w:p>
          <w:p w14:paraId="1F37BDBA" w14:textId="77777777" w:rsidR="0037729C" w:rsidRDefault="0037729C" w:rsidP="00776B26">
            <w:pPr>
              <w:rPr>
                <w:sz w:val="20"/>
                <w:szCs w:val="20"/>
              </w:rPr>
            </w:pPr>
          </w:p>
          <w:p w14:paraId="673B8249" w14:textId="0C144361" w:rsidR="0037729C" w:rsidRDefault="0037729C" w:rsidP="00776B26">
            <w:pPr>
              <w:rPr>
                <w:sz w:val="20"/>
                <w:szCs w:val="20"/>
              </w:rPr>
            </w:pPr>
            <w:r>
              <w:rPr>
                <w:sz w:val="20"/>
                <w:szCs w:val="20"/>
              </w:rPr>
              <w:t>April-May 2020</w:t>
            </w:r>
          </w:p>
        </w:tc>
      </w:tr>
      <w:tr w:rsidR="0037729C" w14:paraId="4DE5BA46" w14:textId="77777777" w:rsidTr="00AF6655">
        <w:tc>
          <w:tcPr>
            <w:tcW w:w="1655" w:type="dxa"/>
            <w:vMerge/>
          </w:tcPr>
          <w:p w14:paraId="66531288" w14:textId="1B02C355" w:rsidR="0037729C" w:rsidRPr="000C57AD" w:rsidRDefault="0037729C" w:rsidP="00776B26">
            <w:pPr>
              <w:rPr>
                <w:b/>
                <w:bCs/>
                <w:sz w:val="20"/>
                <w:szCs w:val="20"/>
              </w:rPr>
            </w:pPr>
          </w:p>
        </w:tc>
        <w:tc>
          <w:tcPr>
            <w:tcW w:w="7406" w:type="dxa"/>
            <w:gridSpan w:val="4"/>
          </w:tcPr>
          <w:p w14:paraId="2AF6B730" w14:textId="77777777" w:rsidR="0037729C" w:rsidRPr="000665B3" w:rsidRDefault="0037729C" w:rsidP="00776B26">
            <w:pPr>
              <w:rPr>
                <w:b/>
                <w:bCs/>
                <w:sz w:val="20"/>
                <w:szCs w:val="20"/>
              </w:rPr>
            </w:pPr>
            <w:r w:rsidRPr="000665B3">
              <w:rPr>
                <w:b/>
                <w:bCs/>
                <w:sz w:val="20"/>
                <w:szCs w:val="20"/>
              </w:rPr>
              <w:t>Procurement items:</w:t>
            </w:r>
          </w:p>
          <w:p w14:paraId="5398D18F" w14:textId="4A0AED01" w:rsidR="0037729C" w:rsidRDefault="0037729C" w:rsidP="000665B3">
            <w:pPr>
              <w:pStyle w:val="ListParagraph"/>
              <w:numPr>
                <w:ilvl w:val="0"/>
                <w:numId w:val="4"/>
              </w:numPr>
              <w:rPr>
                <w:sz w:val="20"/>
                <w:szCs w:val="20"/>
              </w:rPr>
            </w:pPr>
            <w:r>
              <w:rPr>
                <w:sz w:val="20"/>
                <w:szCs w:val="20"/>
              </w:rPr>
              <w:t xml:space="preserve">70% alcohol-based </w:t>
            </w:r>
            <w:proofErr w:type="spellStart"/>
            <w:r>
              <w:rPr>
                <w:sz w:val="20"/>
                <w:szCs w:val="20"/>
              </w:rPr>
              <w:t>handrub</w:t>
            </w:r>
            <w:proofErr w:type="spellEnd"/>
            <w:r>
              <w:rPr>
                <w:sz w:val="20"/>
                <w:szCs w:val="20"/>
              </w:rPr>
              <w:t>: approx. 1500 liters</w:t>
            </w:r>
          </w:p>
          <w:p w14:paraId="7AA660E2" w14:textId="05BCED2E" w:rsidR="0037729C" w:rsidRDefault="0037729C" w:rsidP="000665B3">
            <w:pPr>
              <w:pStyle w:val="ListParagraph"/>
              <w:numPr>
                <w:ilvl w:val="0"/>
                <w:numId w:val="4"/>
              </w:numPr>
              <w:rPr>
                <w:sz w:val="20"/>
                <w:szCs w:val="20"/>
              </w:rPr>
            </w:pPr>
            <w:r>
              <w:rPr>
                <w:sz w:val="20"/>
                <w:szCs w:val="20"/>
              </w:rPr>
              <w:t>Surface disinfectant: approx. 1200 liters</w:t>
            </w:r>
          </w:p>
          <w:p w14:paraId="2DE9F827" w14:textId="19A53FFC" w:rsidR="0037729C" w:rsidRPr="000665B3" w:rsidRDefault="0037729C" w:rsidP="000665B3">
            <w:pPr>
              <w:pStyle w:val="ListParagraph"/>
              <w:numPr>
                <w:ilvl w:val="0"/>
                <w:numId w:val="4"/>
              </w:numPr>
              <w:rPr>
                <w:sz w:val="20"/>
                <w:szCs w:val="20"/>
              </w:rPr>
            </w:pPr>
            <w:r>
              <w:rPr>
                <w:sz w:val="20"/>
                <w:szCs w:val="20"/>
              </w:rPr>
              <w:t>Antibacterial soap: approx. 1700 liters</w:t>
            </w:r>
          </w:p>
          <w:p w14:paraId="3152BB3C" w14:textId="55DE7E1C" w:rsidR="0037729C" w:rsidRDefault="0037729C" w:rsidP="00776B26">
            <w:pPr>
              <w:rPr>
                <w:sz w:val="20"/>
                <w:szCs w:val="20"/>
              </w:rPr>
            </w:pPr>
          </w:p>
        </w:tc>
      </w:tr>
      <w:tr w:rsidR="00E63E58" w14:paraId="4B8E9B2A" w14:textId="77777777" w:rsidTr="00013D67">
        <w:tc>
          <w:tcPr>
            <w:tcW w:w="9061" w:type="dxa"/>
            <w:gridSpan w:val="5"/>
          </w:tcPr>
          <w:p w14:paraId="6DF884A4" w14:textId="4599371C" w:rsidR="00E63E58" w:rsidRPr="00E63E58" w:rsidRDefault="00E63E58" w:rsidP="00776B26">
            <w:pPr>
              <w:rPr>
                <w:b/>
                <w:bCs/>
                <w:sz w:val="20"/>
                <w:szCs w:val="20"/>
              </w:rPr>
            </w:pPr>
            <w:r w:rsidRPr="00E63E58">
              <w:rPr>
                <w:b/>
                <w:bCs/>
                <w:sz w:val="20"/>
                <w:szCs w:val="20"/>
              </w:rPr>
              <w:t>List of designated hospitals for COVID-19 response:</w:t>
            </w:r>
          </w:p>
          <w:p w14:paraId="366FF066" w14:textId="7F66373E" w:rsidR="00E63E58" w:rsidRDefault="00E63E58" w:rsidP="00776B26">
            <w:pPr>
              <w:rPr>
                <w:sz w:val="20"/>
                <w:szCs w:val="20"/>
              </w:rPr>
            </w:pPr>
          </w:p>
          <w:p w14:paraId="0F623C96" w14:textId="65AEA712" w:rsidR="00E63E58" w:rsidRDefault="00E63E58" w:rsidP="00E63E58">
            <w:pPr>
              <w:pStyle w:val="ListParagraph"/>
              <w:numPr>
                <w:ilvl w:val="0"/>
                <w:numId w:val="2"/>
              </w:numPr>
              <w:rPr>
                <w:sz w:val="20"/>
                <w:szCs w:val="20"/>
              </w:rPr>
            </w:pPr>
            <w:r>
              <w:rPr>
                <w:sz w:val="20"/>
                <w:szCs w:val="20"/>
              </w:rPr>
              <w:t>Infectious diseases, AIDS and clinical immunology research center (Tbilisi)</w:t>
            </w:r>
          </w:p>
          <w:p w14:paraId="2C16A480" w14:textId="00F39F67" w:rsidR="00E63E58" w:rsidRDefault="00E63E58" w:rsidP="00E63E58">
            <w:pPr>
              <w:pStyle w:val="ListParagraph"/>
              <w:numPr>
                <w:ilvl w:val="0"/>
                <w:numId w:val="2"/>
              </w:numPr>
              <w:rPr>
                <w:sz w:val="20"/>
                <w:szCs w:val="20"/>
              </w:rPr>
            </w:pPr>
            <w:proofErr w:type="spellStart"/>
            <w:r>
              <w:rPr>
                <w:sz w:val="20"/>
                <w:szCs w:val="20"/>
              </w:rPr>
              <w:t>Kipshidze</w:t>
            </w:r>
            <w:proofErr w:type="spellEnd"/>
            <w:r>
              <w:rPr>
                <w:sz w:val="20"/>
                <w:szCs w:val="20"/>
              </w:rPr>
              <w:t xml:space="preserve"> university clinic (Tbilisi)</w:t>
            </w:r>
          </w:p>
          <w:p w14:paraId="33A38138" w14:textId="7D2CD337" w:rsidR="00E63E58" w:rsidRDefault="00E63E58" w:rsidP="00E63E58">
            <w:pPr>
              <w:pStyle w:val="ListParagraph"/>
              <w:numPr>
                <w:ilvl w:val="0"/>
                <w:numId w:val="2"/>
              </w:numPr>
              <w:rPr>
                <w:sz w:val="20"/>
                <w:szCs w:val="20"/>
              </w:rPr>
            </w:pPr>
            <w:r>
              <w:rPr>
                <w:sz w:val="20"/>
                <w:szCs w:val="20"/>
              </w:rPr>
              <w:t>First university clinic (Tbilisi</w:t>
            </w:r>
          </w:p>
          <w:p w14:paraId="0E247191" w14:textId="3BAFDEBD" w:rsidR="00E63E58" w:rsidRDefault="00E63E58" w:rsidP="00E63E58">
            <w:pPr>
              <w:pStyle w:val="ListParagraph"/>
              <w:numPr>
                <w:ilvl w:val="0"/>
                <w:numId w:val="2"/>
              </w:numPr>
              <w:rPr>
                <w:sz w:val="20"/>
                <w:szCs w:val="20"/>
              </w:rPr>
            </w:pPr>
            <w:proofErr w:type="spellStart"/>
            <w:r>
              <w:rPr>
                <w:sz w:val="20"/>
                <w:szCs w:val="20"/>
              </w:rPr>
              <w:t>Salikh</w:t>
            </w:r>
            <w:proofErr w:type="spellEnd"/>
            <w:r>
              <w:rPr>
                <w:sz w:val="20"/>
                <w:szCs w:val="20"/>
              </w:rPr>
              <w:t xml:space="preserve"> Abashidze regional center for infectious diseases, AIDS and TB (Batumi)</w:t>
            </w:r>
          </w:p>
          <w:p w14:paraId="0BFE065C" w14:textId="3EDF5A57" w:rsidR="00E63E58" w:rsidRDefault="00E63E58" w:rsidP="00E63E58">
            <w:pPr>
              <w:pStyle w:val="ListParagraph"/>
              <w:numPr>
                <w:ilvl w:val="0"/>
                <w:numId w:val="2"/>
              </w:numPr>
              <w:rPr>
                <w:sz w:val="20"/>
                <w:szCs w:val="20"/>
              </w:rPr>
            </w:pPr>
            <w:r>
              <w:rPr>
                <w:sz w:val="20"/>
                <w:szCs w:val="20"/>
              </w:rPr>
              <w:t>TB and infectious pathology center for West Georgia (Kutaisi)</w:t>
            </w:r>
          </w:p>
          <w:p w14:paraId="19999B4B" w14:textId="4827B308" w:rsidR="00E63E58" w:rsidRDefault="00E63E58" w:rsidP="00E63E58">
            <w:pPr>
              <w:pStyle w:val="ListParagraph"/>
              <w:numPr>
                <w:ilvl w:val="0"/>
                <w:numId w:val="2"/>
              </w:numPr>
              <w:rPr>
                <w:sz w:val="20"/>
                <w:szCs w:val="20"/>
              </w:rPr>
            </w:pPr>
            <w:r>
              <w:rPr>
                <w:sz w:val="20"/>
                <w:szCs w:val="20"/>
              </w:rPr>
              <w:t>Church Hospital of St. David the Builder (Kutaisi)</w:t>
            </w:r>
          </w:p>
          <w:p w14:paraId="360C1D69" w14:textId="594B9A01" w:rsidR="00E63E58" w:rsidRDefault="00E63E58" w:rsidP="00E63E58">
            <w:pPr>
              <w:pStyle w:val="ListParagraph"/>
              <w:numPr>
                <w:ilvl w:val="0"/>
                <w:numId w:val="2"/>
              </w:numPr>
              <w:rPr>
                <w:sz w:val="20"/>
                <w:szCs w:val="20"/>
              </w:rPr>
            </w:pPr>
            <w:r>
              <w:rPr>
                <w:sz w:val="20"/>
                <w:szCs w:val="20"/>
              </w:rPr>
              <w:t>Military Hospital in Gori (Gori)</w:t>
            </w:r>
          </w:p>
          <w:p w14:paraId="445FF19A" w14:textId="05F0ECDA" w:rsidR="00E63E58" w:rsidRDefault="00E63E58" w:rsidP="00E63E58">
            <w:pPr>
              <w:pStyle w:val="ListParagraph"/>
              <w:numPr>
                <w:ilvl w:val="0"/>
                <w:numId w:val="2"/>
              </w:numPr>
              <w:rPr>
                <w:sz w:val="20"/>
                <w:szCs w:val="20"/>
              </w:rPr>
            </w:pPr>
            <w:proofErr w:type="spellStart"/>
            <w:r>
              <w:rPr>
                <w:sz w:val="20"/>
                <w:szCs w:val="20"/>
              </w:rPr>
              <w:t>Rukhi</w:t>
            </w:r>
            <w:proofErr w:type="spellEnd"/>
            <w:r>
              <w:rPr>
                <w:sz w:val="20"/>
                <w:szCs w:val="20"/>
              </w:rPr>
              <w:t xml:space="preserve"> Hospital (</w:t>
            </w:r>
            <w:proofErr w:type="spellStart"/>
            <w:r>
              <w:rPr>
                <w:sz w:val="20"/>
                <w:szCs w:val="20"/>
              </w:rPr>
              <w:t>Rukhi</w:t>
            </w:r>
            <w:proofErr w:type="spellEnd"/>
            <w:r>
              <w:rPr>
                <w:sz w:val="20"/>
                <w:szCs w:val="20"/>
              </w:rPr>
              <w:t>)</w:t>
            </w:r>
          </w:p>
          <w:p w14:paraId="06BB1475" w14:textId="1CCFE232" w:rsidR="00E63E58" w:rsidRDefault="00E63E58" w:rsidP="00E63E58">
            <w:pPr>
              <w:pStyle w:val="ListParagraph"/>
              <w:numPr>
                <w:ilvl w:val="0"/>
                <w:numId w:val="2"/>
              </w:numPr>
              <w:rPr>
                <w:sz w:val="20"/>
                <w:szCs w:val="20"/>
              </w:rPr>
            </w:pPr>
            <w:r>
              <w:rPr>
                <w:sz w:val="20"/>
                <w:szCs w:val="20"/>
              </w:rPr>
              <w:t>TB dispensary (Sukhumi, Abkhazia)</w:t>
            </w:r>
          </w:p>
          <w:p w14:paraId="6E2547AB" w14:textId="0D118318" w:rsidR="00E63E58" w:rsidRDefault="00E63E58" w:rsidP="00E63E58">
            <w:pPr>
              <w:pStyle w:val="ListParagraph"/>
              <w:numPr>
                <w:ilvl w:val="0"/>
                <w:numId w:val="2"/>
              </w:numPr>
              <w:rPr>
                <w:sz w:val="20"/>
                <w:szCs w:val="20"/>
              </w:rPr>
            </w:pPr>
            <w:r>
              <w:rPr>
                <w:sz w:val="20"/>
                <w:szCs w:val="20"/>
              </w:rPr>
              <w:t>Republican hospital (Sukhumi, Abkhazia)</w:t>
            </w:r>
          </w:p>
          <w:p w14:paraId="00C7D483" w14:textId="77777777" w:rsidR="00E63E58" w:rsidRDefault="00E63E58" w:rsidP="00723ABA">
            <w:pPr>
              <w:pStyle w:val="ListParagraph"/>
              <w:numPr>
                <w:ilvl w:val="0"/>
                <w:numId w:val="2"/>
              </w:numPr>
              <w:rPr>
                <w:sz w:val="20"/>
                <w:szCs w:val="20"/>
              </w:rPr>
            </w:pPr>
            <w:r w:rsidRPr="00723ABA">
              <w:rPr>
                <w:sz w:val="20"/>
                <w:szCs w:val="20"/>
              </w:rPr>
              <w:t>Gudauta hospital (Gudauta, Abkhazia)</w:t>
            </w:r>
          </w:p>
          <w:p w14:paraId="26E8C9B3" w14:textId="7AB4AFC3" w:rsidR="007A49F8" w:rsidRDefault="007A49F8" w:rsidP="007A49F8">
            <w:pPr>
              <w:pStyle w:val="ListParagraph"/>
              <w:rPr>
                <w:sz w:val="20"/>
                <w:szCs w:val="20"/>
              </w:rPr>
            </w:pPr>
          </w:p>
        </w:tc>
      </w:tr>
      <w:tr w:rsidR="0037729C" w14:paraId="4D6F828E" w14:textId="71021298" w:rsidTr="00013D67">
        <w:tc>
          <w:tcPr>
            <w:tcW w:w="1655" w:type="dxa"/>
            <w:vMerge w:val="restart"/>
          </w:tcPr>
          <w:p w14:paraId="04930408" w14:textId="77777777" w:rsidR="0037729C" w:rsidRPr="00870D4B" w:rsidRDefault="0037729C" w:rsidP="00776B26">
            <w:pPr>
              <w:rPr>
                <w:b/>
                <w:bCs/>
                <w:sz w:val="20"/>
                <w:szCs w:val="20"/>
              </w:rPr>
            </w:pPr>
            <w:r w:rsidRPr="00870D4B">
              <w:rPr>
                <w:b/>
                <w:bCs/>
                <w:sz w:val="20"/>
                <w:szCs w:val="20"/>
              </w:rPr>
              <w:t>Surveillance and rapid response</w:t>
            </w:r>
          </w:p>
          <w:p w14:paraId="3669B649" w14:textId="77777777" w:rsidR="0037729C" w:rsidRDefault="0037729C" w:rsidP="00776B26">
            <w:pPr>
              <w:rPr>
                <w:b/>
                <w:bCs/>
                <w:sz w:val="20"/>
                <w:szCs w:val="20"/>
              </w:rPr>
            </w:pPr>
          </w:p>
          <w:p w14:paraId="170E59C9" w14:textId="77777777" w:rsidR="0037729C" w:rsidRPr="000C57AD" w:rsidRDefault="0037729C" w:rsidP="00776B26">
            <w:pPr>
              <w:rPr>
                <w:sz w:val="20"/>
                <w:szCs w:val="20"/>
              </w:rPr>
            </w:pPr>
          </w:p>
        </w:tc>
        <w:tc>
          <w:tcPr>
            <w:tcW w:w="2840" w:type="dxa"/>
          </w:tcPr>
          <w:p w14:paraId="1C97344F" w14:textId="40862C25" w:rsidR="0037729C" w:rsidRDefault="0037729C" w:rsidP="00776B26">
            <w:pPr>
              <w:rPr>
                <w:sz w:val="20"/>
                <w:szCs w:val="20"/>
              </w:rPr>
            </w:pPr>
            <w:r>
              <w:rPr>
                <w:sz w:val="20"/>
                <w:szCs w:val="20"/>
              </w:rPr>
              <w:t xml:space="preserve">Equip Public Health Emergency Operations Center (PHEOC) at the National Center for Disease Control and Public Health of Georgia (NCDC) with </w:t>
            </w:r>
            <w:r w:rsidR="004F48D6">
              <w:rPr>
                <w:sz w:val="20"/>
                <w:szCs w:val="20"/>
              </w:rPr>
              <w:t xml:space="preserve">communication </w:t>
            </w:r>
            <w:r>
              <w:rPr>
                <w:sz w:val="20"/>
                <w:szCs w:val="20"/>
              </w:rPr>
              <w:t>equipment</w:t>
            </w:r>
            <w:r w:rsidR="004F48D6">
              <w:rPr>
                <w:sz w:val="20"/>
                <w:szCs w:val="20"/>
              </w:rPr>
              <w:t xml:space="preserve"> </w:t>
            </w:r>
          </w:p>
          <w:p w14:paraId="6FBE8EB1" w14:textId="77777777" w:rsidR="0037729C" w:rsidRPr="000C57AD" w:rsidRDefault="0037729C" w:rsidP="00776B26">
            <w:pPr>
              <w:rPr>
                <w:sz w:val="20"/>
                <w:szCs w:val="20"/>
              </w:rPr>
            </w:pPr>
          </w:p>
        </w:tc>
        <w:tc>
          <w:tcPr>
            <w:tcW w:w="2430" w:type="dxa"/>
          </w:tcPr>
          <w:p w14:paraId="40A78FA8" w14:textId="77777777" w:rsidR="0037729C" w:rsidRDefault="0037729C" w:rsidP="00776B26">
            <w:pPr>
              <w:rPr>
                <w:sz w:val="20"/>
                <w:szCs w:val="20"/>
              </w:rPr>
            </w:pPr>
            <w:r>
              <w:rPr>
                <w:sz w:val="20"/>
                <w:szCs w:val="20"/>
              </w:rPr>
              <w:t xml:space="preserve">24/7 connection is maintained between WHO, including the Country Office and the Regional Office, NCDC regional branches, and designated healthcare facilities  </w:t>
            </w:r>
          </w:p>
          <w:p w14:paraId="7C750DE4" w14:textId="3C2A5FBC" w:rsidR="0037729C" w:rsidRPr="000C57AD" w:rsidRDefault="0037729C" w:rsidP="00776B26">
            <w:pPr>
              <w:rPr>
                <w:sz w:val="20"/>
                <w:szCs w:val="20"/>
              </w:rPr>
            </w:pPr>
          </w:p>
        </w:tc>
        <w:tc>
          <w:tcPr>
            <w:tcW w:w="990" w:type="dxa"/>
          </w:tcPr>
          <w:p w14:paraId="31A2CBC1" w14:textId="1E150C5D" w:rsidR="0037729C" w:rsidRPr="000C57AD" w:rsidRDefault="0037729C" w:rsidP="00776B26">
            <w:pPr>
              <w:rPr>
                <w:sz w:val="20"/>
                <w:szCs w:val="20"/>
              </w:rPr>
            </w:pPr>
            <w:r>
              <w:rPr>
                <w:sz w:val="20"/>
                <w:szCs w:val="20"/>
              </w:rPr>
              <w:t>60,000</w:t>
            </w:r>
          </w:p>
        </w:tc>
        <w:tc>
          <w:tcPr>
            <w:tcW w:w="1146" w:type="dxa"/>
          </w:tcPr>
          <w:p w14:paraId="77903685" w14:textId="22D1AE09" w:rsidR="0037729C" w:rsidRDefault="0037729C" w:rsidP="00776B26">
            <w:pPr>
              <w:rPr>
                <w:sz w:val="20"/>
                <w:szCs w:val="20"/>
              </w:rPr>
            </w:pPr>
            <w:r>
              <w:rPr>
                <w:sz w:val="20"/>
                <w:szCs w:val="20"/>
              </w:rPr>
              <w:t>April-May 2020</w:t>
            </w:r>
          </w:p>
        </w:tc>
      </w:tr>
      <w:tr w:rsidR="0037729C" w14:paraId="01325D62" w14:textId="77777777" w:rsidTr="00077B7B">
        <w:tc>
          <w:tcPr>
            <w:tcW w:w="1655" w:type="dxa"/>
            <w:vMerge/>
          </w:tcPr>
          <w:p w14:paraId="6FA354BB" w14:textId="0435203E" w:rsidR="0037729C" w:rsidRPr="00870D4B" w:rsidRDefault="0037729C" w:rsidP="00776B26">
            <w:pPr>
              <w:rPr>
                <w:b/>
                <w:bCs/>
                <w:sz w:val="20"/>
                <w:szCs w:val="20"/>
              </w:rPr>
            </w:pPr>
          </w:p>
        </w:tc>
        <w:tc>
          <w:tcPr>
            <w:tcW w:w="7406" w:type="dxa"/>
            <w:gridSpan w:val="4"/>
          </w:tcPr>
          <w:p w14:paraId="510B9969" w14:textId="77777777" w:rsidR="0037729C" w:rsidRPr="0037729C" w:rsidRDefault="0037729C" w:rsidP="00776B26">
            <w:pPr>
              <w:rPr>
                <w:b/>
                <w:bCs/>
                <w:sz w:val="20"/>
                <w:szCs w:val="20"/>
              </w:rPr>
            </w:pPr>
            <w:r w:rsidRPr="0037729C">
              <w:rPr>
                <w:b/>
                <w:bCs/>
                <w:sz w:val="20"/>
                <w:szCs w:val="20"/>
              </w:rPr>
              <w:t>Procurement items:</w:t>
            </w:r>
          </w:p>
          <w:p w14:paraId="7FED9404" w14:textId="1D1AFAF4" w:rsidR="004F48D6" w:rsidRDefault="004F48D6" w:rsidP="0037729C">
            <w:pPr>
              <w:pStyle w:val="ListParagraph"/>
              <w:numPr>
                <w:ilvl w:val="0"/>
                <w:numId w:val="6"/>
              </w:numPr>
              <w:rPr>
                <w:sz w:val="20"/>
                <w:szCs w:val="20"/>
              </w:rPr>
            </w:pPr>
            <w:r>
              <w:rPr>
                <w:sz w:val="20"/>
                <w:szCs w:val="20"/>
              </w:rPr>
              <w:t>Satellite phones: 3</w:t>
            </w:r>
          </w:p>
          <w:p w14:paraId="2F1A1C90" w14:textId="54F0CFFE" w:rsidR="004F48D6" w:rsidRDefault="004F48D6" w:rsidP="0037729C">
            <w:pPr>
              <w:pStyle w:val="ListParagraph"/>
              <w:numPr>
                <w:ilvl w:val="0"/>
                <w:numId w:val="6"/>
              </w:numPr>
              <w:rPr>
                <w:sz w:val="20"/>
                <w:szCs w:val="20"/>
              </w:rPr>
            </w:pPr>
            <w:r>
              <w:rPr>
                <w:sz w:val="20"/>
                <w:szCs w:val="20"/>
              </w:rPr>
              <w:t>Handheld portable radios: 15</w:t>
            </w:r>
          </w:p>
          <w:p w14:paraId="35681625" w14:textId="4D86A58F" w:rsidR="004F48D6" w:rsidRDefault="004F48D6" w:rsidP="0037729C">
            <w:pPr>
              <w:pStyle w:val="ListParagraph"/>
              <w:numPr>
                <w:ilvl w:val="0"/>
                <w:numId w:val="6"/>
              </w:numPr>
              <w:rPr>
                <w:sz w:val="20"/>
                <w:szCs w:val="20"/>
              </w:rPr>
            </w:pPr>
            <w:r>
              <w:rPr>
                <w:sz w:val="20"/>
                <w:szCs w:val="20"/>
              </w:rPr>
              <w:t>Videoconferencing equipment set: 3</w:t>
            </w:r>
          </w:p>
          <w:p w14:paraId="418A4A3F" w14:textId="712CE9E4" w:rsidR="004F48D6" w:rsidRDefault="004F48D6" w:rsidP="0037729C">
            <w:pPr>
              <w:pStyle w:val="ListParagraph"/>
              <w:numPr>
                <w:ilvl w:val="0"/>
                <w:numId w:val="6"/>
              </w:numPr>
              <w:rPr>
                <w:sz w:val="20"/>
                <w:szCs w:val="20"/>
              </w:rPr>
            </w:pPr>
            <w:r>
              <w:rPr>
                <w:sz w:val="20"/>
                <w:szCs w:val="20"/>
              </w:rPr>
              <w:t>Web-conferencing audio systems: 3</w:t>
            </w:r>
          </w:p>
          <w:p w14:paraId="2936D2A0" w14:textId="2B877FAB" w:rsidR="004F48D6" w:rsidRDefault="004F48D6" w:rsidP="0037729C">
            <w:pPr>
              <w:pStyle w:val="ListParagraph"/>
              <w:numPr>
                <w:ilvl w:val="0"/>
                <w:numId w:val="6"/>
              </w:numPr>
              <w:rPr>
                <w:sz w:val="20"/>
                <w:szCs w:val="20"/>
              </w:rPr>
            </w:pPr>
            <w:r>
              <w:rPr>
                <w:sz w:val="20"/>
                <w:szCs w:val="20"/>
              </w:rPr>
              <w:t>Laptops: 10</w:t>
            </w:r>
          </w:p>
          <w:p w14:paraId="08398656" w14:textId="007EE806" w:rsidR="004F48D6" w:rsidRDefault="004F48D6" w:rsidP="0037729C">
            <w:pPr>
              <w:pStyle w:val="ListParagraph"/>
              <w:numPr>
                <w:ilvl w:val="0"/>
                <w:numId w:val="6"/>
              </w:numPr>
              <w:rPr>
                <w:sz w:val="20"/>
                <w:szCs w:val="20"/>
              </w:rPr>
            </w:pPr>
            <w:r>
              <w:rPr>
                <w:sz w:val="20"/>
                <w:szCs w:val="20"/>
              </w:rPr>
              <w:t xml:space="preserve">Projectors: </w:t>
            </w:r>
            <w:r w:rsidR="00EF64FF">
              <w:rPr>
                <w:sz w:val="20"/>
                <w:szCs w:val="20"/>
              </w:rPr>
              <w:t>2</w:t>
            </w:r>
          </w:p>
          <w:p w14:paraId="1F97CCAE" w14:textId="154C5D88" w:rsidR="00EF64FF" w:rsidRDefault="00EF64FF" w:rsidP="0037729C">
            <w:pPr>
              <w:pStyle w:val="ListParagraph"/>
              <w:numPr>
                <w:ilvl w:val="0"/>
                <w:numId w:val="6"/>
              </w:numPr>
              <w:rPr>
                <w:sz w:val="20"/>
                <w:szCs w:val="20"/>
              </w:rPr>
            </w:pPr>
            <w:r>
              <w:rPr>
                <w:sz w:val="20"/>
                <w:szCs w:val="20"/>
              </w:rPr>
              <w:t>LCD screens: 3</w:t>
            </w:r>
          </w:p>
          <w:p w14:paraId="1CAA25E9" w14:textId="3A4C3848" w:rsidR="004F48D6" w:rsidRPr="0037729C" w:rsidRDefault="005676D7" w:rsidP="0037729C">
            <w:pPr>
              <w:pStyle w:val="ListParagraph"/>
              <w:numPr>
                <w:ilvl w:val="0"/>
                <w:numId w:val="6"/>
              </w:numPr>
              <w:rPr>
                <w:sz w:val="20"/>
                <w:szCs w:val="20"/>
              </w:rPr>
            </w:pPr>
            <w:r>
              <w:rPr>
                <w:sz w:val="20"/>
                <w:szCs w:val="20"/>
              </w:rPr>
              <w:t xml:space="preserve">Cables, installation, transportation, etc. </w:t>
            </w:r>
          </w:p>
          <w:p w14:paraId="43B7E754" w14:textId="232D17A1" w:rsidR="0037729C" w:rsidRPr="0037729C" w:rsidRDefault="0037729C" w:rsidP="0037729C">
            <w:pPr>
              <w:rPr>
                <w:sz w:val="20"/>
                <w:szCs w:val="20"/>
              </w:rPr>
            </w:pPr>
          </w:p>
        </w:tc>
      </w:tr>
      <w:tr w:rsidR="0026256A" w14:paraId="7A8C3084" w14:textId="72887C55" w:rsidTr="00013D67">
        <w:tc>
          <w:tcPr>
            <w:tcW w:w="1655" w:type="dxa"/>
          </w:tcPr>
          <w:p w14:paraId="49F05A73" w14:textId="77777777" w:rsidR="0026256A" w:rsidRDefault="0026256A" w:rsidP="00776B26">
            <w:pPr>
              <w:rPr>
                <w:b/>
                <w:bCs/>
                <w:sz w:val="20"/>
                <w:szCs w:val="20"/>
              </w:rPr>
            </w:pPr>
            <w:r>
              <w:rPr>
                <w:b/>
                <w:bCs/>
                <w:sz w:val="20"/>
                <w:szCs w:val="20"/>
              </w:rPr>
              <w:t>Risk communication and community engagement</w:t>
            </w:r>
          </w:p>
          <w:p w14:paraId="24CAD7F4" w14:textId="77777777" w:rsidR="0026256A" w:rsidRDefault="0026256A" w:rsidP="00776B26">
            <w:pPr>
              <w:rPr>
                <w:b/>
                <w:bCs/>
                <w:sz w:val="20"/>
                <w:szCs w:val="20"/>
              </w:rPr>
            </w:pPr>
          </w:p>
          <w:p w14:paraId="14CB6DE1" w14:textId="77777777" w:rsidR="0026256A" w:rsidRPr="00870D4B" w:rsidRDefault="0026256A" w:rsidP="00776B26">
            <w:pPr>
              <w:rPr>
                <w:b/>
                <w:bCs/>
                <w:sz w:val="20"/>
                <w:szCs w:val="20"/>
              </w:rPr>
            </w:pPr>
          </w:p>
        </w:tc>
        <w:tc>
          <w:tcPr>
            <w:tcW w:w="2840" w:type="dxa"/>
          </w:tcPr>
          <w:p w14:paraId="5B431A17" w14:textId="71D7717C" w:rsidR="0026256A" w:rsidRDefault="0026256A" w:rsidP="00776B26">
            <w:pPr>
              <w:rPr>
                <w:sz w:val="20"/>
                <w:szCs w:val="20"/>
              </w:rPr>
            </w:pPr>
            <w:r>
              <w:rPr>
                <w:sz w:val="20"/>
                <w:szCs w:val="20"/>
              </w:rPr>
              <w:t>Development, adaptation, printing of the information materials</w:t>
            </w:r>
          </w:p>
          <w:p w14:paraId="384CDDE4" w14:textId="77777777" w:rsidR="0026256A" w:rsidRDefault="0026256A" w:rsidP="00776B26">
            <w:pPr>
              <w:rPr>
                <w:sz w:val="20"/>
                <w:szCs w:val="20"/>
              </w:rPr>
            </w:pPr>
          </w:p>
          <w:p w14:paraId="77E93F21" w14:textId="51F52ECB" w:rsidR="0026256A" w:rsidRDefault="0026256A" w:rsidP="00776B26">
            <w:pPr>
              <w:rPr>
                <w:sz w:val="20"/>
                <w:szCs w:val="20"/>
              </w:rPr>
            </w:pPr>
            <w:r>
              <w:rPr>
                <w:sz w:val="20"/>
                <w:szCs w:val="20"/>
              </w:rPr>
              <w:t>Production of regular press-releases, information briefs, organization of press-conferences</w:t>
            </w:r>
          </w:p>
          <w:p w14:paraId="4610FF7C" w14:textId="1525FFE8" w:rsidR="0026256A" w:rsidRDefault="0026256A" w:rsidP="00776B26">
            <w:pPr>
              <w:rPr>
                <w:sz w:val="20"/>
                <w:szCs w:val="20"/>
              </w:rPr>
            </w:pPr>
          </w:p>
          <w:p w14:paraId="6DD7222C" w14:textId="377B2783" w:rsidR="0026256A" w:rsidRDefault="0026256A" w:rsidP="00776B26">
            <w:pPr>
              <w:rPr>
                <w:sz w:val="20"/>
                <w:szCs w:val="20"/>
              </w:rPr>
            </w:pPr>
            <w:r>
              <w:rPr>
                <w:sz w:val="20"/>
                <w:szCs w:val="20"/>
              </w:rPr>
              <w:t xml:space="preserve">Engagement of opinion leaders for community mobilization </w:t>
            </w:r>
          </w:p>
          <w:p w14:paraId="0AA7A589" w14:textId="5C861D2F" w:rsidR="007649AD" w:rsidRDefault="007649AD" w:rsidP="00776B26">
            <w:pPr>
              <w:rPr>
                <w:sz w:val="20"/>
                <w:szCs w:val="20"/>
              </w:rPr>
            </w:pPr>
          </w:p>
          <w:p w14:paraId="201A788E" w14:textId="0ECA9138" w:rsidR="007649AD" w:rsidRDefault="007649AD" w:rsidP="00776B26">
            <w:pPr>
              <w:rPr>
                <w:sz w:val="20"/>
                <w:szCs w:val="20"/>
              </w:rPr>
            </w:pPr>
            <w:r>
              <w:rPr>
                <w:sz w:val="20"/>
                <w:szCs w:val="20"/>
              </w:rPr>
              <w:t>Recruitment of the local consultant</w:t>
            </w:r>
          </w:p>
          <w:p w14:paraId="4EBCBECD" w14:textId="39F09BC2" w:rsidR="0026256A" w:rsidRDefault="0026256A" w:rsidP="00776B26">
            <w:pPr>
              <w:rPr>
                <w:sz w:val="20"/>
                <w:szCs w:val="20"/>
              </w:rPr>
            </w:pPr>
          </w:p>
          <w:p w14:paraId="5E9440C9" w14:textId="018477D1" w:rsidR="0026256A" w:rsidRDefault="0026256A" w:rsidP="00776B26">
            <w:pPr>
              <w:rPr>
                <w:sz w:val="20"/>
                <w:szCs w:val="20"/>
              </w:rPr>
            </w:pPr>
            <w:r>
              <w:rPr>
                <w:sz w:val="20"/>
                <w:szCs w:val="20"/>
              </w:rPr>
              <w:t>Media monitoring on COVID-19</w:t>
            </w:r>
          </w:p>
          <w:p w14:paraId="4A27C3E2" w14:textId="77777777" w:rsidR="0026256A" w:rsidRDefault="0026256A" w:rsidP="00776B26">
            <w:pPr>
              <w:rPr>
                <w:sz w:val="20"/>
                <w:szCs w:val="20"/>
              </w:rPr>
            </w:pPr>
          </w:p>
          <w:p w14:paraId="72928858" w14:textId="0F454EA0" w:rsidR="0026256A" w:rsidRDefault="0026256A" w:rsidP="00776B26">
            <w:pPr>
              <w:rPr>
                <w:sz w:val="20"/>
                <w:szCs w:val="20"/>
              </w:rPr>
            </w:pPr>
            <w:r>
              <w:rPr>
                <w:sz w:val="20"/>
                <w:szCs w:val="20"/>
              </w:rPr>
              <w:t xml:space="preserve">Training of journalists on COVID-19 </w:t>
            </w:r>
          </w:p>
          <w:p w14:paraId="70E608C5" w14:textId="43EB53B2" w:rsidR="0026256A" w:rsidRDefault="0026256A" w:rsidP="00776B26">
            <w:pPr>
              <w:rPr>
                <w:sz w:val="20"/>
                <w:szCs w:val="20"/>
              </w:rPr>
            </w:pPr>
          </w:p>
          <w:p w14:paraId="35F69D52" w14:textId="08253A19" w:rsidR="0026256A" w:rsidRDefault="0026256A" w:rsidP="00776B26">
            <w:pPr>
              <w:rPr>
                <w:sz w:val="20"/>
                <w:szCs w:val="20"/>
              </w:rPr>
            </w:pPr>
            <w:r>
              <w:rPr>
                <w:sz w:val="20"/>
                <w:szCs w:val="20"/>
              </w:rPr>
              <w:t xml:space="preserve">Procurement of printing equipment for NCDC and </w:t>
            </w:r>
            <w:proofErr w:type="spellStart"/>
            <w:r>
              <w:rPr>
                <w:sz w:val="20"/>
                <w:szCs w:val="20"/>
              </w:rPr>
              <w:t>MoH</w:t>
            </w:r>
            <w:proofErr w:type="spellEnd"/>
            <w:r>
              <w:rPr>
                <w:sz w:val="20"/>
                <w:szCs w:val="20"/>
              </w:rPr>
              <w:t xml:space="preserve"> </w:t>
            </w:r>
          </w:p>
          <w:p w14:paraId="71094EDE" w14:textId="77777777" w:rsidR="0026256A" w:rsidRDefault="0026256A" w:rsidP="00776B26">
            <w:pPr>
              <w:rPr>
                <w:sz w:val="20"/>
                <w:szCs w:val="20"/>
              </w:rPr>
            </w:pPr>
          </w:p>
        </w:tc>
        <w:tc>
          <w:tcPr>
            <w:tcW w:w="2430" w:type="dxa"/>
          </w:tcPr>
          <w:p w14:paraId="0D237C49" w14:textId="4537341F" w:rsidR="0026256A" w:rsidRDefault="0026256A" w:rsidP="00776B26">
            <w:pPr>
              <w:rPr>
                <w:sz w:val="20"/>
                <w:szCs w:val="20"/>
              </w:rPr>
            </w:pPr>
            <w:r>
              <w:rPr>
                <w:sz w:val="20"/>
                <w:szCs w:val="20"/>
              </w:rPr>
              <w:lastRenderedPageBreak/>
              <w:t xml:space="preserve">The population is duly informed about COVID-19 including risk factors, self-protection means, </w:t>
            </w:r>
            <w:proofErr w:type="spellStart"/>
            <w:r>
              <w:rPr>
                <w:sz w:val="20"/>
                <w:szCs w:val="20"/>
              </w:rPr>
              <w:t>etc</w:t>
            </w:r>
            <w:proofErr w:type="spellEnd"/>
            <w:r>
              <w:rPr>
                <w:sz w:val="20"/>
                <w:szCs w:val="20"/>
              </w:rPr>
              <w:t xml:space="preserve">; media and community leaders are supportive to disseminating accurate messages to the population and facilitates public response. </w:t>
            </w:r>
          </w:p>
        </w:tc>
        <w:tc>
          <w:tcPr>
            <w:tcW w:w="990" w:type="dxa"/>
          </w:tcPr>
          <w:p w14:paraId="2563A3B5" w14:textId="09E0E1D1" w:rsidR="0026256A" w:rsidRDefault="0026256A" w:rsidP="00776B26">
            <w:pPr>
              <w:rPr>
                <w:sz w:val="20"/>
                <w:szCs w:val="20"/>
              </w:rPr>
            </w:pPr>
            <w:r>
              <w:rPr>
                <w:sz w:val="20"/>
                <w:szCs w:val="20"/>
              </w:rPr>
              <w:t>60,000</w:t>
            </w:r>
          </w:p>
        </w:tc>
        <w:tc>
          <w:tcPr>
            <w:tcW w:w="1146" w:type="dxa"/>
          </w:tcPr>
          <w:p w14:paraId="7916B7FF" w14:textId="5AB059FF" w:rsidR="0026256A" w:rsidRDefault="00A663E0" w:rsidP="00776B26">
            <w:pPr>
              <w:rPr>
                <w:sz w:val="20"/>
                <w:szCs w:val="20"/>
              </w:rPr>
            </w:pPr>
            <w:r>
              <w:rPr>
                <w:sz w:val="20"/>
                <w:szCs w:val="20"/>
              </w:rPr>
              <w:t>April -September 2020</w:t>
            </w:r>
          </w:p>
        </w:tc>
      </w:tr>
      <w:tr w:rsidR="00B37583" w14:paraId="7FD8A09E" w14:textId="77777777" w:rsidTr="005F191F">
        <w:tc>
          <w:tcPr>
            <w:tcW w:w="1655" w:type="dxa"/>
          </w:tcPr>
          <w:p w14:paraId="50C9EF64" w14:textId="77777777" w:rsidR="00B37583" w:rsidRDefault="00B37583" w:rsidP="00776B26">
            <w:pPr>
              <w:rPr>
                <w:b/>
                <w:bCs/>
                <w:sz w:val="20"/>
                <w:szCs w:val="20"/>
              </w:rPr>
            </w:pPr>
          </w:p>
        </w:tc>
        <w:tc>
          <w:tcPr>
            <w:tcW w:w="7406" w:type="dxa"/>
            <w:gridSpan w:val="4"/>
          </w:tcPr>
          <w:p w14:paraId="74A3EA2B" w14:textId="0C70533F" w:rsidR="00B37583" w:rsidRDefault="00B37583" w:rsidP="00776B26">
            <w:pPr>
              <w:rPr>
                <w:b/>
                <w:bCs/>
                <w:sz w:val="20"/>
                <w:szCs w:val="20"/>
              </w:rPr>
            </w:pPr>
            <w:r w:rsidRPr="00B37583">
              <w:rPr>
                <w:b/>
                <w:bCs/>
                <w:sz w:val="20"/>
                <w:szCs w:val="20"/>
              </w:rPr>
              <w:t>Procurement items:</w:t>
            </w:r>
          </w:p>
          <w:p w14:paraId="4C364C56" w14:textId="6A9B0734" w:rsidR="00B37583" w:rsidRDefault="00B37583" w:rsidP="00B37583">
            <w:pPr>
              <w:pStyle w:val="ListParagraph"/>
              <w:numPr>
                <w:ilvl w:val="0"/>
                <w:numId w:val="2"/>
              </w:numPr>
              <w:rPr>
                <w:sz w:val="20"/>
                <w:szCs w:val="20"/>
              </w:rPr>
            </w:pPr>
            <w:r w:rsidRPr="00B37583">
              <w:rPr>
                <w:sz w:val="20"/>
                <w:szCs w:val="20"/>
              </w:rPr>
              <w:t>Local consultant</w:t>
            </w:r>
            <w:r w:rsidR="00D77069">
              <w:rPr>
                <w:sz w:val="20"/>
                <w:szCs w:val="20"/>
              </w:rPr>
              <w:t xml:space="preserve"> (5 months)</w:t>
            </w:r>
            <w:r w:rsidRPr="00B37583">
              <w:rPr>
                <w:sz w:val="20"/>
                <w:szCs w:val="20"/>
              </w:rPr>
              <w:t>: 1</w:t>
            </w:r>
          </w:p>
          <w:p w14:paraId="40D62538" w14:textId="3DBF47A6" w:rsidR="00B37583" w:rsidRDefault="00B37583" w:rsidP="00B37583">
            <w:pPr>
              <w:pStyle w:val="ListParagraph"/>
              <w:numPr>
                <w:ilvl w:val="0"/>
                <w:numId w:val="2"/>
              </w:numPr>
              <w:rPr>
                <w:sz w:val="20"/>
                <w:szCs w:val="20"/>
              </w:rPr>
            </w:pPr>
            <w:r>
              <w:rPr>
                <w:sz w:val="20"/>
                <w:szCs w:val="20"/>
              </w:rPr>
              <w:t>Printing equipment: 5 workstations</w:t>
            </w:r>
          </w:p>
          <w:p w14:paraId="6E2C7076" w14:textId="58703679" w:rsidR="00B37583" w:rsidRDefault="00B37583" w:rsidP="00B37583">
            <w:pPr>
              <w:pStyle w:val="ListParagraph"/>
              <w:numPr>
                <w:ilvl w:val="0"/>
                <w:numId w:val="2"/>
              </w:numPr>
              <w:rPr>
                <w:sz w:val="20"/>
                <w:szCs w:val="20"/>
              </w:rPr>
            </w:pPr>
            <w:r>
              <w:rPr>
                <w:sz w:val="20"/>
                <w:szCs w:val="20"/>
              </w:rPr>
              <w:t>Consumables (paper, cartridges, etc</w:t>
            </w:r>
            <w:r w:rsidR="00D77069">
              <w:rPr>
                <w:sz w:val="20"/>
                <w:szCs w:val="20"/>
              </w:rPr>
              <w:t>.</w:t>
            </w:r>
            <w:bookmarkStart w:id="0" w:name="_GoBack"/>
            <w:bookmarkEnd w:id="0"/>
            <w:r>
              <w:rPr>
                <w:sz w:val="20"/>
                <w:szCs w:val="20"/>
              </w:rPr>
              <w:t>)</w:t>
            </w:r>
          </w:p>
          <w:p w14:paraId="0099144C" w14:textId="6478F402" w:rsidR="00B37583" w:rsidRDefault="00B37583" w:rsidP="00B37583">
            <w:pPr>
              <w:pStyle w:val="ListParagraph"/>
              <w:numPr>
                <w:ilvl w:val="0"/>
                <w:numId w:val="2"/>
              </w:numPr>
              <w:rPr>
                <w:sz w:val="20"/>
                <w:szCs w:val="20"/>
              </w:rPr>
            </w:pPr>
            <w:r>
              <w:rPr>
                <w:sz w:val="20"/>
                <w:szCs w:val="20"/>
              </w:rPr>
              <w:t>Printing and editing services</w:t>
            </w:r>
          </w:p>
          <w:p w14:paraId="1ACB2F0C" w14:textId="783DC462" w:rsidR="00B37583" w:rsidRPr="00B37583" w:rsidRDefault="00B37583" w:rsidP="00B37583">
            <w:pPr>
              <w:rPr>
                <w:sz w:val="20"/>
                <w:szCs w:val="20"/>
              </w:rPr>
            </w:pPr>
          </w:p>
        </w:tc>
      </w:tr>
    </w:tbl>
    <w:p w14:paraId="4604F614" w14:textId="47612DF7" w:rsidR="00B7016D" w:rsidRDefault="00B7016D">
      <w:pPr>
        <w:rPr>
          <w:rFonts w:ascii="Times New Roman" w:eastAsia="Times New Roman" w:hAnsi="Times New Roman" w:cs="Times New Roman"/>
          <w:b/>
          <w:bCs/>
        </w:rPr>
      </w:pPr>
    </w:p>
    <w:p w14:paraId="2FE412FC" w14:textId="77777777" w:rsidR="00E63E58" w:rsidRPr="00983EAD" w:rsidRDefault="00E63E58">
      <w:pPr>
        <w:rPr>
          <w:rFonts w:ascii="Times New Roman" w:eastAsia="Times New Roman" w:hAnsi="Times New Roman" w:cs="Times New Roman"/>
          <w:b/>
          <w:bCs/>
        </w:rPr>
      </w:pPr>
    </w:p>
    <w:p w14:paraId="02706285" w14:textId="03484AC9" w:rsidR="001B1106" w:rsidRDefault="001B1106" w:rsidP="001B1106">
      <w:pPr>
        <w:rPr>
          <w:b/>
          <w:i/>
          <w:iCs/>
          <w:sz w:val="20"/>
          <w:szCs w:val="20"/>
        </w:rPr>
      </w:pPr>
      <w:r>
        <w:rPr>
          <w:b/>
          <w:sz w:val="20"/>
          <w:szCs w:val="20"/>
        </w:rPr>
        <w:t>2. Coordination with other USAID partners/ organizations engaged in the COVID19 (</w:t>
      </w:r>
      <w:r w:rsidRPr="001B1106">
        <w:rPr>
          <w:b/>
          <w:i/>
          <w:iCs/>
          <w:sz w:val="20"/>
          <w:szCs w:val="20"/>
        </w:rPr>
        <w:t xml:space="preserve">list partners and coordinating mechanisms): </w:t>
      </w:r>
    </w:p>
    <w:p w14:paraId="0769B579" w14:textId="7D639C20" w:rsidR="007A73C7" w:rsidRDefault="007A73C7" w:rsidP="001B1106">
      <w:pPr>
        <w:rPr>
          <w:b/>
          <w:i/>
          <w:iCs/>
          <w:sz w:val="20"/>
          <w:szCs w:val="20"/>
        </w:rPr>
      </w:pPr>
    </w:p>
    <w:tbl>
      <w:tblPr>
        <w:tblStyle w:val="TableGrid"/>
        <w:tblW w:w="9355" w:type="dxa"/>
        <w:tblLook w:val="04A0" w:firstRow="1" w:lastRow="0" w:firstColumn="1" w:lastColumn="0" w:noHBand="0" w:noVBand="1"/>
      </w:tblPr>
      <w:tblGrid>
        <w:gridCol w:w="2695"/>
        <w:gridCol w:w="4230"/>
        <w:gridCol w:w="2430"/>
      </w:tblGrid>
      <w:tr w:rsidR="007A73C7" w:rsidRPr="003E51CB" w14:paraId="1BC28F9B" w14:textId="77777777" w:rsidTr="003F7373">
        <w:tc>
          <w:tcPr>
            <w:tcW w:w="2695" w:type="dxa"/>
            <w:shd w:val="clear" w:color="auto" w:fill="DBE5F1" w:themeFill="accent1" w:themeFillTint="33"/>
          </w:tcPr>
          <w:p w14:paraId="57FD9FE9" w14:textId="77777777" w:rsidR="007A73C7" w:rsidRPr="00E93391" w:rsidRDefault="007A73C7" w:rsidP="003F7373">
            <w:pPr>
              <w:rPr>
                <w:b/>
                <w:bCs/>
                <w:sz w:val="20"/>
                <w:szCs w:val="20"/>
              </w:rPr>
            </w:pPr>
            <w:r w:rsidRPr="00E93391">
              <w:rPr>
                <w:b/>
                <w:bCs/>
                <w:sz w:val="20"/>
                <w:szCs w:val="20"/>
              </w:rPr>
              <w:t>Partners</w:t>
            </w:r>
          </w:p>
        </w:tc>
        <w:tc>
          <w:tcPr>
            <w:tcW w:w="4230" w:type="dxa"/>
            <w:shd w:val="clear" w:color="auto" w:fill="DBE5F1" w:themeFill="accent1" w:themeFillTint="33"/>
          </w:tcPr>
          <w:p w14:paraId="37EC86F6" w14:textId="77777777" w:rsidR="007A73C7" w:rsidRDefault="007A73C7" w:rsidP="003F7373">
            <w:pPr>
              <w:rPr>
                <w:b/>
                <w:bCs/>
                <w:sz w:val="20"/>
                <w:szCs w:val="20"/>
              </w:rPr>
            </w:pPr>
            <w:r w:rsidRPr="00E93391">
              <w:rPr>
                <w:b/>
                <w:bCs/>
                <w:sz w:val="20"/>
                <w:szCs w:val="20"/>
              </w:rPr>
              <w:t>Coordinating mechanisms</w:t>
            </w:r>
          </w:p>
          <w:p w14:paraId="080252A1" w14:textId="77777777" w:rsidR="007A73C7" w:rsidRPr="00E93391" w:rsidRDefault="007A73C7" w:rsidP="003F7373">
            <w:pPr>
              <w:rPr>
                <w:b/>
                <w:bCs/>
                <w:sz w:val="20"/>
                <w:szCs w:val="20"/>
              </w:rPr>
            </w:pPr>
          </w:p>
        </w:tc>
        <w:tc>
          <w:tcPr>
            <w:tcW w:w="2430" w:type="dxa"/>
            <w:shd w:val="clear" w:color="auto" w:fill="DBE5F1" w:themeFill="accent1" w:themeFillTint="33"/>
          </w:tcPr>
          <w:p w14:paraId="5C2893FF" w14:textId="77777777" w:rsidR="007A73C7" w:rsidRPr="00E93391" w:rsidRDefault="007A73C7" w:rsidP="003F7373">
            <w:pPr>
              <w:rPr>
                <w:b/>
                <w:bCs/>
                <w:sz w:val="20"/>
                <w:szCs w:val="20"/>
              </w:rPr>
            </w:pPr>
            <w:r w:rsidRPr="00E93391">
              <w:rPr>
                <w:b/>
                <w:bCs/>
                <w:sz w:val="20"/>
                <w:szCs w:val="20"/>
              </w:rPr>
              <w:t>Focus area of work</w:t>
            </w:r>
          </w:p>
        </w:tc>
      </w:tr>
      <w:tr w:rsidR="007A73C7" w:rsidRPr="003E51CB" w14:paraId="5B1881CC" w14:textId="77777777" w:rsidTr="003F7373">
        <w:tc>
          <w:tcPr>
            <w:tcW w:w="2695" w:type="dxa"/>
          </w:tcPr>
          <w:p w14:paraId="120BEB5A" w14:textId="77777777" w:rsidR="007A73C7" w:rsidRDefault="007A73C7" w:rsidP="003F7373">
            <w:pPr>
              <w:rPr>
                <w:sz w:val="20"/>
                <w:szCs w:val="20"/>
              </w:rPr>
            </w:pPr>
            <w:r>
              <w:rPr>
                <w:sz w:val="20"/>
                <w:szCs w:val="20"/>
              </w:rPr>
              <w:t xml:space="preserve">USAID/Georgia Programs: IFRC, ACCESS, PITA, M-TAG, </w:t>
            </w:r>
            <w:proofErr w:type="spellStart"/>
            <w:r>
              <w:rPr>
                <w:sz w:val="20"/>
                <w:szCs w:val="20"/>
              </w:rPr>
              <w:t>PROLoG</w:t>
            </w:r>
            <w:proofErr w:type="spellEnd"/>
            <w:r>
              <w:rPr>
                <w:sz w:val="20"/>
                <w:szCs w:val="20"/>
              </w:rPr>
              <w:t>, GGI, WASH, Horizons.</w:t>
            </w:r>
          </w:p>
          <w:p w14:paraId="6E509E74" w14:textId="77777777" w:rsidR="007A73C7" w:rsidRPr="003E51CB" w:rsidRDefault="007A73C7" w:rsidP="003F7373">
            <w:pPr>
              <w:rPr>
                <w:sz w:val="20"/>
                <w:szCs w:val="20"/>
              </w:rPr>
            </w:pPr>
          </w:p>
        </w:tc>
        <w:tc>
          <w:tcPr>
            <w:tcW w:w="4230" w:type="dxa"/>
          </w:tcPr>
          <w:p w14:paraId="25DBC247" w14:textId="77777777" w:rsidR="007A73C7" w:rsidRPr="003E51CB" w:rsidRDefault="007A73C7" w:rsidP="003F7373">
            <w:pPr>
              <w:rPr>
                <w:sz w:val="20"/>
                <w:szCs w:val="20"/>
              </w:rPr>
            </w:pPr>
            <w:r>
              <w:rPr>
                <w:sz w:val="20"/>
                <w:szCs w:val="20"/>
              </w:rPr>
              <w:t>Regular liaison between WHO and the USAID/Georgia Programs Implementing Partners (IPs)</w:t>
            </w:r>
          </w:p>
        </w:tc>
        <w:tc>
          <w:tcPr>
            <w:tcW w:w="2430" w:type="dxa"/>
          </w:tcPr>
          <w:p w14:paraId="7AB8D443" w14:textId="77777777" w:rsidR="007A73C7" w:rsidRDefault="007A73C7" w:rsidP="003F7373">
            <w:pPr>
              <w:rPr>
                <w:sz w:val="20"/>
                <w:szCs w:val="20"/>
              </w:rPr>
            </w:pPr>
            <w:r>
              <w:rPr>
                <w:sz w:val="20"/>
                <w:szCs w:val="20"/>
              </w:rPr>
              <w:t>Providing technical expertise to USAID IP’s work on risk communication. Reviewing and clearing information materials reproduced by IPs for technical accuracy.</w:t>
            </w:r>
          </w:p>
          <w:p w14:paraId="1FB41091" w14:textId="77777777" w:rsidR="007A73C7" w:rsidRDefault="007A73C7" w:rsidP="003F7373">
            <w:pPr>
              <w:rPr>
                <w:sz w:val="20"/>
                <w:szCs w:val="20"/>
              </w:rPr>
            </w:pPr>
            <w:r>
              <w:rPr>
                <w:sz w:val="20"/>
                <w:szCs w:val="20"/>
              </w:rPr>
              <w:t>Coordinating efforts with IPs to engage and build capacity of opinion leaders within communities, media professionals, and government authorities.</w:t>
            </w:r>
          </w:p>
          <w:p w14:paraId="59EC58D3" w14:textId="77777777" w:rsidR="007A73C7" w:rsidRDefault="007A73C7" w:rsidP="003F7373">
            <w:pPr>
              <w:rPr>
                <w:sz w:val="20"/>
                <w:szCs w:val="20"/>
              </w:rPr>
            </w:pPr>
          </w:p>
        </w:tc>
      </w:tr>
      <w:tr w:rsidR="007A73C7" w:rsidRPr="00586471" w14:paraId="55CBC84E" w14:textId="77777777" w:rsidTr="003F7373">
        <w:tc>
          <w:tcPr>
            <w:tcW w:w="2695" w:type="dxa"/>
          </w:tcPr>
          <w:p w14:paraId="56386592" w14:textId="77777777" w:rsidR="007A73C7" w:rsidRDefault="007A73C7" w:rsidP="003F7373">
            <w:pPr>
              <w:rPr>
                <w:sz w:val="20"/>
                <w:szCs w:val="20"/>
              </w:rPr>
            </w:pPr>
            <w:r>
              <w:rPr>
                <w:sz w:val="20"/>
                <w:szCs w:val="20"/>
              </w:rPr>
              <w:t>USAID/Georgia Horizons program</w:t>
            </w:r>
          </w:p>
          <w:p w14:paraId="4C9D728C" w14:textId="77777777" w:rsidR="007A73C7" w:rsidRDefault="007A73C7" w:rsidP="003F7373">
            <w:pPr>
              <w:rPr>
                <w:sz w:val="20"/>
                <w:szCs w:val="20"/>
              </w:rPr>
            </w:pPr>
          </w:p>
        </w:tc>
        <w:tc>
          <w:tcPr>
            <w:tcW w:w="4230" w:type="dxa"/>
          </w:tcPr>
          <w:p w14:paraId="4F403CE6" w14:textId="77777777" w:rsidR="007A73C7" w:rsidRDefault="007A73C7" w:rsidP="003F7373">
            <w:pPr>
              <w:rPr>
                <w:sz w:val="20"/>
                <w:szCs w:val="20"/>
              </w:rPr>
            </w:pPr>
            <w:r>
              <w:rPr>
                <w:sz w:val="20"/>
                <w:szCs w:val="20"/>
              </w:rPr>
              <w:t xml:space="preserve">Regular liaison between WHO and the USAID Horizons IP – UNDP </w:t>
            </w:r>
          </w:p>
        </w:tc>
        <w:tc>
          <w:tcPr>
            <w:tcW w:w="2430" w:type="dxa"/>
          </w:tcPr>
          <w:p w14:paraId="6E6D2DCD" w14:textId="77777777" w:rsidR="007A73C7" w:rsidRDefault="007A73C7" w:rsidP="003F7373">
            <w:pPr>
              <w:spacing w:before="100" w:beforeAutospacing="1" w:after="100" w:afterAutospacing="1"/>
              <w:rPr>
                <w:sz w:val="20"/>
                <w:szCs w:val="20"/>
              </w:rPr>
            </w:pPr>
            <w:r>
              <w:rPr>
                <w:sz w:val="20"/>
                <w:szCs w:val="20"/>
              </w:rPr>
              <w:t>Coordination with the USAID Horizons program in Abkhazia, related to laboratory, IPC and Case Management areas of work.</w:t>
            </w:r>
          </w:p>
          <w:p w14:paraId="6D83010A" w14:textId="77777777" w:rsidR="007A73C7" w:rsidRPr="00586471" w:rsidRDefault="007A73C7" w:rsidP="003F7373">
            <w:pPr>
              <w:spacing w:before="100" w:beforeAutospacing="1" w:after="100" w:afterAutospacing="1"/>
              <w:rPr>
                <w:sz w:val="20"/>
                <w:szCs w:val="20"/>
              </w:rPr>
            </w:pPr>
          </w:p>
        </w:tc>
      </w:tr>
      <w:tr w:rsidR="007A73C7" w:rsidRPr="00586471" w14:paraId="79E5CA1F" w14:textId="77777777" w:rsidTr="003F7373">
        <w:tc>
          <w:tcPr>
            <w:tcW w:w="2695" w:type="dxa"/>
          </w:tcPr>
          <w:p w14:paraId="05D032EE" w14:textId="77777777" w:rsidR="007A73C7" w:rsidRPr="003E51CB" w:rsidRDefault="007A73C7" w:rsidP="003F7373">
            <w:pPr>
              <w:rPr>
                <w:sz w:val="20"/>
                <w:szCs w:val="20"/>
              </w:rPr>
            </w:pPr>
            <w:r>
              <w:rPr>
                <w:sz w:val="20"/>
                <w:szCs w:val="20"/>
              </w:rPr>
              <w:t>US Centers for Disease Control (CDC)</w:t>
            </w:r>
          </w:p>
        </w:tc>
        <w:tc>
          <w:tcPr>
            <w:tcW w:w="4230" w:type="dxa"/>
          </w:tcPr>
          <w:p w14:paraId="1F3E78BB" w14:textId="77777777" w:rsidR="007A73C7" w:rsidRPr="003E51CB" w:rsidRDefault="007A73C7" w:rsidP="003F7373">
            <w:pPr>
              <w:rPr>
                <w:sz w:val="20"/>
                <w:szCs w:val="20"/>
              </w:rPr>
            </w:pPr>
            <w:r>
              <w:rPr>
                <w:sz w:val="20"/>
                <w:szCs w:val="20"/>
              </w:rPr>
              <w:t>Regular liaison between WHO and CDC</w:t>
            </w:r>
          </w:p>
        </w:tc>
        <w:tc>
          <w:tcPr>
            <w:tcW w:w="2430" w:type="dxa"/>
          </w:tcPr>
          <w:p w14:paraId="3AAA4E1D" w14:textId="77777777" w:rsidR="007A73C7" w:rsidRDefault="007A73C7" w:rsidP="003F7373">
            <w:pPr>
              <w:spacing w:before="100" w:beforeAutospacing="1" w:after="100" w:afterAutospacing="1"/>
              <w:rPr>
                <w:sz w:val="20"/>
                <w:szCs w:val="20"/>
              </w:rPr>
            </w:pPr>
            <w:r w:rsidRPr="00586471">
              <w:rPr>
                <w:sz w:val="20"/>
                <w:szCs w:val="20"/>
              </w:rPr>
              <w:t>Coordination with CDC to expand</w:t>
            </w:r>
            <w:r w:rsidRPr="00105795">
              <w:rPr>
                <w:sz w:val="20"/>
                <w:szCs w:val="20"/>
              </w:rPr>
              <w:t xml:space="preserve"> </w:t>
            </w:r>
            <w:r>
              <w:rPr>
                <w:sz w:val="20"/>
                <w:szCs w:val="20"/>
              </w:rPr>
              <w:t xml:space="preserve">to health centers </w:t>
            </w:r>
            <w:r w:rsidRPr="00586471">
              <w:rPr>
                <w:sz w:val="20"/>
                <w:szCs w:val="20"/>
              </w:rPr>
              <w:t xml:space="preserve">video </w:t>
            </w:r>
            <w:r w:rsidRPr="00105795">
              <w:rPr>
                <w:sz w:val="20"/>
                <w:szCs w:val="20"/>
              </w:rPr>
              <w:t>trainings</w:t>
            </w:r>
            <w:r w:rsidRPr="00586471">
              <w:rPr>
                <w:sz w:val="20"/>
                <w:szCs w:val="20"/>
              </w:rPr>
              <w:t xml:space="preserve"> jointly </w:t>
            </w:r>
            <w:r w:rsidRPr="00586471">
              <w:rPr>
                <w:sz w:val="20"/>
                <w:szCs w:val="20"/>
              </w:rPr>
              <w:lastRenderedPageBreak/>
              <w:t>developed</w:t>
            </w:r>
            <w:r w:rsidRPr="00105795">
              <w:rPr>
                <w:sz w:val="20"/>
                <w:szCs w:val="20"/>
              </w:rPr>
              <w:t xml:space="preserve"> with the MOH on IPC and the appropriate PPE</w:t>
            </w:r>
            <w:r w:rsidRPr="00586471">
              <w:rPr>
                <w:sz w:val="20"/>
                <w:szCs w:val="20"/>
              </w:rPr>
              <w:t xml:space="preserve"> use.</w:t>
            </w:r>
            <w:r>
              <w:rPr>
                <w:sz w:val="20"/>
                <w:szCs w:val="20"/>
              </w:rPr>
              <w:t xml:space="preserve"> Engaging with CDC to review</w:t>
            </w:r>
            <w:r w:rsidRPr="00105795">
              <w:rPr>
                <w:sz w:val="20"/>
                <w:szCs w:val="20"/>
              </w:rPr>
              <w:t xml:space="preserve"> translations of </w:t>
            </w:r>
            <w:r>
              <w:rPr>
                <w:sz w:val="20"/>
                <w:szCs w:val="20"/>
              </w:rPr>
              <w:t xml:space="preserve">the risk communications </w:t>
            </w:r>
            <w:r w:rsidRPr="00105795">
              <w:rPr>
                <w:sz w:val="20"/>
                <w:szCs w:val="20"/>
              </w:rPr>
              <w:t xml:space="preserve">materials that CDC HQ has developed.  </w:t>
            </w:r>
          </w:p>
          <w:p w14:paraId="32838082" w14:textId="77777777" w:rsidR="007A73C7" w:rsidRDefault="007A73C7" w:rsidP="003F7373">
            <w:pPr>
              <w:spacing w:before="100" w:beforeAutospacing="1" w:after="100" w:afterAutospacing="1"/>
              <w:rPr>
                <w:sz w:val="20"/>
                <w:szCs w:val="20"/>
              </w:rPr>
            </w:pPr>
          </w:p>
        </w:tc>
      </w:tr>
      <w:tr w:rsidR="007A73C7" w:rsidRPr="003E51CB" w14:paraId="461CF34B" w14:textId="77777777" w:rsidTr="003F7373">
        <w:tc>
          <w:tcPr>
            <w:tcW w:w="2695" w:type="dxa"/>
          </w:tcPr>
          <w:p w14:paraId="7F8811BA" w14:textId="77777777" w:rsidR="007A73C7" w:rsidRPr="003E51CB" w:rsidRDefault="007A73C7" w:rsidP="003F7373">
            <w:pPr>
              <w:rPr>
                <w:sz w:val="20"/>
                <w:szCs w:val="20"/>
              </w:rPr>
            </w:pPr>
            <w:r>
              <w:rPr>
                <w:sz w:val="20"/>
                <w:szCs w:val="20"/>
              </w:rPr>
              <w:lastRenderedPageBreak/>
              <w:t>US Defense Threat Reduction Agency (DTRA)</w:t>
            </w:r>
          </w:p>
        </w:tc>
        <w:tc>
          <w:tcPr>
            <w:tcW w:w="4230" w:type="dxa"/>
          </w:tcPr>
          <w:p w14:paraId="221D0030" w14:textId="77777777" w:rsidR="007A73C7" w:rsidRPr="003E51CB" w:rsidRDefault="007A73C7" w:rsidP="003F7373">
            <w:pPr>
              <w:rPr>
                <w:sz w:val="20"/>
                <w:szCs w:val="20"/>
              </w:rPr>
            </w:pPr>
            <w:r>
              <w:rPr>
                <w:sz w:val="20"/>
                <w:szCs w:val="20"/>
              </w:rPr>
              <w:t>Regular liaison between WHO and the DTRA</w:t>
            </w:r>
          </w:p>
        </w:tc>
        <w:tc>
          <w:tcPr>
            <w:tcW w:w="2430" w:type="dxa"/>
          </w:tcPr>
          <w:p w14:paraId="4D9CEF67" w14:textId="77777777" w:rsidR="007A73C7" w:rsidRDefault="007A73C7" w:rsidP="003F7373">
            <w:pPr>
              <w:rPr>
                <w:sz w:val="20"/>
                <w:szCs w:val="20"/>
              </w:rPr>
            </w:pPr>
            <w:r w:rsidRPr="00586471">
              <w:rPr>
                <w:sz w:val="20"/>
                <w:szCs w:val="20"/>
              </w:rPr>
              <w:t xml:space="preserve">Coordinating with </w:t>
            </w:r>
            <w:r w:rsidRPr="00105795">
              <w:rPr>
                <w:sz w:val="20"/>
                <w:szCs w:val="20"/>
              </w:rPr>
              <w:t xml:space="preserve">DTRA </w:t>
            </w:r>
            <w:r>
              <w:rPr>
                <w:sz w:val="20"/>
                <w:szCs w:val="20"/>
              </w:rPr>
              <w:t>on building capacity of the Public</w:t>
            </w:r>
            <w:r w:rsidRPr="00105795">
              <w:rPr>
                <w:sz w:val="20"/>
                <w:szCs w:val="20"/>
              </w:rPr>
              <w:t xml:space="preserve"> </w:t>
            </w:r>
            <w:r>
              <w:rPr>
                <w:sz w:val="20"/>
                <w:szCs w:val="20"/>
              </w:rPr>
              <w:t>H</w:t>
            </w:r>
            <w:r w:rsidRPr="00105795">
              <w:rPr>
                <w:sz w:val="20"/>
                <w:szCs w:val="20"/>
              </w:rPr>
              <w:t>ealth E</w:t>
            </w:r>
            <w:r>
              <w:rPr>
                <w:sz w:val="20"/>
                <w:szCs w:val="20"/>
              </w:rPr>
              <w:t xml:space="preserve">mergency </w:t>
            </w:r>
            <w:r w:rsidRPr="00105795">
              <w:rPr>
                <w:sz w:val="20"/>
                <w:szCs w:val="20"/>
              </w:rPr>
              <w:t>O</w:t>
            </w:r>
            <w:r>
              <w:rPr>
                <w:sz w:val="20"/>
                <w:szCs w:val="20"/>
              </w:rPr>
              <w:t xml:space="preserve">perations </w:t>
            </w:r>
            <w:r w:rsidRPr="00105795">
              <w:rPr>
                <w:sz w:val="20"/>
                <w:szCs w:val="20"/>
              </w:rPr>
              <w:t>C</w:t>
            </w:r>
            <w:r>
              <w:rPr>
                <w:sz w:val="20"/>
                <w:szCs w:val="20"/>
              </w:rPr>
              <w:t>enter (EOC).</w:t>
            </w:r>
          </w:p>
          <w:p w14:paraId="18992494" w14:textId="77777777" w:rsidR="007A73C7" w:rsidRDefault="007A73C7" w:rsidP="003F7373">
            <w:pPr>
              <w:rPr>
                <w:sz w:val="20"/>
                <w:szCs w:val="20"/>
              </w:rPr>
            </w:pPr>
          </w:p>
        </w:tc>
      </w:tr>
      <w:tr w:rsidR="007A73C7" w:rsidRPr="003E51CB" w14:paraId="1E05BBD7" w14:textId="77777777" w:rsidTr="003F7373">
        <w:tc>
          <w:tcPr>
            <w:tcW w:w="2695" w:type="dxa"/>
          </w:tcPr>
          <w:p w14:paraId="5FAE608E" w14:textId="77777777" w:rsidR="007A73C7" w:rsidRPr="003E51CB" w:rsidRDefault="007A73C7" w:rsidP="003F7373">
            <w:pPr>
              <w:rPr>
                <w:sz w:val="20"/>
                <w:szCs w:val="20"/>
              </w:rPr>
            </w:pPr>
            <w:r w:rsidRPr="003E51CB">
              <w:rPr>
                <w:sz w:val="20"/>
                <w:szCs w:val="20"/>
              </w:rPr>
              <w:t>UN Country Team</w:t>
            </w:r>
          </w:p>
        </w:tc>
        <w:tc>
          <w:tcPr>
            <w:tcW w:w="4230" w:type="dxa"/>
          </w:tcPr>
          <w:p w14:paraId="3FBB1F66" w14:textId="77777777" w:rsidR="007A73C7" w:rsidRPr="003E51CB" w:rsidRDefault="007A73C7" w:rsidP="003F7373">
            <w:pPr>
              <w:rPr>
                <w:sz w:val="20"/>
                <w:szCs w:val="20"/>
              </w:rPr>
            </w:pPr>
            <w:r w:rsidRPr="003E51CB">
              <w:rPr>
                <w:sz w:val="20"/>
                <w:szCs w:val="20"/>
              </w:rPr>
              <w:t xml:space="preserve">Under the overall lead of the UN Resident Coordinator and with Technical lead of WHO, UN agencies </w:t>
            </w:r>
          </w:p>
        </w:tc>
        <w:tc>
          <w:tcPr>
            <w:tcW w:w="2430" w:type="dxa"/>
            <w:vMerge w:val="restart"/>
          </w:tcPr>
          <w:p w14:paraId="08B0508B" w14:textId="77777777" w:rsidR="007A73C7" w:rsidRDefault="007A73C7" w:rsidP="003F7373">
            <w:pPr>
              <w:rPr>
                <w:sz w:val="20"/>
                <w:szCs w:val="20"/>
              </w:rPr>
            </w:pPr>
            <w:r>
              <w:rPr>
                <w:sz w:val="20"/>
                <w:szCs w:val="20"/>
              </w:rPr>
              <w:t>Coordination of support to the Government of Georgia with response to COVID-19. Assessing the needs and establishing possibilities to support the response.</w:t>
            </w:r>
          </w:p>
          <w:p w14:paraId="6F0E98B8" w14:textId="77777777" w:rsidR="007A73C7" w:rsidRPr="003E51CB" w:rsidRDefault="007A73C7" w:rsidP="003F7373">
            <w:pPr>
              <w:rPr>
                <w:sz w:val="20"/>
                <w:szCs w:val="20"/>
              </w:rPr>
            </w:pPr>
          </w:p>
        </w:tc>
      </w:tr>
      <w:tr w:rsidR="007A73C7" w:rsidRPr="003E51CB" w14:paraId="0EE990FB" w14:textId="77777777" w:rsidTr="003F7373">
        <w:tc>
          <w:tcPr>
            <w:tcW w:w="2695" w:type="dxa"/>
          </w:tcPr>
          <w:p w14:paraId="5D03D748" w14:textId="77777777" w:rsidR="007A73C7" w:rsidRPr="003E51CB" w:rsidRDefault="007A73C7" w:rsidP="003F7373">
            <w:pPr>
              <w:rPr>
                <w:sz w:val="20"/>
                <w:szCs w:val="20"/>
              </w:rPr>
            </w:pPr>
            <w:r w:rsidRPr="003E51CB">
              <w:rPr>
                <w:sz w:val="20"/>
                <w:szCs w:val="20"/>
              </w:rPr>
              <w:t xml:space="preserve">Disaster Management Country Team </w:t>
            </w:r>
          </w:p>
        </w:tc>
        <w:tc>
          <w:tcPr>
            <w:tcW w:w="4230" w:type="dxa"/>
          </w:tcPr>
          <w:p w14:paraId="7766DD7D" w14:textId="77777777" w:rsidR="007A73C7" w:rsidRDefault="007A73C7" w:rsidP="003F7373">
            <w:pPr>
              <w:rPr>
                <w:sz w:val="20"/>
                <w:szCs w:val="20"/>
              </w:rPr>
            </w:pPr>
            <w:r w:rsidRPr="003E51CB">
              <w:rPr>
                <w:sz w:val="20"/>
                <w:szCs w:val="20"/>
              </w:rPr>
              <w:t>Under UN Resident Coordinator,</w:t>
            </w:r>
            <w:r>
              <w:rPr>
                <w:sz w:val="20"/>
                <w:szCs w:val="20"/>
              </w:rPr>
              <w:t xml:space="preserve"> OCHA, WHO and UN agencies, with other stakeholders</w:t>
            </w:r>
          </w:p>
          <w:p w14:paraId="404BF9AC" w14:textId="77777777" w:rsidR="007A73C7" w:rsidRPr="003E51CB" w:rsidRDefault="007A73C7" w:rsidP="003F7373">
            <w:pPr>
              <w:rPr>
                <w:sz w:val="20"/>
                <w:szCs w:val="20"/>
              </w:rPr>
            </w:pPr>
          </w:p>
        </w:tc>
        <w:tc>
          <w:tcPr>
            <w:tcW w:w="2430" w:type="dxa"/>
            <w:vMerge/>
          </w:tcPr>
          <w:p w14:paraId="3DB61FAA" w14:textId="77777777" w:rsidR="007A73C7" w:rsidRPr="003E51CB" w:rsidRDefault="007A73C7" w:rsidP="003F7373">
            <w:pPr>
              <w:rPr>
                <w:sz w:val="20"/>
                <w:szCs w:val="20"/>
              </w:rPr>
            </w:pPr>
          </w:p>
        </w:tc>
      </w:tr>
      <w:tr w:rsidR="007A73C7" w:rsidRPr="003E51CB" w14:paraId="4F20B7EF" w14:textId="77777777" w:rsidTr="003F7373">
        <w:trPr>
          <w:trHeight w:val="485"/>
        </w:trPr>
        <w:tc>
          <w:tcPr>
            <w:tcW w:w="2695" w:type="dxa"/>
          </w:tcPr>
          <w:p w14:paraId="316BA6F4" w14:textId="77777777" w:rsidR="007A73C7" w:rsidRPr="003E51CB" w:rsidRDefault="007A73C7" w:rsidP="003F7373">
            <w:pPr>
              <w:rPr>
                <w:sz w:val="20"/>
                <w:szCs w:val="20"/>
              </w:rPr>
            </w:pPr>
            <w:r w:rsidRPr="007D65A7">
              <w:rPr>
                <w:sz w:val="20"/>
                <w:szCs w:val="20"/>
              </w:rPr>
              <w:t>UN COVID donor group</w:t>
            </w:r>
            <w:r>
              <w:rPr>
                <w:sz w:val="20"/>
                <w:szCs w:val="20"/>
              </w:rPr>
              <w:t xml:space="preserve"> </w:t>
            </w:r>
          </w:p>
        </w:tc>
        <w:tc>
          <w:tcPr>
            <w:tcW w:w="4230" w:type="dxa"/>
          </w:tcPr>
          <w:p w14:paraId="09F0BA35" w14:textId="77777777" w:rsidR="007A73C7" w:rsidRPr="003E51CB" w:rsidRDefault="007A73C7" w:rsidP="003F7373">
            <w:pPr>
              <w:rPr>
                <w:sz w:val="20"/>
                <w:szCs w:val="20"/>
              </w:rPr>
            </w:pPr>
          </w:p>
        </w:tc>
        <w:tc>
          <w:tcPr>
            <w:tcW w:w="2430" w:type="dxa"/>
            <w:vMerge/>
          </w:tcPr>
          <w:p w14:paraId="73243561" w14:textId="77777777" w:rsidR="007A73C7" w:rsidRPr="003E51CB" w:rsidRDefault="007A73C7" w:rsidP="003F7373">
            <w:pPr>
              <w:rPr>
                <w:sz w:val="20"/>
                <w:szCs w:val="20"/>
              </w:rPr>
            </w:pPr>
          </w:p>
        </w:tc>
      </w:tr>
      <w:tr w:rsidR="007A73C7" w:rsidRPr="003E51CB" w14:paraId="2285CDBB" w14:textId="77777777" w:rsidTr="003F7373">
        <w:tc>
          <w:tcPr>
            <w:tcW w:w="2695" w:type="dxa"/>
          </w:tcPr>
          <w:p w14:paraId="353D22AB" w14:textId="77777777" w:rsidR="007A73C7" w:rsidRDefault="007A73C7" w:rsidP="003F7373">
            <w:pPr>
              <w:rPr>
                <w:sz w:val="20"/>
                <w:szCs w:val="20"/>
              </w:rPr>
            </w:pPr>
            <w:r>
              <w:rPr>
                <w:sz w:val="20"/>
                <w:szCs w:val="20"/>
              </w:rPr>
              <w:t xml:space="preserve">Ministry of Internally Displaced Persons from the Occupied Territories, </w:t>
            </w:r>
            <w:proofErr w:type="spellStart"/>
            <w:r>
              <w:rPr>
                <w:sz w:val="20"/>
                <w:szCs w:val="20"/>
              </w:rPr>
              <w:t>Labour</w:t>
            </w:r>
            <w:proofErr w:type="spellEnd"/>
            <w:r>
              <w:rPr>
                <w:sz w:val="20"/>
                <w:szCs w:val="20"/>
              </w:rPr>
              <w:t>, Health and Social Affairs of Georgia</w:t>
            </w:r>
          </w:p>
          <w:p w14:paraId="0567C19B" w14:textId="77777777" w:rsidR="007A73C7" w:rsidRPr="003E51CB" w:rsidRDefault="007A73C7" w:rsidP="003F7373">
            <w:pPr>
              <w:rPr>
                <w:sz w:val="20"/>
                <w:szCs w:val="20"/>
              </w:rPr>
            </w:pPr>
          </w:p>
        </w:tc>
        <w:tc>
          <w:tcPr>
            <w:tcW w:w="4230" w:type="dxa"/>
          </w:tcPr>
          <w:p w14:paraId="787B15B9" w14:textId="77777777" w:rsidR="007A73C7" w:rsidRPr="003E51CB" w:rsidRDefault="007A73C7" w:rsidP="003F7373">
            <w:pPr>
              <w:rPr>
                <w:sz w:val="20"/>
                <w:szCs w:val="20"/>
              </w:rPr>
            </w:pPr>
            <w:r>
              <w:rPr>
                <w:sz w:val="20"/>
                <w:szCs w:val="20"/>
              </w:rPr>
              <w:t>Regular liaison between WHO and the Ministry</w:t>
            </w:r>
          </w:p>
        </w:tc>
        <w:tc>
          <w:tcPr>
            <w:tcW w:w="2430" w:type="dxa"/>
          </w:tcPr>
          <w:p w14:paraId="24FD3FD0" w14:textId="77777777" w:rsidR="007A73C7" w:rsidRPr="003E51CB" w:rsidRDefault="007A73C7" w:rsidP="003F7373">
            <w:pPr>
              <w:rPr>
                <w:sz w:val="20"/>
                <w:szCs w:val="20"/>
              </w:rPr>
            </w:pPr>
            <w:r>
              <w:rPr>
                <w:sz w:val="20"/>
                <w:szCs w:val="20"/>
              </w:rPr>
              <w:t xml:space="preserve">Updating current country’s needs with regard to national laboratories, infection prevention and control </w:t>
            </w:r>
          </w:p>
        </w:tc>
      </w:tr>
      <w:tr w:rsidR="007A73C7" w:rsidRPr="003E51CB" w14:paraId="3ED8EF7E" w14:textId="77777777" w:rsidTr="003F7373">
        <w:tc>
          <w:tcPr>
            <w:tcW w:w="2695" w:type="dxa"/>
          </w:tcPr>
          <w:p w14:paraId="02323722" w14:textId="77777777" w:rsidR="007A73C7" w:rsidRDefault="007A73C7" w:rsidP="003F7373">
            <w:pPr>
              <w:rPr>
                <w:sz w:val="20"/>
                <w:szCs w:val="20"/>
              </w:rPr>
            </w:pPr>
            <w:r>
              <w:rPr>
                <w:sz w:val="20"/>
                <w:szCs w:val="20"/>
              </w:rPr>
              <w:t xml:space="preserve">National Center for Disease Control and Public Health of Georgia </w:t>
            </w:r>
          </w:p>
          <w:p w14:paraId="5B79CFAB" w14:textId="77777777" w:rsidR="007A73C7" w:rsidRDefault="007A73C7" w:rsidP="003F7373">
            <w:pPr>
              <w:rPr>
                <w:sz w:val="20"/>
                <w:szCs w:val="20"/>
              </w:rPr>
            </w:pPr>
          </w:p>
        </w:tc>
        <w:tc>
          <w:tcPr>
            <w:tcW w:w="4230" w:type="dxa"/>
          </w:tcPr>
          <w:p w14:paraId="6B20B56D" w14:textId="77777777" w:rsidR="007A73C7" w:rsidRPr="003E51CB" w:rsidRDefault="007A73C7" w:rsidP="003F7373">
            <w:pPr>
              <w:rPr>
                <w:sz w:val="20"/>
                <w:szCs w:val="20"/>
              </w:rPr>
            </w:pPr>
            <w:r>
              <w:rPr>
                <w:sz w:val="20"/>
                <w:szCs w:val="20"/>
              </w:rPr>
              <w:t>Regular liaison between WHO and the NCDC</w:t>
            </w:r>
          </w:p>
        </w:tc>
        <w:tc>
          <w:tcPr>
            <w:tcW w:w="2430" w:type="dxa"/>
          </w:tcPr>
          <w:p w14:paraId="60DD136D" w14:textId="77777777" w:rsidR="007A73C7" w:rsidRDefault="007A73C7" w:rsidP="003F7373">
            <w:pPr>
              <w:rPr>
                <w:sz w:val="20"/>
                <w:szCs w:val="20"/>
              </w:rPr>
            </w:pPr>
            <w:r>
              <w:rPr>
                <w:sz w:val="20"/>
                <w:szCs w:val="20"/>
              </w:rPr>
              <w:t>Liaising regarding the surveillance and rapid response, and national laboratories, including evolving needs.</w:t>
            </w:r>
          </w:p>
          <w:p w14:paraId="1C3F2E1E" w14:textId="77777777" w:rsidR="007A73C7" w:rsidRPr="003E51CB" w:rsidRDefault="007A73C7" w:rsidP="003F7373">
            <w:pPr>
              <w:rPr>
                <w:sz w:val="20"/>
                <w:szCs w:val="20"/>
              </w:rPr>
            </w:pPr>
          </w:p>
        </w:tc>
      </w:tr>
    </w:tbl>
    <w:p w14:paraId="71697F29" w14:textId="77777777" w:rsidR="007A73C7" w:rsidRPr="007A73C7" w:rsidRDefault="007A73C7" w:rsidP="001B1106">
      <w:pPr>
        <w:rPr>
          <w:bCs/>
          <w:sz w:val="20"/>
          <w:szCs w:val="20"/>
        </w:rPr>
      </w:pPr>
    </w:p>
    <w:sectPr w:rsidR="007A73C7" w:rsidRPr="007A73C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8F648" w14:textId="77777777" w:rsidR="00520B04" w:rsidRDefault="00520B04">
      <w:pPr>
        <w:spacing w:line="240" w:lineRule="auto"/>
      </w:pPr>
      <w:r>
        <w:separator/>
      </w:r>
    </w:p>
  </w:endnote>
  <w:endnote w:type="continuationSeparator" w:id="0">
    <w:p w14:paraId="5B0B6031" w14:textId="77777777" w:rsidR="00520B04" w:rsidRDefault="00520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6" w14:textId="04BF2FD4" w:rsidR="00594190" w:rsidRDefault="00BE3C55">
    <w:pPr>
      <w:jc w:val="center"/>
      <w:rPr>
        <w:sz w:val="20"/>
        <w:szCs w:val="20"/>
      </w:rPr>
    </w:pPr>
    <w:r>
      <w:rPr>
        <w:sz w:val="20"/>
        <w:szCs w:val="20"/>
      </w:rPr>
      <w:t>1</w:t>
    </w:r>
    <w:r w:rsidR="00395C3E">
      <w:rPr>
        <w:sz w:val="20"/>
        <w:szCs w:val="20"/>
      </w:rPr>
      <w:t>-</w:t>
    </w:r>
    <w:r>
      <w:rPr>
        <w:sz w:val="20"/>
        <w:szCs w:val="20"/>
      </w:rPr>
      <w:t>page</w:t>
    </w:r>
    <w:r w:rsidR="00FF68E5">
      <w:rPr>
        <w:sz w:val="20"/>
        <w:szCs w:val="20"/>
      </w:rPr>
      <w:t xml:space="preserve"> length is recommended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801B7" w14:textId="77777777" w:rsidR="00520B04" w:rsidRDefault="00520B04">
      <w:pPr>
        <w:spacing w:line="240" w:lineRule="auto"/>
      </w:pPr>
      <w:r>
        <w:separator/>
      </w:r>
    </w:p>
  </w:footnote>
  <w:footnote w:type="continuationSeparator" w:id="0">
    <w:p w14:paraId="1993F04D" w14:textId="77777777" w:rsidR="00520B04" w:rsidRDefault="00520B04">
      <w:pPr>
        <w:spacing w:line="240" w:lineRule="auto"/>
      </w:pPr>
      <w:r>
        <w:continuationSeparator/>
      </w:r>
    </w:p>
  </w:footnote>
  <w:footnote w:id="1">
    <w:p w14:paraId="3F079972" w14:textId="1A9A06F6" w:rsidR="0037729C" w:rsidRPr="00EB601C" w:rsidRDefault="0037729C">
      <w:pPr>
        <w:pStyle w:val="FootnoteText"/>
        <w:rPr>
          <w:rFonts w:asciiTheme="minorHAnsi" w:eastAsiaTheme="minorHAnsi" w:hAnsiTheme="minorHAnsi" w:cstheme="minorBidi"/>
          <w:lang w:val="en-US"/>
        </w:rPr>
      </w:pPr>
      <w:r w:rsidRPr="00EB601C">
        <w:rPr>
          <w:rFonts w:asciiTheme="minorHAnsi" w:eastAsiaTheme="minorHAnsi" w:hAnsiTheme="minorHAnsi" w:cstheme="minorBidi"/>
          <w:vertAlign w:val="superscript"/>
          <w:lang w:val="en-US"/>
        </w:rPr>
        <w:footnoteRef/>
      </w:r>
      <w:r w:rsidRPr="00EB601C">
        <w:rPr>
          <w:rFonts w:asciiTheme="minorHAnsi" w:eastAsiaTheme="minorHAnsi" w:hAnsiTheme="minorHAnsi" w:cstheme="minorBidi"/>
          <w:lang w:val="en-US"/>
        </w:rPr>
        <w:t xml:space="preserve"> nCov-2019 PCR detection kit (primer &amp; control probe), </w:t>
      </w:r>
      <w:proofErr w:type="spellStart"/>
      <w:r w:rsidRPr="00EB601C">
        <w:rPr>
          <w:rFonts w:asciiTheme="minorHAnsi" w:eastAsiaTheme="minorHAnsi" w:hAnsiTheme="minorHAnsi" w:cstheme="minorBidi"/>
          <w:lang w:val="en-US"/>
        </w:rPr>
        <w:t>SuperScript</w:t>
      </w:r>
      <w:proofErr w:type="spellEnd"/>
      <w:r w:rsidRPr="00EB601C">
        <w:rPr>
          <w:rFonts w:asciiTheme="minorHAnsi" w:eastAsiaTheme="minorHAnsi" w:hAnsiTheme="minorHAnsi" w:cstheme="minorBidi"/>
          <w:lang w:val="en-US"/>
        </w:rPr>
        <w:t xml:space="preserve">™ III One-Step </w:t>
      </w:r>
      <w:proofErr w:type="spellStart"/>
      <w:r w:rsidRPr="00EB601C">
        <w:rPr>
          <w:rFonts w:asciiTheme="minorHAnsi" w:eastAsiaTheme="minorHAnsi" w:hAnsiTheme="minorHAnsi" w:cstheme="minorBidi"/>
          <w:lang w:val="en-US"/>
        </w:rPr>
        <w:t>qRT</w:t>
      </w:r>
      <w:proofErr w:type="spellEnd"/>
      <w:r w:rsidRPr="00EB601C">
        <w:rPr>
          <w:rFonts w:asciiTheme="minorHAnsi" w:eastAsiaTheme="minorHAnsi" w:hAnsiTheme="minorHAnsi" w:cstheme="minorBidi"/>
          <w:lang w:val="en-US"/>
        </w:rPr>
        <w:t xml:space="preserve">-PCR System with Platinum™ </w:t>
      </w:r>
      <w:proofErr w:type="spellStart"/>
      <w:r w:rsidRPr="00EB601C">
        <w:rPr>
          <w:rFonts w:asciiTheme="minorHAnsi" w:eastAsiaTheme="minorHAnsi" w:hAnsiTheme="minorHAnsi" w:cstheme="minorBidi"/>
          <w:lang w:val="en-US"/>
        </w:rPr>
        <w:t>Taq</w:t>
      </w:r>
      <w:proofErr w:type="spellEnd"/>
      <w:r w:rsidRPr="00EB601C">
        <w:rPr>
          <w:rFonts w:asciiTheme="minorHAnsi" w:eastAsiaTheme="minorHAnsi" w:hAnsiTheme="minorHAnsi" w:cstheme="minorBidi"/>
          <w:lang w:val="en-US"/>
        </w:rPr>
        <w:t xml:space="preserve"> DNA Polymerase or similar</w:t>
      </w:r>
    </w:p>
  </w:footnote>
  <w:footnote w:id="2">
    <w:p w14:paraId="72AD2C8C" w14:textId="654C7D97" w:rsidR="0037729C" w:rsidRPr="00EB601C" w:rsidRDefault="0037729C">
      <w:pPr>
        <w:pStyle w:val="FootnoteText"/>
        <w:rPr>
          <w:lang w:val="en-US"/>
        </w:rPr>
      </w:pPr>
      <w:r w:rsidRPr="00EB601C">
        <w:rPr>
          <w:rFonts w:asciiTheme="minorHAnsi" w:eastAsiaTheme="minorHAnsi" w:hAnsiTheme="minorHAnsi" w:cstheme="minorBidi"/>
          <w:vertAlign w:val="superscript"/>
          <w:lang w:val="en-US"/>
        </w:rPr>
        <w:footnoteRef/>
      </w:r>
      <w:r w:rsidRPr="00EB601C">
        <w:rPr>
          <w:rFonts w:asciiTheme="minorHAnsi" w:eastAsiaTheme="minorHAnsi" w:hAnsiTheme="minorHAnsi" w:cstheme="minorBidi"/>
          <w:lang w:val="en-US"/>
        </w:rPr>
        <w:t xml:space="preserve"> in Abkhazia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36FF"/>
    <w:multiLevelType w:val="hybridMultilevel"/>
    <w:tmpl w:val="46D60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A266D"/>
    <w:multiLevelType w:val="hybridMultilevel"/>
    <w:tmpl w:val="77D818F6"/>
    <w:lvl w:ilvl="0" w:tplc="D32025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B7573"/>
    <w:multiLevelType w:val="hybridMultilevel"/>
    <w:tmpl w:val="09D47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E44338"/>
    <w:multiLevelType w:val="hybridMultilevel"/>
    <w:tmpl w:val="1C58AE3A"/>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6D7F64E8"/>
    <w:multiLevelType w:val="hybridMultilevel"/>
    <w:tmpl w:val="AD7AAD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6D4286"/>
    <w:multiLevelType w:val="hybridMultilevel"/>
    <w:tmpl w:val="0642595C"/>
    <w:lvl w:ilvl="0" w:tplc="772A182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0"/>
    <w:rsid w:val="00013D67"/>
    <w:rsid w:val="000366DA"/>
    <w:rsid w:val="000665B3"/>
    <w:rsid w:val="00080C71"/>
    <w:rsid w:val="000D1AFD"/>
    <w:rsid w:val="00162258"/>
    <w:rsid w:val="001B1106"/>
    <w:rsid w:val="00221E85"/>
    <w:rsid w:val="0026256A"/>
    <w:rsid w:val="00314B34"/>
    <w:rsid w:val="00335C41"/>
    <w:rsid w:val="00336982"/>
    <w:rsid w:val="0037729C"/>
    <w:rsid w:val="00395C3E"/>
    <w:rsid w:val="003A7BA9"/>
    <w:rsid w:val="003B71AB"/>
    <w:rsid w:val="003B7710"/>
    <w:rsid w:val="00416A75"/>
    <w:rsid w:val="00486133"/>
    <w:rsid w:val="004F34C8"/>
    <w:rsid w:val="004F48D6"/>
    <w:rsid w:val="00520B04"/>
    <w:rsid w:val="0054778B"/>
    <w:rsid w:val="005676D7"/>
    <w:rsid w:val="00594190"/>
    <w:rsid w:val="005E0339"/>
    <w:rsid w:val="005F69F2"/>
    <w:rsid w:val="006463C5"/>
    <w:rsid w:val="006853FB"/>
    <w:rsid w:val="006C70A3"/>
    <w:rsid w:val="00702EAB"/>
    <w:rsid w:val="00723ABA"/>
    <w:rsid w:val="007649AD"/>
    <w:rsid w:val="007A49F8"/>
    <w:rsid w:val="007A73C7"/>
    <w:rsid w:val="007D65A7"/>
    <w:rsid w:val="008272E7"/>
    <w:rsid w:val="00870906"/>
    <w:rsid w:val="00871107"/>
    <w:rsid w:val="008D72FF"/>
    <w:rsid w:val="00983EAD"/>
    <w:rsid w:val="009C57AB"/>
    <w:rsid w:val="009E46ED"/>
    <w:rsid w:val="00A663E0"/>
    <w:rsid w:val="00B37583"/>
    <w:rsid w:val="00B41C7F"/>
    <w:rsid w:val="00B7016D"/>
    <w:rsid w:val="00BC4AC0"/>
    <w:rsid w:val="00BC4F26"/>
    <w:rsid w:val="00BC7FA4"/>
    <w:rsid w:val="00BE3C55"/>
    <w:rsid w:val="00CC4AA9"/>
    <w:rsid w:val="00CE43A3"/>
    <w:rsid w:val="00D71309"/>
    <w:rsid w:val="00D77069"/>
    <w:rsid w:val="00E63E58"/>
    <w:rsid w:val="00E72472"/>
    <w:rsid w:val="00EB601C"/>
    <w:rsid w:val="00EE48F8"/>
    <w:rsid w:val="00EF64FF"/>
    <w:rsid w:val="00F51FD7"/>
    <w:rsid w:val="00FA6F8B"/>
    <w:rsid w:val="00FC1526"/>
    <w:rsid w:val="00FC2E2E"/>
    <w:rsid w:val="00FF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7677"/>
  <w15:docId w15:val="{FDE89626-1916-4B6B-98CA-A0BD39E4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83EAD"/>
    <w:pPr>
      <w:tabs>
        <w:tab w:val="center" w:pos="4680"/>
        <w:tab w:val="right" w:pos="9360"/>
      </w:tabs>
      <w:spacing w:line="240" w:lineRule="auto"/>
    </w:pPr>
  </w:style>
  <w:style w:type="character" w:customStyle="1" w:styleId="HeaderChar">
    <w:name w:val="Header Char"/>
    <w:basedOn w:val="DefaultParagraphFont"/>
    <w:link w:val="Header"/>
    <w:uiPriority w:val="99"/>
    <w:rsid w:val="00983EAD"/>
  </w:style>
  <w:style w:type="paragraph" w:styleId="Footer">
    <w:name w:val="footer"/>
    <w:basedOn w:val="Normal"/>
    <w:link w:val="FooterChar"/>
    <w:uiPriority w:val="99"/>
    <w:unhideWhenUsed/>
    <w:rsid w:val="00983EAD"/>
    <w:pPr>
      <w:tabs>
        <w:tab w:val="center" w:pos="4680"/>
        <w:tab w:val="right" w:pos="9360"/>
      </w:tabs>
      <w:spacing w:line="240" w:lineRule="auto"/>
    </w:pPr>
  </w:style>
  <w:style w:type="character" w:customStyle="1" w:styleId="FooterChar">
    <w:name w:val="Footer Char"/>
    <w:basedOn w:val="DefaultParagraphFont"/>
    <w:link w:val="Footer"/>
    <w:uiPriority w:val="99"/>
    <w:rsid w:val="00983EAD"/>
  </w:style>
  <w:style w:type="paragraph" w:styleId="ListParagraph">
    <w:name w:val="List Paragraph"/>
    <w:basedOn w:val="Normal"/>
    <w:uiPriority w:val="34"/>
    <w:qFormat/>
    <w:rsid w:val="001B1106"/>
    <w:pPr>
      <w:ind w:left="720"/>
      <w:contextualSpacing/>
    </w:pPr>
  </w:style>
  <w:style w:type="table" w:styleId="TableGrid">
    <w:name w:val="Table Grid"/>
    <w:basedOn w:val="TableNormal"/>
    <w:uiPriority w:val="39"/>
    <w:rsid w:val="006463C5"/>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F8B"/>
    <w:rPr>
      <w:sz w:val="16"/>
      <w:szCs w:val="16"/>
    </w:rPr>
  </w:style>
  <w:style w:type="paragraph" w:styleId="CommentText">
    <w:name w:val="annotation text"/>
    <w:basedOn w:val="Normal"/>
    <w:link w:val="CommentTextChar"/>
    <w:uiPriority w:val="99"/>
    <w:semiHidden/>
    <w:unhideWhenUsed/>
    <w:rsid w:val="00FA6F8B"/>
    <w:pPr>
      <w:spacing w:line="240" w:lineRule="auto"/>
    </w:pPr>
    <w:rPr>
      <w:sz w:val="20"/>
      <w:szCs w:val="20"/>
    </w:rPr>
  </w:style>
  <w:style w:type="character" w:customStyle="1" w:styleId="CommentTextChar">
    <w:name w:val="Comment Text Char"/>
    <w:basedOn w:val="DefaultParagraphFont"/>
    <w:link w:val="CommentText"/>
    <w:uiPriority w:val="99"/>
    <w:semiHidden/>
    <w:rsid w:val="00FA6F8B"/>
    <w:rPr>
      <w:sz w:val="20"/>
      <w:szCs w:val="20"/>
    </w:rPr>
  </w:style>
  <w:style w:type="paragraph" w:styleId="CommentSubject">
    <w:name w:val="annotation subject"/>
    <w:basedOn w:val="CommentText"/>
    <w:next w:val="CommentText"/>
    <w:link w:val="CommentSubjectChar"/>
    <w:uiPriority w:val="99"/>
    <w:semiHidden/>
    <w:unhideWhenUsed/>
    <w:rsid w:val="00FA6F8B"/>
    <w:rPr>
      <w:b/>
      <w:bCs/>
    </w:rPr>
  </w:style>
  <w:style w:type="character" w:customStyle="1" w:styleId="CommentSubjectChar">
    <w:name w:val="Comment Subject Char"/>
    <w:basedOn w:val="CommentTextChar"/>
    <w:link w:val="CommentSubject"/>
    <w:uiPriority w:val="99"/>
    <w:semiHidden/>
    <w:rsid w:val="00FA6F8B"/>
    <w:rPr>
      <w:b/>
      <w:bCs/>
      <w:sz w:val="20"/>
      <w:szCs w:val="20"/>
    </w:rPr>
  </w:style>
  <w:style w:type="paragraph" w:styleId="BalloonText">
    <w:name w:val="Balloon Text"/>
    <w:basedOn w:val="Normal"/>
    <w:link w:val="BalloonTextChar"/>
    <w:uiPriority w:val="99"/>
    <w:semiHidden/>
    <w:unhideWhenUsed/>
    <w:rsid w:val="00FA6F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F8B"/>
    <w:rPr>
      <w:rFonts w:ascii="Segoe UI" w:hAnsi="Segoe UI" w:cs="Segoe UI"/>
      <w:sz w:val="18"/>
      <w:szCs w:val="18"/>
    </w:rPr>
  </w:style>
  <w:style w:type="paragraph" w:styleId="FootnoteText">
    <w:name w:val="footnote text"/>
    <w:basedOn w:val="Normal"/>
    <w:link w:val="FootnoteTextChar"/>
    <w:uiPriority w:val="99"/>
    <w:semiHidden/>
    <w:unhideWhenUsed/>
    <w:rsid w:val="009C57AB"/>
    <w:pPr>
      <w:spacing w:line="240" w:lineRule="auto"/>
    </w:pPr>
    <w:rPr>
      <w:sz w:val="20"/>
      <w:szCs w:val="20"/>
    </w:rPr>
  </w:style>
  <w:style w:type="character" w:customStyle="1" w:styleId="FootnoteTextChar">
    <w:name w:val="Footnote Text Char"/>
    <w:basedOn w:val="DefaultParagraphFont"/>
    <w:link w:val="FootnoteText"/>
    <w:uiPriority w:val="99"/>
    <w:semiHidden/>
    <w:rsid w:val="009C57AB"/>
    <w:rPr>
      <w:sz w:val="20"/>
      <w:szCs w:val="20"/>
    </w:rPr>
  </w:style>
  <w:style w:type="character" w:styleId="FootnoteReference">
    <w:name w:val="footnote reference"/>
    <w:basedOn w:val="DefaultParagraphFont"/>
    <w:uiPriority w:val="99"/>
    <w:semiHidden/>
    <w:unhideWhenUsed/>
    <w:rsid w:val="009C57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4309">
      <w:bodyDiv w:val="1"/>
      <w:marLeft w:val="0"/>
      <w:marRight w:val="0"/>
      <w:marTop w:val="0"/>
      <w:marBottom w:val="0"/>
      <w:divBdr>
        <w:top w:val="none" w:sz="0" w:space="0" w:color="auto"/>
        <w:left w:val="none" w:sz="0" w:space="0" w:color="auto"/>
        <w:bottom w:val="none" w:sz="0" w:space="0" w:color="auto"/>
        <w:right w:val="none" w:sz="0" w:space="0" w:color="auto"/>
      </w:divBdr>
    </w:div>
    <w:div w:id="490873097">
      <w:bodyDiv w:val="1"/>
      <w:marLeft w:val="0"/>
      <w:marRight w:val="0"/>
      <w:marTop w:val="0"/>
      <w:marBottom w:val="0"/>
      <w:divBdr>
        <w:top w:val="none" w:sz="0" w:space="0" w:color="auto"/>
        <w:left w:val="none" w:sz="0" w:space="0" w:color="auto"/>
        <w:bottom w:val="none" w:sz="0" w:space="0" w:color="auto"/>
        <w:right w:val="none" w:sz="0" w:space="0" w:color="auto"/>
      </w:divBdr>
    </w:div>
    <w:div w:id="1908413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889B8-AAF4-43C2-A743-DFE767C0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Adelman, Elisa (GH/HS)</dc:creator>
  <cp:lastModifiedBy>ESENAMANOV, Vasily</cp:lastModifiedBy>
  <cp:revision>12</cp:revision>
  <dcterms:created xsi:type="dcterms:W3CDTF">2020-04-02T14:59:00Z</dcterms:created>
  <dcterms:modified xsi:type="dcterms:W3CDTF">2020-04-08T14:31:00Z</dcterms:modified>
</cp:coreProperties>
</file>