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C7" w:rsidRPr="003039C7" w:rsidRDefault="003039C7" w:rsidP="003039C7">
      <w:pPr>
        <w:shd w:val="clear" w:color="auto" w:fill="FFFFFF" w:themeFill="background1"/>
        <w:tabs>
          <w:tab w:val="right" w:pos="9360"/>
        </w:tabs>
        <w:spacing w:line="240" w:lineRule="auto"/>
        <w:jc w:val="center"/>
        <w:rPr>
          <w:rFonts w:ascii="Sylfaen" w:hAnsi="Sylfaen" w:cs="Sylfaen"/>
          <w:b/>
          <w:sz w:val="24"/>
          <w:szCs w:val="24"/>
          <w:lang w:val="ka-GE"/>
        </w:rPr>
      </w:pPr>
      <w:bookmarkStart w:id="0" w:name="_GoBack"/>
      <w:bookmarkEnd w:id="0"/>
      <w:r w:rsidRPr="003039C7">
        <w:rPr>
          <w:rFonts w:ascii="Sylfaen" w:hAnsi="Sylfaen" w:cs="Sylfaen"/>
          <w:b/>
          <w:sz w:val="24"/>
          <w:szCs w:val="24"/>
          <w:lang w:val="ka-GE"/>
        </w:rPr>
        <w:t>თანამშრომლობა აშშ-ის ინსტიტუციებთან</w:t>
      </w:r>
    </w:p>
    <w:p w:rsidR="003039C7" w:rsidRDefault="003039C7" w:rsidP="003039C7">
      <w:pPr>
        <w:shd w:val="clear" w:color="auto" w:fill="FFFFFF" w:themeFill="background1"/>
        <w:tabs>
          <w:tab w:val="right" w:pos="9360"/>
        </w:tabs>
        <w:spacing w:line="240" w:lineRule="auto"/>
        <w:jc w:val="both"/>
        <w:rPr>
          <w:rFonts w:ascii="Sylfaen" w:hAnsi="Sylfaen" w:cs="Sylfaen"/>
          <w:sz w:val="24"/>
          <w:szCs w:val="24"/>
          <w:lang w:val="ka-GE"/>
        </w:rPr>
      </w:pPr>
    </w:p>
    <w:p w:rsidR="003039C7" w:rsidRDefault="003039C7" w:rsidP="003039C7">
      <w:pPr>
        <w:shd w:val="clear" w:color="auto" w:fill="FFFFFF" w:themeFill="background1"/>
        <w:tabs>
          <w:tab w:val="right" w:pos="9360"/>
        </w:tabs>
        <w:spacing w:line="240" w:lineRule="auto"/>
        <w:jc w:val="both"/>
        <w:rPr>
          <w:rFonts w:ascii="Sylfaen" w:hAnsi="Sylfaen" w:cs="Sylfaen"/>
          <w:sz w:val="24"/>
          <w:szCs w:val="24"/>
          <w:lang w:val="ka-GE"/>
        </w:rPr>
      </w:pPr>
    </w:p>
    <w:p w:rsidR="003039C7" w:rsidRPr="004E68B3" w:rsidRDefault="003039C7" w:rsidP="003039C7">
      <w:pPr>
        <w:shd w:val="clear" w:color="auto" w:fill="FFFFFF" w:themeFill="background1"/>
        <w:tabs>
          <w:tab w:val="right" w:pos="9360"/>
        </w:tabs>
        <w:spacing w:line="240" w:lineRule="auto"/>
        <w:jc w:val="both"/>
        <w:rPr>
          <w:rFonts w:ascii="Sylfaen" w:hAnsi="Sylfaen" w:cs="Sylfaen"/>
          <w:sz w:val="24"/>
          <w:szCs w:val="24"/>
          <w:lang w:val="ka-GE"/>
        </w:rPr>
      </w:pPr>
      <w:r w:rsidRPr="004E68B3">
        <w:rPr>
          <w:rFonts w:ascii="Sylfaen" w:hAnsi="Sylfaen" w:cs="Sylfaen"/>
          <w:sz w:val="24"/>
          <w:szCs w:val="24"/>
          <w:lang w:val="ka-GE"/>
        </w:rPr>
        <w:t>ამერიკის შეერთებულ შტატებსა და საქართველოს შორის ორმხრივი თანამშრომლობა საზოგადოებრივი ჯანმრთელობისა და ბიოსამედიცინო, ფუნდამენტური და გამოყენებითი სიცოცლის მეცნიერებების განვითარების მიმართულებით</w:t>
      </w:r>
      <w:r w:rsidRPr="008D7BCF">
        <w:rPr>
          <w:rFonts w:ascii="Sylfaen" w:hAnsi="Sylfaen" w:cs="Sylfaen"/>
          <w:sz w:val="24"/>
          <w:szCs w:val="24"/>
          <w:lang w:val="ka-GE"/>
        </w:rPr>
        <w:t>,</w:t>
      </w:r>
      <w:r w:rsidRPr="004E68B3">
        <w:rPr>
          <w:rFonts w:ascii="Sylfaen" w:hAnsi="Sylfaen" w:cs="Sylfaen"/>
          <w:sz w:val="24"/>
          <w:szCs w:val="24"/>
          <w:lang w:val="ka-GE"/>
        </w:rPr>
        <w:t xml:space="preserve"> ჯერ კიდევ</w:t>
      </w:r>
      <w:r>
        <w:rPr>
          <w:rFonts w:ascii="Sylfaen" w:hAnsi="Sylfaen" w:cs="Sylfaen"/>
          <w:sz w:val="24"/>
          <w:szCs w:val="24"/>
        </w:rPr>
        <w:t>,</w:t>
      </w:r>
      <w:r w:rsidRPr="004E68B3">
        <w:rPr>
          <w:rFonts w:ascii="Sylfaen" w:hAnsi="Sylfaen" w:cs="Sylfaen"/>
          <w:sz w:val="24"/>
          <w:szCs w:val="24"/>
          <w:lang w:val="ka-GE"/>
        </w:rPr>
        <w:t xml:space="preserve"> გასული საუკუნის 90-ანი წლებიდან დაიწყო. </w:t>
      </w:r>
    </w:p>
    <w:p w:rsidR="003039C7" w:rsidRPr="004E68B3" w:rsidRDefault="003039C7" w:rsidP="003039C7">
      <w:pPr>
        <w:shd w:val="clear" w:color="auto" w:fill="FFFFFF" w:themeFill="background1"/>
        <w:tabs>
          <w:tab w:val="right" w:pos="9360"/>
        </w:tabs>
        <w:spacing w:line="240" w:lineRule="auto"/>
        <w:jc w:val="both"/>
        <w:rPr>
          <w:rFonts w:ascii="Sylfaen" w:hAnsi="Sylfaen" w:cs="Sylfaen"/>
          <w:sz w:val="24"/>
          <w:szCs w:val="24"/>
          <w:lang w:val="ka-GE"/>
        </w:rPr>
      </w:pPr>
      <w:r w:rsidRPr="004E68B3">
        <w:rPr>
          <w:rFonts w:ascii="Sylfaen" w:hAnsi="Sylfaen" w:cs="Sylfaen"/>
          <w:sz w:val="24"/>
          <w:szCs w:val="24"/>
          <w:lang w:val="ka-GE"/>
        </w:rPr>
        <w:t>აშშ-</w:t>
      </w:r>
      <w:r>
        <w:rPr>
          <w:rFonts w:ascii="Sylfaen" w:hAnsi="Sylfaen" w:cs="Sylfaen"/>
          <w:sz w:val="24"/>
          <w:szCs w:val="24"/>
          <w:lang w:val="ka-GE"/>
        </w:rPr>
        <w:t>ი</w:t>
      </w:r>
      <w:r w:rsidRPr="004E68B3">
        <w:rPr>
          <w:rFonts w:ascii="Sylfaen" w:hAnsi="Sylfaen" w:cs="Sylfaen"/>
          <w:sz w:val="24"/>
          <w:szCs w:val="24"/>
          <w:lang w:val="ka-GE"/>
        </w:rPr>
        <w:t xml:space="preserve">ს უზარმაზარმა ტექნიკურმა და ფინანსურმა მხარდაჭერამ ქართველ მეცნიერებს საშუალება მისცა ტრენინგების და გაცვლითი ვიზიტების </w:t>
      </w:r>
      <w:r>
        <w:rPr>
          <w:rFonts w:ascii="Sylfaen" w:hAnsi="Sylfaen" w:cs="Sylfaen"/>
          <w:sz w:val="24"/>
          <w:szCs w:val="24"/>
          <w:lang w:val="ka-GE"/>
        </w:rPr>
        <w:t>საფუძველზე</w:t>
      </w:r>
      <w:r w:rsidRPr="004E68B3">
        <w:rPr>
          <w:rFonts w:ascii="Sylfaen" w:hAnsi="Sylfaen" w:cs="Sylfaen"/>
          <w:sz w:val="24"/>
          <w:szCs w:val="24"/>
          <w:lang w:val="ka-GE"/>
        </w:rPr>
        <w:t xml:space="preserve"> გაეზიარებინათ საერთაშორისო ცოდნა-გამოცდილება; ასობით კვლევითი პროექტი, რომელიც ემსახურებოდა ქვეყნის საზჯანდაცვისა და ბიოსამეცნიერო პოტენციალის მდგრადობას, დაფინანსდა შეერთებული შტატების სამთავრობო და არასამთავრობო ორგანიზაციების, წამყვანი ამერიკული უნივერსიტეტების და კერძო სექტორის მიერ. </w:t>
      </w:r>
    </w:p>
    <w:p w:rsidR="003039C7" w:rsidRDefault="009C6BCD"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საქართველოს ოკუპრებული ტერიტორიებიდან დევნილთა, შრომის, ჯანმრთელობისა და სოციალური დაცვის სამინისტროსა და </w:t>
      </w:r>
      <w:r w:rsidR="003039C7" w:rsidRPr="004E68B3">
        <w:rPr>
          <w:rFonts w:ascii="Sylfaen" w:hAnsi="Sylfaen" w:cs="Sylfaen"/>
          <w:sz w:val="24"/>
          <w:szCs w:val="24"/>
          <w:lang w:val="ka-GE"/>
        </w:rPr>
        <w:t xml:space="preserve">დაავადებათა კონტროლისა და საზოგადოებრივი ჯანმრთელობის ეროვნულ ცენტრს დონორ და პარტნიორულ თანამშრომლობას 20 წელიწადზე მეტია უწევენ ისეთი ამერიკული ორგანიზაციები და უნივერსიტეტები, როგორიც არის: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 (DTRA / DoD), ჯანმრთელობის </w:t>
      </w:r>
      <w:r w:rsidR="003039C7">
        <w:rPr>
          <w:rFonts w:ascii="Sylfaen" w:hAnsi="Sylfaen" w:cs="Sylfaen"/>
          <w:sz w:val="24"/>
          <w:szCs w:val="24"/>
          <w:lang w:val="ka-GE"/>
        </w:rPr>
        <w:t>ნაციონალური</w:t>
      </w:r>
      <w:r w:rsidR="003039C7" w:rsidRPr="004E68B3">
        <w:rPr>
          <w:rFonts w:ascii="Sylfaen" w:hAnsi="Sylfaen" w:cs="Sylfaen"/>
          <w:sz w:val="24"/>
          <w:szCs w:val="24"/>
          <w:lang w:val="ka-GE"/>
        </w:rPr>
        <w:t xml:space="preserve"> </w:t>
      </w:r>
      <w:r w:rsidR="003039C7">
        <w:rPr>
          <w:rFonts w:ascii="Sylfaen" w:hAnsi="Sylfaen" w:cs="Sylfaen"/>
          <w:sz w:val="24"/>
          <w:szCs w:val="24"/>
          <w:lang w:val="ka-GE"/>
        </w:rPr>
        <w:t>ინსტიტუტები</w:t>
      </w:r>
      <w:r w:rsidR="003039C7" w:rsidRPr="004E68B3">
        <w:rPr>
          <w:rFonts w:ascii="Sylfaen" w:hAnsi="Sylfaen" w:cs="Sylfaen"/>
          <w:sz w:val="24"/>
          <w:szCs w:val="24"/>
          <w:lang w:val="ka-GE"/>
        </w:rPr>
        <w:t xml:space="preserve"> (NIH) და მის ქვეშ არსებული </w:t>
      </w:r>
      <w:r w:rsidR="003039C7">
        <w:rPr>
          <w:rFonts w:ascii="Sylfaen" w:hAnsi="Sylfaen" w:cs="Sylfaen"/>
          <w:sz w:val="24"/>
          <w:szCs w:val="24"/>
          <w:lang w:val="ka-GE"/>
        </w:rPr>
        <w:t>სააგენტოები</w:t>
      </w:r>
      <w:r w:rsidR="003039C7" w:rsidRPr="004E68B3">
        <w:rPr>
          <w:rFonts w:ascii="Sylfaen" w:hAnsi="Sylfaen" w:cs="Sylfaen"/>
          <w:sz w:val="24"/>
          <w:szCs w:val="24"/>
          <w:lang w:val="ka-GE"/>
        </w:rPr>
        <w:t>: Fogarty</w:t>
      </w:r>
      <w:r w:rsidR="003039C7">
        <w:rPr>
          <w:rFonts w:ascii="Sylfaen" w:hAnsi="Sylfaen" w:cs="Sylfaen"/>
          <w:sz w:val="24"/>
          <w:szCs w:val="24"/>
          <w:lang w:val="ka-GE"/>
        </w:rPr>
        <w:t xml:space="preserve"> </w:t>
      </w:r>
      <w:r w:rsidR="003039C7" w:rsidRPr="004E68B3">
        <w:rPr>
          <w:rFonts w:ascii="Sylfaen" w:hAnsi="Sylfaen" w:cs="Sylfaen"/>
          <w:sz w:val="24"/>
          <w:szCs w:val="24"/>
          <w:lang w:val="ka-GE"/>
        </w:rPr>
        <w:t>International Center, NIIAD, NCI</w:t>
      </w:r>
      <w:r w:rsidR="003039C7">
        <w:rPr>
          <w:rFonts w:ascii="Sylfaen" w:hAnsi="Sylfaen" w:cs="Sylfaen"/>
          <w:sz w:val="24"/>
          <w:szCs w:val="24"/>
          <w:lang w:val="ka-GE"/>
        </w:rPr>
        <w:t xml:space="preserve">). ათობით სამეცნიერო კვლევა და რამდენიმე სტიპენდია დაფინანსდა CRDF Global, </w:t>
      </w:r>
      <w:r w:rsidR="003039C7" w:rsidRPr="00C50820">
        <w:rPr>
          <w:rFonts w:ascii="Sylfaen" w:hAnsi="Sylfaen" w:cs="Sylfaen"/>
          <w:sz w:val="24"/>
          <w:szCs w:val="24"/>
          <w:lang w:val="ka-GE"/>
        </w:rPr>
        <w:t>BTEP</w:t>
      </w:r>
      <w:r w:rsidR="003039C7">
        <w:rPr>
          <w:rFonts w:ascii="Sylfaen" w:hAnsi="Sylfaen" w:cs="Sylfaen"/>
          <w:sz w:val="24"/>
          <w:szCs w:val="24"/>
          <w:lang w:val="ka-GE"/>
        </w:rPr>
        <w:t xml:space="preserve">, </w:t>
      </w:r>
      <w:r w:rsidR="003039C7" w:rsidRPr="00C50820">
        <w:rPr>
          <w:rFonts w:ascii="Sylfaen" w:hAnsi="Sylfaen" w:cs="Sylfaen"/>
          <w:sz w:val="24"/>
          <w:szCs w:val="24"/>
          <w:lang w:val="ka-GE"/>
        </w:rPr>
        <w:t xml:space="preserve">ISTC </w:t>
      </w:r>
      <w:r w:rsidR="003039C7">
        <w:rPr>
          <w:rFonts w:ascii="Sylfaen" w:hAnsi="Sylfaen" w:cs="Sylfaen"/>
          <w:sz w:val="24"/>
          <w:szCs w:val="24"/>
          <w:lang w:val="ka-GE"/>
        </w:rPr>
        <w:t>პროგრამებით.</w:t>
      </w:r>
      <w:r w:rsidR="003039C7" w:rsidRPr="00C50820">
        <w:rPr>
          <w:rFonts w:ascii="Sylfaen" w:hAnsi="Sylfaen" w:cs="Sylfaen"/>
          <w:sz w:val="24"/>
          <w:szCs w:val="24"/>
          <w:lang w:val="ka-GE"/>
        </w:rPr>
        <w:t xml:space="preserve"> </w:t>
      </w:r>
      <w:r w:rsidR="003039C7">
        <w:rPr>
          <w:rFonts w:ascii="Sylfaen" w:hAnsi="Sylfaen" w:cs="Sylfaen"/>
          <w:sz w:val="24"/>
          <w:szCs w:val="24"/>
          <w:lang w:val="ka-GE"/>
        </w:rPr>
        <w:t xml:space="preserve">ცენტრს პარტნიორული ურთიერთობები აკავშირებს </w:t>
      </w:r>
      <w:r w:rsidR="00C24335">
        <w:rPr>
          <w:rFonts w:ascii="Sylfaen" w:hAnsi="Sylfaen" w:cs="Sylfaen"/>
          <w:sz w:val="24"/>
          <w:szCs w:val="24"/>
          <w:lang w:val="ka-GE"/>
        </w:rPr>
        <w:t>უ</w:t>
      </w:r>
      <w:r w:rsidR="003039C7">
        <w:rPr>
          <w:rFonts w:ascii="Sylfaen" w:hAnsi="Sylfaen" w:cs="Sylfaen"/>
          <w:sz w:val="24"/>
          <w:szCs w:val="24"/>
          <w:lang w:val="ka-GE"/>
        </w:rPr>
        <w:t>ოლტერ რიდის არმიის სამეცნიერო-კვლევით ინსტიტუტთან (WRAIR);</w:t>
      </w:r>
      <w:r w:rsidR="003039C7" w:rsidRPr="00C50820">
        <w:rPr>
          <w:rFonts w:ascii="Sylfaen" w:hAnsi="Sylfaen" w:cs="Sylfaen"/>
          <w:sz w:val="24"/>
          <w:szCs w:val="24"/>
          <w:lang w:val="ka-GE"/>
        </w:rPr>
        <w:t xml:space="preserve"> </w:t>
      </w:r>
      <w:r w:rsidR="003039C7">
        <w:rPr>
          <w:rFonts w:ascii="Sylfaen" w:hAnsi="Sylfaen" w:cs="Sylfaen"/>
          <w:sz w:val="24"/>
          <w:szCs w:val="24"/>
          <w:lang w:val="ka-GE"/>
        </w:rPr>
        <w:t>ვაშინგტონის ჯანმრთელობის მეტრიკებისა და შეფასების ინსტიტუტთან (IHME);</w:t>
      </w:r>
      <w:r w:rsidR="003039C7" w:rsidRPr="00C50820">
        <w:rPr>
          <w:rFonts w:ascii="Sylfaen" w:hAnsi="Sylfaen" w:cs="Sylfaen"/>
          <w:sz w:val="24"/>
          <w:szCs w:val="24"/>
          <w:lang w:val="ka-GE"/>
        </w:rPr>
        <w:t xml:space="preserve"> </w:t>
      </w:r>
      <w:r w:rsidR="003039C7">
        <w:rPr>
          <w:rFonts w:ascii="Sylfaen" w:hAnsi="Sylfaen" w:cs="Sylfaen"/>
          <w:sz w:val="24"/>
          <w:szCs w:val="24"/>
          <w:lang w:val="ka-GE"/>
        </w:rPr>
        <w:t xml:space="preserve"> </w:t>
      </w:r>
      <w:r w:rsidR="003039C7" w:rsidRPr="00624F4C">
        <w:rPr>
          <w:rFonts w:ascii="Sylfaen" w:hAnsi="Sylfaen" w:cs="Sylfaen"/>
          <w:sz w:val="24"/>
          <w:szCs w:val="24"/>
          <w:lang w:val="ka-GE"/>
        </w:rPr>
        <w:t>Bloomberg Philanthropies</w:t>
      </w:r>
      <w:r w:rsidR="003039C7">
        <w:rPr>
          <w:rFonts w:ascii="Sylfaen" w:hAnsi="Sylfaen" w:cs="Sylfaen"/>
          <w:sz w:val="24"/>
          <w:szCs w:val="24"/>
          <w:lang w:val="ka-GE"/>
        </w:rPr>
        <w:t>-თან</w:t>
      </w:r>
      <w:r w:rsidR="003039C7" w:rsidRPr="00624F4C">
        <w:rPr>
          <w:rFonts w:ascii="Sylfaen" w:hAnsi="Sylfaen" w:cs="Sylfaen"/>
          <w:sz w:val="24"/>
          <w:szCs w:val="24"/>
          <w:lang w:val="ka-GE"/>
        </w:rPr>
        <w:t>, Global Healing</w:t>
      </w:r>
      <w:r w:rsidR="003039C7">
        <w:rPr>
          <w:rFonts w:ascii="Sylfaen" w:hAnsi="Sylfaen" w:cs="Sylfaen"/>
          <w:sz w:val="24"/>
          <w:szCs w:val="24"/>
          <w:lang w:val="ka-GE"/>
        </w:rPr>
        <w:t>-თან</w:t>
      </w:r>
      <w:r w:rsidR="003039C7" w:rsidRPr="00624F4C">
        <w:rPr>
          <w:rFonts w:ascii="Sylfaen" w:hAnsi="Sylfaen" w:cs="Sylfaen"/>
          <w:sz w:val="24"/>
          <w:szCs w:val="24"/>
          <w:lang w:val="ka-GE"/>
        </w:rPr>
        <w:t xml:space="preserve">, </w:t>
      </w:r>
      <w:r w:rsidR="003039C7">
        <w:rPr>
          <w:rFonts w:ascii="Sylfaen" w:hAnsi="Sylfaen" w:cs="Sylfaen"/>
          <w:sz w:val="24"/>
          <w:szCs w:val="24"/>
          <w:lang w:val="ka-GE"/>
        </w:rPr>
        <w:t xml:space="preserve">აშშ-ს სმენის შეფასებისა და მართვის ნაციონალურ ინსტიტუტთან; ლოს-ალამოსის ეროვნულ ლაბორატორიასთან; ფლორიდის, მერილენდის, ემორის, ჯონს ჰოპკინსის, ჩრ. არიზონას უნივერსიტეტებთან.  </w:t>
      </w:r>
      <w:r w:rsidR="003039C7" w:rsidRPr="00624F4C">
        <w:rPr>
          <w:rFonts w:ascii="Sylfaen" w:hAnsi="Sylfaen" w:cs="Sylfaen"/>
          <w:sz w:val="24"/>
          <w:szCs w:val="24"/>
          <w:lang w:val="ka-GE"/>
        </w:rPr>
        <w:t xml:space="preserve"> </w:t>
      </w:r>
      <w:r w:rsidR="003039C7">
        <w:rPr>
          <w:rFonts w:ascii="Sylfaen" w:hAnsi="Sylfaen" w:cs="Sylfaen"/>
          <w:sz w:val="24"/>
          <w:szCs w:val="24"/>
          <w:lang w:val="ka-GE"/>
        </w:rPr>
        <w:t xml:space="preserve">  </w:t>
      </w:r>
    </w:p>
    <w:p w:rsidR="009C6BCD" w:rsidRDefault="009C6BCD"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ჩამოთვლილი ორგანიზაციებიდან განსაკუთრებით აღსანიშნავია თანამშრომლობა </w:t>
      </w:r>
      <w:r w:rsidRPr="00566072">
        <w:rPr>
          <w:rFonts w:ascii="Sylfaen" w:hAnsi="Sylfaen" w:cs="Sylfaen"/>
          <w:sz w:val="24"/>
          <w:szCs w:val="24"/>
          <w:lang w:val="ka-GE"/>
        </w:rPr>
        <w:t>CDC-</w:t>
      </w:r>
      <w:r>
        <w:rPr>
          <w:rFonts w:ascii="Sylfaen" w:hAnsi="Sylfaen" w:cs="Sylfaen"/>
          <w:sz w:val="24"/>
          <w:szCs w:val="24"/>
          <w:lang w:val="ka-GE"/>
        </w:rPr>
        <w:t xml:space="preserve">თან. 1996 წელს </w:t>
      </w:r>
      <w:r w:rsidRPr="00566072">
        <w:rPr>
          <w:rFonts w:ascii="Sylfaen" w:hAnsi="Sylfaen" w:cs="Sylfaen"/>
          <w:sz w:val="24"/>
          <w:szCs w:val="24"/>
          <w:lang w:val="ka-GE"/>
        </w:rPr>
        <w:t>CDC-ის სტრუქტურული და ფუნქციური მოდელი გამოყენებულ იქნა საქართველოს დაავადებათა კონტროლის ეროვნული ცენტრის შექმნის პროცესში</w:t>
      </w:r>
      <w:r>
        <w:rPr>
          <w:rFonts w:ascii="Sylfaen" w:hAnsi="Sylfaen" w:cs="Sylfaen"/>
          <w:sz w:val="24"/>
          <w:szCs w:val="24"/>
          <w:lang w:val="ka-GE"/>
        </w:rPr>
        <w:t xml:space="preserve">. 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წლიდან კი საქართველოში დააფუძნა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w:t>
      </w:r>
      <w:r>
        <w:rPr>
          <w:rFonts w:ascii="Sylfaen" w:hAnsi="Sylfaen" w:cs="Sylfaen"/>
          <w:sz w:val="24"/>
          <w:szCs w:val="24"/>
          <w:lang w:val="ka-GE"/>
        </w:rPr>
        <w:lastRenderedPageBreak/>
        <w:t xml:space="preserve">დროული გამოვლენის, რეაგირებისა და ზედამხედველობის კუთხით. </w:t>
      </w:r>
      <w:r w:rsidRPr="009F6844">
        <w:rPr>
          <w:rFonts w:ascii="Sylfaen" w:hAnsi="Sylfaen" w:cs="Sylfaen"/>
          <w:sz w:val="24"/>
          <w:szCs w:val="24"/>
          <w:lang w:val="ka-GE"/>
        </w:rPr>
        <w:t>CDC</w:t>
      </w:r>
      <w:r>
        <w:rPr>
          <w:rFonts w:ascii="Sylfaen" w:hAnsi="Sylfaen" w:cs="Sylfaen"/>
          <w:sz w:val="24"/>
          <w:szCs w:val="24"/>
          <w:lang w:val="ka-GE"/>
        </w:rPr>
        <w:t xml:space="preserve">-ის </w:t>
      </w:r>
      <w:r w:rsidRPr="009F6844">
        <w:rPr>
          <w:rFonts w:ascii="Sylfaen" w:hAnsi="Sylfaen" w:cs="Sylfaen"/>
          <w:sz w:val="24"/>
          <w:szCs w:val="24"/>
          <w:lang w:val="ka-GE"/>
        </w:rPr>
        <w:t xml:space="preserve">საველე ეპიდემიოლოგიური და ლაბორატორიული სწავლების პროგრამის (FELTP)  </w:t>
      </w:r>
      <w:r>
        <w:rPr>
          <w:rFonts w:ascii="Sylfaen" w:hAnsi="Sylfaen" w:cs="Sylfaen"/>
          <w:sz w:val="24"/>
          <w:szCs w:val="24"/>
          <w:lang w:val="ka-GE"/>
        </w:rPr>
        <w:t xml:space="preserve">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3039C7" w:rsidRPr="009F6844" w:rsidRDefault="003039C7" w:rsidP="003039C7">
      <w:pPr>
        <w:pStyle w:val="ListParagraph"/>
        <w:shd w:val="clear" w:color="auto" w:fill="FFFFFF" w:themeFill="background1"/>
        <w:tabs>
          <w:tab w:val="right" w:pos="9360"/>
        </w:tabs>
        <w:spacing w:line="240" w:lineRule="auto"/>
        <w:ind w:left="0"/>
        <w:jc w:val="both"/>
        <w:rPr>
          <w:sz w:val="24"/>
          <w:szCs w:val="24"/>
          <w:lang w:val="ka-GE"/>
        </w:rPr>
      </w:pPr>
      <w:r w:rsidRPr="009F6844">
        <w:rPr>
          <w:rFonts w:ascii="Sylfaen" w:hAnsi="Sylfaen" w:cs="Sylfaen"/>
          <w:sz w:val="24"/>
          <w:szCs w:val="24"/>
          <w:lang w:val="ka-GE"/>
        </w:rPr>
        <w:t>ამჟამად</w:t>
      </w:r>
      <w:r>
        <w:rPr>
          <w:rFonts w:ascii="Sylfaen" w:hAnsi="Sylfaen" w:cs="Sylfaen"/>
          <w:sz w:val="24"/>
          <w:szCs w:val="24"/>
          <w:lang w:val="ka-GE"/>
        </w:rPr>
        <w:t>,</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მისიას</w:t>
      </w:r>
      <w:r w:rsidRPr="009F6844">
        <w:rPr>
          <w:sz w:val="24"/>
          <w:szCs w:val="24"/>
          <w:lang w:val="ka-GE"/>
        </w:rPr>
        <w:t xml:space="preserve"> </w:t>
      </w:r>
      <w:r w:rsidRPr="009F6844">
        <w:rPr>
          <w:rFonts w:ascii="Sylfaen" w:hAnsi="Sylfaen" w:cs="Sylfaen"/>
          <w:sz w:val="24"/>
          <w:szCs w:val="24"/>
          <w:lang w:val="ka-GE"/>
        </w:rPr>
        <w:t>წარმოადგენს</w:t>
      </w:r>
      <w:r w:rsidRPr="009F6844">
        <w:rPr>
          <w:sz w:val="24"/>
          <w:szCs w:val="24"/>
          <w:lang w:val="ka-GE"/>
        </w:rPr>
        <w:t xml:space="preserve"> </w:t>
      </w:r>
      <w:r w:rsidRPr="009F6844">
        <w:rPr>
          <w:rFonts w:ascii="Sylfaen" w:hAnsi="Sylfaen" w:cs="Sylfaen"/>
          <w:sz w:val="24"/>
          <w:szCs w:val="24"/>
          <w:lang w:val="ka-GE"/>
        </w:rPr>
        <w:t>ინსტიტუციურ</w:t>
      </w:r>
      <w:r w:rsidRPr="009F6844">
        <w:rPr>
          <w:sz w:val="24"/>
          <w:szCs w:val="24"/>
          <w:lang w:val="ka-GE"/>
        </w:rPr>
        <w:t xml:space="preserve"> </w:t>
      </w:r>
      <w:r w:rsidRPr="009F6844">
        <w:rPr>
          <w:rFonts w:ascii="Sylfaen" w:hAnsi="Sylfaen" w:cs="Sylfaen"/>
          <w:sz w:val="24"/>
          <w:szCs w:val="24"/>
          <w:lang w:val="ka-GE"/>
        </w:rPr>
        <w:t>დონეზე</w:t>
      </w:r>
      <w:r w:rsidRPr="009F6844">
        <w:rPr>
          <w:sz w:val="24"/>
          <w:szCs w:val="24"/>
          <w:lang w:val="ka-GE"/>
        </w:rPr>
        <w:t xml:space="preserve"> </w:t>
      </w:r>
      <w:r w:rsidRPr="009F6844">
        <w:rPr>
          <w:rFonts w:ascii="Sylfaen" w:hAnsi="Sylfaen" w:cs="Sylfaen"/>
          <w:sz w:val="24"/>
          <w:szCs w:val="24"/>
          <w:lang w:val="ka-GE"/>
        </w:rPr>
        <w:t>ეპიდაფეთქებების</w:t>
      </w:r>
      <w:r w:rsidRPr="009F6844">
        <w:rPr>
          <w:sz w:val="24"/>
          <w:szCs w:val="24"/>
          <w:lang w:val="ka-GE"/>
        </w:rPr>
        <w:t xml:space="preserve"> </w:t>
      </w:r>
      <w:r w:rsidRPr="009F6844">
        <w:rPr>
          <w:rFonts w:ascii="Sylfaen" w:hAnsi="Sylfaen" w:cs="Sylfaen"/>
          <w:sz w:val="24"/>
          <w:szCs w:val="24"/>
          <w:lang w:val="ka-GE"/>
        </w:rPr>
        <w:t>დროული</w:t>
      </w:r>
      <w:r w:rsidRPr="009F6844">
        <w:rPr>
          <w:sz w:val="24"/>
          <w:szCs w:val="24"/>
          <w:lang w:val="ka-GE"/>
        </w:rPr>
        <w:t xml:space="preserve"> </w:t>
      </w:r>
      <w:r w:rsidRPr="009F6844">
        <w:rPr>
          <w:rFonts w:ascii="Sylfaen" w:hAnsi="Sylfaen" w:cs="Sylfaen"/>
          <w:sz w:val="24"/>
          <w:szCs w:val="24"/>
          <w:lang w:val="ka-GE"/>
        </w:rPr>
        <w:t>გამოვლენისა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რეაგირების</w:t>
      </w:r>
      <w:r w:rsidRPr="009F6844">
        <w:rPr>
          <w:sz w:val="24"/>
          <w:szCs w:val="24"/>
          <w:lang w:val="ka-GE"/>
        </w:rPr>
        <w:t xml:space="preserve"> </w:t>
      </w:r>
      <w:r w:rsidRPr="009F6844">
        <w:rPr>
          <w:rFonts w:ascii="Sylfaen" w:hAnsi="Sylfaen" w:cs="Sylfaen"/>
          <w:sz w:val="24"/>
          <w:szCs w:val="24"/>
          <w:lang w:val="ka-GE"/>
        </w:rPr>
        <w:t>შესაძლებლობების</w:t>
      </w:r>
      <w:r w:rsidRPr="009F6844">
        <w:rPr>
          <w:sz w:val="24"/>
          <w:szCs w:val="24"/>
          <w:lang w:val="ka-GE"/>
        </w:rPr>
        <w:t xml:space="preserve"> </w:t>
      </w:r>
      <w:r w:rsidRPr="009F6844">
        <w:rPr>
          <w:rFonts w:ascii="Sylfaen" w:hAnsi="Sylfaen" w:cs="Sylfaen"/>
          <w:sz w:val="24"/>
          <w:szCs w:val="24"/>
          <w:lang w:val="ka-GE"/>
        </w:rPr>
        <w:t>გა</w:t>
      </w:r>
      <w:r>
        <w:rPr>
          <w:rFonts w:ascii="Sylfaen" w:hAnsi="Sylfaen" w:cs="Sylfaen"/>
          <w:sz w:val="24"/>
          <w:szCs w:val="24"/>
          <w:lang w:val="ka-GE"/>
        </w:rPr>
        <w:t>ფართოება</w:t>
      </w:r>
      <w:r w:rsidRPr="009F6844">
        <w:rPr>
          <w:sz w:val="24"/>
          <w:szCs w:val="24"/>
          <w:lang w:val="ka-GE"/>
        </w:rPr>
        <w:t xml:space="preserve"> </w:t>
      </w:r>
      <w:r w:rsidR="009C6BCD">
        <w:rPr>
          <w:rFonts w:ascii="Sylfaen" w:hAnsi="Sylfaen"/>
          <w:sz w:val="24"/>
          <w:szCs w:val="24"/>
          <w:lang w:val="ka-GE"/>
        </w:rPr>
        <w:t xml:space="preserve">ოკუპირებული ტეროტორიებიდან დევნილთა, </w:t>
      </w:r>
      <w:r w:rsidRPr="009F6844">
        <w:rPr>
          <w:rFonts w:ascii="Sylfaen" w:hAnsi="Sylfaen" w:cs="Sylfaen"/>
          <w:sz w:val="24"/>
          <w:szCs w:val="24"/>
          <w:lang w:val="ka-GE"/>
        </w:rPr>
        <w:t>შრომის</w:t>
      </w:r>
      <w:r w:rsidRPr="009F6844">
        <w:rPr>
          <w:sz w:val="24"/>
          <w:szCs w:val="24"/>
          <w:lang w:val="ka-GE"/>
        </w:rPr>
        <w:t xml:space="preserve">, </w:t>
      </w:r>
      <w:r w:rsidRPr="009F6844">
        <w:rPr>
          <w:rFonts w:ascii="Sylfaen" w:hAnsi="Sylfaen" w:cs="Sylfaen"/>
          <w:sz w:val="24"/>
          <w:szCs w:val="24"/>
          <w:lang w:val="ka-GE"/>
        </w:rPr>
        <w:t>ჯანმრთელობისა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სოციალური</w:t>
      </w:r>
      <w:r w:rsidRPr="009F6844">
        <w:rPr>
          <w:sz w:val="24"/>
          <w:szCs w:val="24"/>
          <w:lang w:val="ka-GE"/>
        </w:rPr>
        <w:t xml:space="preserve"> </w:t>
      </w:r>
      <w:r w:rsidRPr="009F6844">
        <w:rPr>
          <w:rFonts w:ascii="Sylfaen" w:hAnsi="Sylfaen" w:cs="Sylfaen"/>
          <w:sz w:val="24"/>
          <w:szCs w:val="24"/>
          <w:lang w:val="ka-GE"/>
        </w:rPr>
        <w:t>დაცვის</w:t>
      </w:r>
      <w:r w:rsidRPr="009F6844">
        <w:rPr>
          <w:sz w:val="24"/>
          <w:szCs w:val="24"/>
          <w:lang w:val="ka-GE"/>
        </w:rPr>
        <w:t xml:space="preserve"> </w:t>
      </w:r>
      <w:r w:rsidRPr="009F6844">
        <w:rPr>
          <w:rFonts w:ascii="Sylfaen" w:hAnsi="Sylfaen" w:cs="Sylfaen"/>
          <w:sz w:val="24"/>
          <w:szCs w:val="24"/>
          <w:lang w:val="ka-GE"/>
        </w:rPr>
        <w:t>სამინისტროსთან</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დაავადებათა</w:t>
      </w:r>
      <w:r w:rsidRPr="009F6844">
        <w:rPr>
          <w:sz w:val="24"/>
          <w:szCs w:val="24"/>
          <w:lang w:val="ka-GE"/>
        </w:rPr>
        <w:t xml:space="preserve"> </w:t>
      </w:r>
      <w:r w:rsidRPr="009F6844">
        <w:rPr>
          <w:rFonts w:ascii="Sylfaen" w:hAnsi="Sylfaen" w:cs="Sylfaen"/>
          <w:sz w:val="24"/>
          <w:szCs w:val="24"/>
          <w:lang w:val="ka-GE"/>
        </w:rPr>
        <w:t>კონტროლისა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საზოგადოებრივი</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ეროვნულ</w:t>
      </w:r>
      <w:r w:rsidRPr="009F6844">
        <w:rPr>
          <w:sz w:val="24"/>
          <w:szCs w:val="24"/>
          <w:lang w:val="ka-GE"/>
        </w:rPr>
        <w:t xml:space="preserve"> </w:t>
      </w:r>
      <w:r w:rsidRPr="009F6844">
        <w:rPr>
          <w:rFonts w:ascii="Sylfaen" w:hAnsi="Sylfaen" w:cs="Sylfaen"/>
          <w:sz w:val="24"/>
          <w:szCs w:val="24"/>
          <w:lang w:val="ka-GE"/>
        </w:rPr>
        <w:t>ცენტრთან</w:t>
      </w:r>
      <w:r w:rsidRPr="009F6844">
        <w:rPr>
          <w:sz w:val="24"/>
          <w:szCs w:val="24"/>
          <w:lang w:val="ka-GE"/>
        </w:rPr>
        <w:t xml:space="preserve"> </w:t>
      </w:r>
      <w:r>
        <w:rPr>
          <w:rFonts w:ascii="Sylfaen" w:hAnsi="Sylfaen"/>
          <w:sz w:val="24"/>
          <w:szCs w:val="24"/>
          <w:lang w:val="ka-GE"/>
        </w:rPr>
        <w:t>მჭიდრო</w:t>
      </w:r>
      <w:r w:rsidRPr="009F6844">
        <w:rPr>
          <w:sz w:val="24"/>
          <w:szCs w:val="24"/>
          <w:lang w:val="ka-GE"/>
        </w:rPr>
        <w:t xml:space="preserve"> </w:t>
      </w:r>
      <w:r w:rsidRPr="009F6844">
        <w:rPr>
          <w:rFonts w:ascii="Sylfaen" w:hAnsi="Sylfaen" w:cs="Sylfaen"/>
          <w:sz w:val="24"/>
          <w:szCs w:val="24"/>
          <w:lang w:val="ka-GE"/>
        </w:rPr>
        <w:t>კომუნიკაციის</w:t>
      </w:r>
      <w:r w:rsidRPr="009F6844">
        <w:rPr>
          <w:sz w:val="24"/>
          <w:szCs w:val="24"/>
          <w:lang w:val="ka-GE"/>
        </w:rPr>
        <w:t xml:space="preserve"> </w:t>
      </w:r>
      <w:r w:rsidRPr="009F6844">
        <w:rPr>
          <w:rFonts w:ascii="Sylfaen" w:hAnsi="Sylfaen" w:cs="Sylfaen"/>
          <w:sz w:val="24"/>
          <w:szCs w:val="24"/>
          <w:lang w:val="ka-GE"/>
        </w:rPr>
        <w:t>საფუძველზე</w:t>
      </w:r>
      <w:r w:rsidRPr="009F6844">
        <w:rPr>
          <w:sz w:val="24"/>
          <w:szCs w:val="24"/>
          <w:lang w:val="ka-GE"/>
        </w:rPr>
        <w:t xml:space="preserve">. </w:t>
      </w: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sz w:val="24"/>
          <w:szCs w:val="24"/>
          <w:lang w:val="ka-GE"/>
        </w:rPr>
      </w:pP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9F6844">
        <w:rPr>
          <w:sz w:val="24"/>
          <w:szCs w:val="24"/>
          <w:lang w:val="ka-GE"/>
        </w:rPr>
        <w:t xml:space="preserve">CDC </w:t>
      </w:r>
      <w:r w:rsidRPr="009F6844">
        <w:rPr>
          <w:rFonts w:ascii="Sylfaen" w:hAnsi="Sylfaen" w:cs="Sylfaen"/>
          <w:sz w:val="24"/>
          <w:szCs w:val="24"/>
          <w:lang w:val="ka-GE"/>
        </w:rPr>
        <w:t>უზრუნველყოფს</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სხვადასხვა</w:t>
      </w:r>
      <w:r w:rsidRPr="009F6844">
        <w:rPr>
          <w:sz w:val="24"/>
          <w:szCs w:val="24"/>
          <w:lang w:val="ka-GE"/>
        </w:rPr>
        <w:t xml:space="preserve"> </w:t>
      </w:r>
      <w:r w:rsidRPr="009F6844">
        <w:rPr>
          <w:rFonts w:ascii="Sylfaen" w:hAnsi="Sylfaen" w:cs="Sylfaen"/>
          <w:sz w:val="24"/>
          <w:szCs w:val="24"/>
          <w:lang w:val="ka-GE"/>
        </w:rPr>
        <w:t>რისკ</w:t>
      </w:r>
      <w:r w:rsidRPr="009F6844">
        <w:rPr>
          <w:sz w:val="24"/>
          <w:szCs w:val="24"/>
          <w:lang w:val="ka-GE"/>
        </w:rPr>
        <w:t>-</w:t>
      </w:r>
      <w:r w:rsidRPr="009F6844">
        <w:rPr>
          <w:rFonts w:ascii="Sylfaen" w:hAnsi="Sylfaen" w:cs="Sylfaen"/>
          <w:sz w:val="24"/>
          <w:szCs w:val="24"/>
          <w:lang w:val="ka-GE"/>
        </w:rPr>
        <w:t>ფაქტორებზე</w:t>
      </w:r>
      <w:r w:rsidRPr="009F6844">
        <w:rPr>
          <w:sz w:val="24"/>
          <w:szCs w:val="24"/>
          <w:lang w:val="ka-GE"/>
        </w:rPr>
        <w:t xml:space="preserve"> </w:t>
      </w:r>
      <w:r w:rsidRPr="009F6844">
        <w:rPr>
          <w:rFonts w:ascii="Sylfaen" w:hAnsi="Sylfaen" w:cs="Sylfaen"/>
          <w:sz w:val="24"/>
          <w:szCs w:val="24"/>
          <w:lang w:val="ka-GE"/>
        </w:rPr>
        <w:t>ტექნიკურ</w:t>
      </w:r>
      <w:r w:rsidRPr="009F6844">
        <w:rPr>
          <w:sz w:val="24"/>
          <w:szCs w:val="24"/>
          <w:lang w:val="ka-GE"/>
        </w:rPr>
        <w:t xml:space="preserve"> </w:t>
      </w:r>
      <w:r w:rsidRPr="009F6844">
        <w:rPr>
          <w:rFonts w:ascii="Sylfaen" w:hAnsi="Sylfaen" w:cs="Sylfaen"/>
          <w:sz w:val="24"/>
          <w:szCs w:val="24"/>
          <w:lang w:val="ka-GE"/>
        </w:rPr>
        <w:t>მხარდაჭერას</w:t>
      </w:r>
      <w:r w:rsidRPr="009F6844">
        <w:rPr>
          <w:sz w:val="24"/>
          <w:szCs w:val="24"/>
          <w:lang w:val="ka-GE"/>
        </w:rPr>
        <w:t xml:space="preserve"> </w:t>
      </w:r>
      <w:r w:rsidRPr="009F6844">
        <w:rPr>
          <w:rFonts w:ascii="Sylfaen" w:hAnsi="Sylfaen" w:cs="Sylfaen"/>
          <w:sz w:val="24"/>
          <w:szCs w:val="24"/>
          <w:lang w:val="ka-GE"/>
        </w:rPr>
        <w:t>ზედამხედველობითი</w:t>
      </w:r>
      <w:r w:rsidRPr="009F6844">
        <w:rPr>
          <w:sz w:val="24"/>
          <w:szCs w:val="24"/>
          <w:lang w:val="ka-GE"/>
        </w:rPr>
        <w:t xml:space="preserve"> </w:t>
      </w:r>
      <w:r w:rsidRPr="009F6844">
        <w:rPr>
          <w:rFonts w:ascii="Sylfaen" w:hAnsi="Sylfaen" w:cs="Sylfaen"/>
          <w:sz w:val="24"/>
          <w:szCs w:val="24"/>
          <w:lang w:val="ka-GE"/>
        </w:rPr>
        <w:t>კვლევების</w:t>
      </w:r>
      <w:r w:rsidRPr="009F6844">
        <w:rPr>
          <w:sz w:val="24"/>
          <w:szCs w:val="24"/>
          <w:lang w:val="ka-GE"/>
        </w:rPr>
        <w:t xml:space="preserve"> </w:t>
      </w:r>
      <w:r w:rsidRPr="009F6844">
        <w:rPr>
          <w:rFonts w:ascii="Sylfaen" w:hAnsi="Sylfaen" w:cs="Sylfaen"/>
          <w:sz w:val="24"/>
          <w:szCs w:val="24"/>
          <w:lang w:val="ka-GE"/>
        </w:rPr>
        <w:t>განხორციელების</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ადამიანური</w:t>
      </w:r>
      <w:r w:rsidRPr="009F6844">
        <w:rPr>
          <w:sz w:val="24"/>
          <w:szCs w:val="24"/>
          <w:lang w:val="ka-GE"/>
        </w:rPr>
        <w:t xml:space="preserve"> </w:t>
      </w:r>
      <w:r w:rsidRPr="009F6844">
        <w:rPr>
          <w:rFonts w:ascii="Sylfaen" w:hAnsi="Sylfaen" w:cs="Sylfaen"/>
          <w:sz w:val="24"/>
          <w:szCs w:val="24"/>
          <w:lang w:val="ka-GE"/>
        </w:rPr>
        <w:t>რესურსების</w:t>
      </w:r>
      <w:r w:rsidRPr="009F6844">
        <w:rPr>
          <w:sz w:val="24"/>
          <w:szCs w:val="24"/>
          <w:lang w:val="ka-GE"/>
        </w:rPr>
        <w:t xml:space="preserve"> </w:t>
      </w:r>
      <w:r w:rsidRPr="009F6844">
        <w:rPr>
          <w:rFonts w:ascii="Sylfaen" w:hAnsi="Sylfaen" w:cs="Sylfaen"/>
          <w:sz w:val="24"/>
          <w:szCs w:val="24"/>
          <w:lang w:val="ka-GE"/>
        </w:rPr>
        <w:t>განვითარების</w:t>
      </w:r>
      <w:r w:rsidRPr="009F6844">
        <w:rPr>
          <w:sz w:val="24"/>
          <w:szCs w:val="24"/>
          <w:lang w:val="ka-GE"/>
        </w:rPr>
        <w:t xml:space="preserve"> </w:t>
      </w:r>
      <w:r w:rsidRPr="009F6844">
        <w:rPr>
          <w:rFonts w:ascii="Sylfaen" w:hAnsi="Sylfaen" w:cs="Sylfaen"/>
          <w:sz w:val="24"/>
          <w:szCs w:val="24"/>
          <w:lang w:val="ka-GE"/>
        </w:rPr>
        <w:t>მიმართულებებით</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აქტივობები</w:t>
      </w:r>
      <w:r w:rsidRPr="009F6844">
        <w:rPr>
          <w:sz w:val="24"/>
          <w:szCs w:val="24"/>
          <w:lang w:val="ka-GE"/>
        </w:rPr>
        <w:t xml:space="preserve"> </w:t>
      </w:r>
      <w:r w:rsidRPr="009F6844">
        <w:rPr>
          <w:rFonts w:ascii="Sylfaen" w:hAnsi="Sylfaen" w:cs="Sylfaen"/>
          <w:sz w:val="24"/>
          <w:szCs w:val="24"/>
          <w:lang w:val="ka-GE"/>
        </w:rPr>
        <w:t>მოიცავს</w:t>
      </w:r>
      <w:r w:rsidRPr="009F6844">
        <w:rPr>
          <w:sz w:val="24"/>
          <w:szCs w:val="24"/>
          <w:lang w:val="ka-GE"/>
        </w:rPr>
        <w:t xml:space="preserve"> </w:t>
      </w:r>
      <w:r w:rsidRPr="009F6844">
        <w:rPr>
          <w:rFonts w:ascii="Sylfaen" w:hAnsi="Sylfaen" w:cs="Sylfaen"/>
          <w:sz w:val="24"/>
          <w:szCs w:val="24"/>
          <w:lang w:val="ka-GE"/>
        </w:rPr>
        <w:t>შემდეგ</w:t>
      </w:r>
      <w:r w:rsidRPr="009F6844">
        <w:rPr>
          <w:sz w:val="24"/>
          <w:szCs w:val="24"/>
          <w:lang w:val="ka-GE"/>
        </w:rPr>
        <w:t xml:space="preserve"> </w:t>
      </w:r>
      <w:r w:rsidRPr="009F6844">
        <w:rPr>
          <w:rFonts w:ascii="Sylfaen" w:hAnsi="Sylfaen" w:cs="Sylfaen"/>
          <w:sz w:val="24"/>
          <w:szCs w:val="24"/>
          <w:lang w:val="ka-GE"/>
        </w:rPr>
        <w:t>მიმართულებებს</w:t>
      </w:r>
      <w:r w:rsidRPr="009F6844">
        <w:rPr>
          <w:sz w:val="24"/>
          <w:szCs w:val="24"/>
          <w:lang w:val="ka-GE"/>
        </w:rPr>
        <w:t xml:space="preserve">: </w:t>
      </w:r>
      <w:r w:rsidRPr="009F6844">
        <w:rPr>
          <w:rFonts w:ascii="Sylfaen" w:hAnsi="Sylfaen" w:cs="Sylfaen"/>
          <w:sz w:val="24"/>
          <w:szCs w:val="24"/>
          <w:lang w:val="ka-GE"/>
        </w:rPr>
        <w:t>ჰეპატიტები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გრიპი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ზოონოზური</w:t>
      </w:r>
      <w:r w:rsidRPr="009F6844">
        <w:rPr>
          <w:sz w:val="24"/>
          <w:szCs w:val="24"/>
          <w:lang w:val="ka-GE"/>
        </w:rPr>
        <w:t xml:space="preserve">, </w:t>
      </w:r>
      <w:r w:rsidRPr="009F6844">
        <w:rPr>
          <w:rFonts w:ascii="Sylfaen" w:hAnsi="Sylfaen" w:cs="Sylfaen"/>
          <w:sz w:val="24"/>
          <w:szCs w:val="24"/>
          <w:lang w:val="ka-GE"/>
        </w:rPr>
        <w:t>რესპირატორული</w:t>
      </w:r>
      <w:r w:rsidRPr="009F6844">
        <w:rPr>
          <w:sz w:val="24"/>
          <w:szCs w:val="24"/>
          <w:lang w:val="ka-GE"/>
        </w:rPr>
        <w:t xml:space="preserve">, </w:t>
      </w:r>
      <w:r w:rsidRPr="009F6844">
        <w:rPr>
          <w:rFonts w:ascii="Sylfaen" w:hAnsi="Sylfaen" w:cs="Sylfaen"/>
          <w:sz w:val="24"/>
          <w:szCs w:val="24"/>
          <w:lang w:val="ka-GE"/>
        </w:rPr>
        <w:t>დიარეული</w:t>
      </w:r>
      <w:r w:rsidRPr="009F6844">
        <w:rPr>
          <w:sz w:val="24"/>
          <w:szCs w:val="24"/>
          <w:lang w:val="ka-GE"/>
        </w:rPr>
        <w:t xml:space="preserve"> </w:t>
      </w:r>
      <w:r w:rsidRPr="009F6844">
        <w:rPr>
          <w:rFonts w:ascii="Sylfaen" w:hAnsi="Sylfaen" w:cs="Sylfaen"/>
          <w:sz w:val="24"/>
          <w:szCs w:val="24"/>
          <w:lang w:val="ka-GE"/>
        </w:rPr>
        <w:t>დაავადებები</w:t>
      </w:r>
      <w:r>
        <w:rPr>
          <w:sz w:val="24"/>
          <w:szCs w:val="24"/>
          <w:lang w:val="ka-GE"/>
        </w:rPr>
        <w:t xml:space="preserve">, </w:t>
      </w:r>
      <w:r w:rsidRPr="009F6844">
        <w:rPr>
          <w:rFonts w:ascii="Sylfaen" w:hAnsi="Sylfaen" w:cs="Sylfaen"/>
          <w:sz w:val="24"/>
          <w:szCs w:val="24"/>
          <w:lang w:val="ka-GE"/>
        </w:rPr>
        <w:t>ტუბერკულოზი</w:t>
      </w:r>
      <w:r>
        <w:rPr>
          <w:sz w:val="24"/>
          <w:szCs w:val="24"/>
          <w:lang w:val="ka-GE"/>
        </w:rPr>
        <w:t xml:space="preserve">, </w:t>
      </w:r>
      <w:r w:rsidRPr="009F6844">
        <w:rPr>
          <w:rFonts w:ascii="Sylfaen" w:hAnsi="Sylfaen" w:cs="Sylfaen"/>
          <w:sz w:val="24"/>
          <w:szCs w:val="24"/>
          <w:lang w:val="ka-GE"/>
        </w:rPr>
        <w:t>ნუტრიციოლოგია</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ს</w:t>
      </w:r>
      <w:r>
        <w:rPr>
          <w:rFonts w:ascii="Sylfaen" w:hAnsi="Sylfaen" w:cs="Sylfaen"/>
          <w:sz w:val="24"/>
          <w:szCs w:val="24"/>
          <w:lang w:val="ka-GE"/>
        </w:rPr>
        <w:t>ქესობრივად გადამდები დაავადებები</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სხვ</w:t>
      </w:r>
      <w:r w:rsidRPr="009F6844">
        <w:rPr>
          <w:sz w:val="24"/>
          <w:szCs w:val="24"/>
          <w:lang w:val="ka-GE"/>
        </w:rPr>
        <w:t>.</w:t>
      </w: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ცენტრის საქმიანობის მისიის ფარგლებში, აგრეთვე, უმნიშვნელოვანეს როლს თამაშობს თავდაცვის საფრთხეების შემცირების სააგენტო (</w:t>
      </w:r>
      <w:r w:rsidRPr="00D00442">
        <w:rPr>
          <w:rFonts w:ascii="Sylfaen" w:hAnsi="Sylfaen" w:cs="Sylfaen"/>
          <w:sz w:val="24"/>
          <w:szCs w:val="24"/>
          <w:lang w:val="ka-GE"/>
        </w:rPr>
        <w:t xml:space="preserve">DTRA), </w:t>
      </w:r>
      <w:r>
        <w:rPr>
          <w:rFonts w:ascii="Sylfaen" w:hAnsi="Sylfaen" w:cs="Sylfaen"/>
          <w:sz w:val="24"/>
          <w:szCs w:val="24"/>
          <w:lang w:val="ka-GE"/>
        </w:rPr>
        <w:t>რომელიც აშშ-ს ერთიანი ბიოლოგიური ჩართულობის პროგრამის (</w:t>
      </w:r>
      <w:r w:rsidRPr="00D00442">
        <w:rPr>
          <w:rFonts w:ascii="Sylfaen" w:hAnsi="Sylfaen" w:cs="Sylfaen"/>
          <w:sz w:val="24"/>
          <w:szCs w:val="24"/>
          <w:lang w:val="ka-GE"/>
        </w:rPr>
        <w:t xml:space="preserve">CBEP) </w:t>
      </w:r>
      <w:r>
        <w:rPr>
          <w:rFonts w:ascii="Sylfaen" w:hAnsi="Sylfaen" w:cs="Sylfaen"/>
          <w:sz w:val="24"/>
          <w:szCs w:val="24"/>
          <w:lang w:val="ka-GE"/>
        </w:rPr>
        <w:t xml:space="preserve">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w:t>
      </w:r>
      <w:r w:rsidRPr="00AC0397">
        <w:rPr>
          <w:rFonts w:ascii="Sylfaen" w:hAnsi="Sylfaen" w:cs="Sylfaen"/>
          <w:sz w:val="24"/>
          <w:szCs w:val="24"/>
          <w:lang w:val="ka-GE"/>
        </w:rPr>
        <w:t xml:space="preserve">ზემოაღნიშნული </w:t>
      </w:r>
      <w:r>
        <w:rPr>
          <w:rFonts w:ascii="Sylfaen" w:hAnsi="Sylfaen" w:cs="Sylfaen"/>
          <w:sz w:val="24"/>
          <w:szCs w:val="24"/>
          <w:lang w:val="ka-GE"/>
        </w:rPr>
        <w:t>თანამშრომლობა</w:t>
      </w:r>
      <w:r w:rsidRPr="00AC0397">
        <w:rPr>
          <w:rFonts w:ascii="Sylfaen" w:hAnsi="Sylfaen" w:cs="Sylfaen"/>
          <w:sz w:val="24"/>
          <w:szCs w:val="24"/>
          <w:lang w:val="ka-GE"/>
        </w:rPr>
        <w:t xml:space="preserve"> </w:t>
      </w:r>
      <w:r>
        <w:rPr>
          <w:rFonts w:ascii="Sylfaen" w:hAnsi="Sylfaen" w:cs="Sylfaen"/>
          <w:sz w:val="24"/>
          <w:szCs w:val="24"/>
          <w:lang w:val="ka-GE"/>
        </w:rPr>
        <w:t>ხორციელდება</w:t>
      </w:r>
      <w:r w:rsidRPr="00AC0397">
        <w:rPr>
          <w:rFonts w:ascii="Sylfaen" w:hAnsi="Sylfaen" w:cs="Sylfaen"/>
          <w:sz w:val="24"/>
          <w:szCs w:val="24"/>
          <w:lang w:val="ka-GE"/>
        </w:rPr>
        <w:t xml:space="preserve"> „ერთიანი ჯანმრთელობის“ (One Health) პრინციპით, რომე</w:t>
      </w:r>
      <w:r>
        <w:rPr>
          <w:rFonts w:ascii="Sylfaen" w:hAnsi="Sylfaen" w:cs="Sylfaen"/>
          <w:sz w:val="24"/>
          <w:szCs w:val="24"/>
          <w:lang w:val="ka-GE"/>
        </w:rPr>
        <w:t>ლ</w:t>
      </w:r>
      <w:r w:rsidRPr="00AC0397">
        <w:rPr>
          <w:rFonts w:ascii="Sylfaen" w:hAnsi="Sylfaen" w:cs="Sylfaen"/>
          <w:sz w:val="24"/>
          <w:szCs w:val="24"/>
          <w:lang w:val="ka-GE"/>
        </w:rPr>
        <w:t>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w:t>
      </w:r>
      <w:r>
        <w:rPr>
          <w:rFonts w:ascii="Sylfaen" w:hAnsi="Sylfaen" w:cs="Sylfaen"/>
          <w:sz w:val="24"/>
          <w:szCs w:val="24"/>
          <w:lang w:val="ka-GE"/>
        </w:rPr>
        <w:t xml:space="preserve">. </w:t>
      </w:r>
      <w:r w:rsidRPr="00D00442">
        <w:rPr>
          <w:rFonts w:ascii="Sylfaen" w:hAnsi="Sylfaen" w:cs="Sylfaen"/>
          <w:sz w:val="24"/>
          <w:szCs w:val="24"/>
          <w:lang w:val="ka-GE"/>
        </w:rPr>
        <w:t>DTRA-</w:t>
      </w:r>
      <w:r>
        <w:rPr>
          <w:rFonts w:ascii="Sylfaen" w:hAnsi="Sylfaen" w:cs="Sylfaen"/>
          <w:sz w:val="24"/>
          <w:szCs w:val="24"/>
          <w:lang w:val="ka-GE"/>
        </w:rPr>
        <w:t xml:space="preserve">ს ხელშეწყობით შეიქმნა ერთიანი ლაბორატორიული და ეპიდზედამხედველობითი ქსელი ქვეყანაში, რომელშიც ჩართულნი არიან რეგიონული ზედამხედველობითი ლაბორატორიები და 2013 წლიდან ცენტრალიზებულად ექვემდებარებიან დაავადებათა კონტროლისა და საზოგადოებრივი ჯანმრთელობის ეროვნული ცენტრის რ. ლუგარის სახ. საზოგადოებრივი კვლევით ბიოუსაფრთხეობის მე-3 დონის რეფერალურ ლაბორატორიას. </w:t>
      </w:r>
      <w:r w:rsidRPr="00AC0397">
        <w:rPr>
          <w:rFonts w:ascii="Sylfaen" w:hAnsi="Sylfaen" w:cs="Sylfaen"/>
          <w:sz w:val="24"/>
          <w:szCs w:val="24"/>
          <w:lang w:val="ka-GE"/>
        </w:rPr>
        <w:t xml:space="preserve">DTRA-ს </w:t>
      </w:r>
      <w:r>
        <w:rPr>
          <w:rFonts w:ascii="Sylfaen" w:hAnsi="Sylfaen" w:cs="Sylfaen"/>
          <w:sz w:val="24"/>
          <w:szCs w:val="24"/>
          <w:lang w:val="ka-GE"/>
        </w:rPr>
        <w:t xml:space="preserve">ტექნიკური და ფინანსური </w:t>
      </w:r>
      <w:r w:rsidRPr="00AC0397">
        <w:rPr>
          <w:rFonts w:ascii="Sylfaen" w:hAnsi="Sylfaen" w:cs="Sylfaen"/>
          <w:sz w:val="24"/>
          <w:szCs w:val="24"/>
          <w:lang w:val="ka-GE"/>
        </w:rPr>
        <w:t>მხარდაჭერა</w:t>
      </w:r>
      <w:r>
        <w:rPr>
          <w:rFonts w:ascii="Sylfaen" w:hAnsi="Sylfaen" w:cs="Sylfaen"/>
          <w:sz w:val="24"/>
          <w:szCs w:val="24"/>
          <w:lang w:val="ka-GE"/>
        </w:rPr>
        <w:t xml:space="preserve"> ლუგარის ცენტრის მშენებლობის, ადამიანური რესურსების გადამზადების (ბიოუსაფრთხოებაში, ენტომოლოგიაში, ლაბორატორიულ დიაგნოსტიკაში, ეპიდემიოლოგიაში, </w:t>
      </w:r>
      <w:r w:rsidRPr="009140C6">
        <w:rPr>
          <w:rFonts w:ascii="Sylfaen" w:hAnsi="Sylfaen" w:cs="Sylfaen"/>
          <w:sz w:val="24"/>
          <w:szCs w:val="24"/>
          <w:lang w:val="ka-GE"/>
        </w:rPr>
        <w:t>BMJ-</w:t>
      </w:r>
      <w:r>
        <w:rPr>
          <w:rFonts w:ascii="Sylfaen" w:hAnsi="Sylfaen" w:cs="Sylfaen"/>
          <w:sz w:val="24"/>
          <w:szCs w:val="24"/>
          <w:lang w:val="ka-GE"/>
        </w:rPr>
        <w:t xml:space="preserve">ის ფართემასშტაბიანი პროექტი კლინიკური მედიცინის ექიმებისთვის), ლაბორატორიული ინფრასტრუქტურისა და საქმიანობის განვითარების კუთხით ფასდაუდებელია. ლუგარის ცენტრი </w:t>
      </w:r>
      <w:r w:rsidRPr="00DD24FE">
        <w:rPr>
          <w:rFonts w:ascii="Sylfaen" w:hAnsi="Sylfaen" w:cs="Sylfaen"/>
          <w:sz w:val="24"/>
          <w:szCs w:val="24"/>
          <w:lang w:val="ka-GE"/>
        </w:rPr>
        <w:t xml:space="preserve">წარმოადგენს ქვეყნის ეპიდემიოლოგიური </w:t>
      </w:r>
      <w:r>
        <w:rPr>
          <w:rFonts w:ascii="Sylfaen" w:hAnsi="Sylfaen" w:cs="Sylfaen"/>
          <w:sz w:val="24"/>
          <w:szCs w:val="24"/>
          <w:lang w:val="ka-GE"/>
        </w:rPr>
        <w:t xml:space="preserve">და ბიოლოგიური უსაფრთხოებისა და ზედამხედველობის სახელმწიფო დაწესებულებას, რომლის ბაზაზეც მიმდინარეობს </w:t>
      </w:r>
      <w:r>
        <w:rPr>
          <w:rFonts w:ascii="Sylfaen" w:hAnsi="Sylfaen" w:cs="Sylfaen"/>
          <w:sz w:val="24"/>
          <w:szCs w:val="24"/>
          <w:lang w:val="ka-GE"/>
        </w:rPr>
        <w:lastRenderedPageBreak/>
        <w:t>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w:t>
      </w:r>
      <w:r w:rsidRPr="00DD24FE">
        <w:rPr>
          <w:rFonts w:ascii="Sylfaen" w:hAnsi="Sylfaen" w:cs="Sylfaen"/>
          <w:sz w:val="24"/>
          <w:szCs w:val="24"/>
          <w:lang w:val="ka-GE"/>
        </w:rPr>
        <w:t xml:space="preserve">აზჯანდაცვის სახელმწიფო პროგრამების </w:t>
      </w:r>
      <w:r>
        <w:rPr>
          <w:rFonts w:ascii="Sylfaen" w:hAnsi="Sylfaen" w:cs="Sylfaen"/>
          <w:sz w:val="24"/>
          <w:szCs w:val="24"/>
          <w:lang w:val="ka-GE"/>
        </w:rPr>
        <w:t xml:space="preserve">ლაბორატორიულ ზედამხედველობას, მონაწილეობს აშშ-ს </w:t>
      </w:r>
      <w:r w:rsidRPr="00DD24FE">
        <w:rPr>
          <w:rFonts w:ascii="Sylfaen" w:hAnsi="Sylfaen" w:cs="Sylfaen"/>
          <w:sz w:val="24"/>
          <w:szCs w:val="24"/>
          <w:lang w:val="ka-GE"/>
        </w:rPr>
        <w:t xml:space="preserve">ჯანმრთელობის გლობალური უსაფრთხოების პროგრამის (GHSA) ლაბორატორიული სისტემის პაკეტში; </w:t>
      </w:r>
      <w:r>
        <w:rPr>
          <w:rFonts w:ascii="Sylfaen" w:hAnsi="Sylfaen" w:cs="Sylfaen"/>
          <w:sz w:val="24"/>
          <w:szCs w:val="24"/>
          <w:lang w:val="ka-GE"/>
        </w:rPr>
        <w:t xml:space="preserve">ლუგარის ცენტრის ბაზაზე შექმნილია ეროვნული საცავი, სადაც </w:t>
      </w:r>
      <w:r w:rsidRPr="00DD24FE">
        <w:rPr>
          <w:rFonts w:ascii="Sylfaen" w:hAnsi="Sylfaen" w:cs="Sylfaen"/>
          <w:sz w:val="24"/>
          <w:szCs w:val="24"/>
          <w:lang w:val="ka-GE"/>
        </w:rPr>
        <w:t>კონსოლიდ</w:t>
      </w:r>
      <w:r>
        <w:rPr>
          <w:rFonts w:ascii="Sylfaen" w:hAnsi="Sylfaen" w:cs="Sylfaen"/>
          <w:sz w:val="24"/>
          <w:szCs w:val="24"/>
          <w:lang w:val="ka-GE"/>
        </w:rPr>
        <w:t>ირებულია ქვეყნის ყველა ბიოლოგიურად საშიში</w:t>
      </w:r>
      <w:r w:rsidRPr="00DD24FE">
        <w:rPr>
          <w:rFonts w:ascii="Sylfaen" w:hAnsi="Sylfaen" w:cs="Sylfaen"/>
          <w:sz w:val="24"/>
          <w:szCs w:val="24"/>
          <w:lang w:val="ka-GE"/>
        </w:rPr>
        <w:t xml:space="preserve"> </w:t>
      </w:r>
      <w:r>
        <w:rPr>
          <w:rFonts w:ascii="Sylfaen" w:hAnsi="Sylfaen" w:cs="Sylfaen"/>
          <w:sz w:val="24"/>
          <w:szCs w:val="24"/>
          <w:lang w:val="ka-GE"/>
        </w:rPr>
        <w:t xml:space="preserve">კულტურა და ა.შ. </w:t>
      </w: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3039C7" w:rsidRDefault="003039C7" w:rsidP="003039C7">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8452D9">
        <w:rPr>
          <w:rFonts w:ascii="Sylfaen" w:hAnsi="Sylfaen" w:cs="Sylfaen"/>
          <w:sz w:val="24"/>
          <w:szCs w:val="24"/>
          <w:lang w:val="ka-GE"/>
        </w:rPr>
        <w:t>ზემო</w:t>
      </w:r>
      <w:r>
        <w:rPr>
          <w:rFonts w:ascii="Sylfaen" w:hAnsi="Sylfaen" w:cs="Sylfaen"/>
          <w:sz w:val="24"/>
          <w:szCs w:val="24"/>
          <w:lang w:val="ka-GE"/>
        </w:rPr>
        <w:t>ჩამოთვლილი ორმხრივი თანამშრომლობის შედეგად</w:t>
      </w:r>
      <w:r w:rsidRPr="008452D9">
        <w:rPr>
          <w:rFonts w:ascii="Sylfaen" w:hAnsi="Sylfaen" w:cs="Sylfaen"/>
          <w:sz w:val="24"/>
          <w:szCs w:val="24"/>
          <w:lang w:val="ka-GE"/>
        </w:rPr>
        <w:t>, დღეს</w:t>
      </w:r>
      <w:r>
        <w:rPr>
          <w:rFonts w:ascii="Sylfaen" w:hAnsi="Sylfaen" w:cs="Sylfaen"/>
          <w:sz w:val="24"/>
          <w:szCs w:val="24"/>
          <w:lang w:val="ka-GE"/>
        </w:rPr>
        <w:t>,</w:t>
      </w:r>
      <w:r w:rsidRPr="008452D9">
        <w:rPr>
          <w:rFonts w:ascii="Sylfaen" w:hAnsi="Sylfaen" w:cs="Sylfaen"/>
          <w:sz w:val="24"/>
          <w:szCs w:val="24"/>
          <w:lang w:val="ka-GE"/>
        </w:rPr>
        <w:t xml:space="preserve"> საქართველო რეგიონში წარმოადგენს ძლიერი </w:t>
      </w:r>
      <w:r>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w:t>
      </w:r>
      <w:r>
        <w:rPr>
          <w:rFonts w:ascii="Sylfaen" w:hAnsi="Sylfaen" w:cs="Sylfaen"/>
          <w:sz w:val="24"/>
          <w:szCs w:val="24"/>
          <w:lang w:val="ka-GE"/>
        </w:rPr>
        <w:t xml:space="preserve"> </w:t>
      </w:r>
    </w:p>
    <w:p w:rsidR="003039C7" w:rsidRDefault="003039C7" w:rsidP="003039C7">
      <w:pPr>
        <w:pStyle w:val="ListParagraph"/>
        <w:shd w:val="clear" w:color="auto" w:fill="FFFFFF" w:themeFill="background1"/>
        <w:tabs>
          <w:tab w:val="right" w:pos="9360"/>
        </w:tabs>
        <w:ind w:left="0"/>
        <w:jc w:val="both"/>
        <w:rPr>
          <w:rFonts w:ascii="Sylfaen" w:hAnsi="Sylfaen" w:cs="Sylfaen"/>
          <w:sz w:val="24"/>
          <w:szCs w:val="24"/>
          <w:lang w:val="ka-GE"/>
        </w:rPr>
      </w:pPr>
      <w:r>
        <w:rPr>
          <w:rFonts w:ascii="Sylfaen" w:hAnsi="Sylfaen" w:cs="Sylfaen"/>
          <w:sz w:val="24"/>
          <w:szCs w:val="24"/>
          <w:lang w:val="ka-GE"/>
        </w:rPr>
        <w:t xml:space="preserve">     </w:t>
      </w:r>
    </w:p>
    <w:p w:rsidR="00FC138B" w:rsidRDefault="00FC138B" w:rsidP="003039C7">
      <w:pPr>
        <w:pStyle w:val="ListParagraph"/>
        <w:shd w:val="clear" w:color="auto" w:fill="FFFFFF" w:themeFill="background1"/>
        <w:tabs>
          <w:tab w:val="right" w:pos="9360"/>
        </w:tabs>
        <w:ind w:left="0"/>
        <w:jc w:val="both"/>
        <w:rPr>
          <w:rFonts w:ascii="Sylfaen" w:hAnsi="Sylfaen" w:cs="Sylfaen"/>
          <w:sz w:val="24"/>
          <w:szCs w:val="24"/>
          <w:lang w:val="ka-GE"/>
        </w:rPr>
      </w:pPr>
    </w:p>
    <w:p w:rsidR="00FC138B" w:rsidRDefault="00FC138B" w:rsidP="00FC138B">
      <w:pPr>
        <w:jc w:val="both"/>
        <w:rPr>
          <w:rFonts w:ascii="Sylfaen" w:eastAsia="Calibri" w:hAnsi="Sylfaen"/>
          <w:b/>
          <w:u w:val="single"/>
          <w:lang w:val="ka-GE"/>
        </w:rPr>
      </w:pPr>
      <w:r>
        <w:rPr>
          <w:rFonts w:ascii="Sylfaen" w:eastAsia="Calibri" w:hAnsi="Sylfaen"/>
          <w:b/>
          <w:u w:val="single"/>
        </w:rPr>
        <w:t>CDC-</w:t>
      </w:r>
      <w:r>
        <w:rPr>
          <w:rFonts w:ascii="Sylfaen" w:eastAsia="Calibri" w:hAnsi="Sylfaen"/>
          <w:b/>
          <w:u w:val="single"/>
          <w:lang w:val="ka-GE"/>
        </w:rPr>
        <w:t>თან თანამშრომლობის საკითხები</w:t>
      </w:r>
    </w:p>
    <w:p w:rsidR="00FC138B" w:rsidRPr="00892813" w:rsidRDefault="00FC138B" w:rsidP="00FC138B">
      <w:pPr>
        <w:jc w:val="both"/>
        <w:rPr>
          <w:rFonts w:ascii="Sylfaen" w:eastAsia="Calibri" w:hAnsi="Sylfaen"/>
          <w:b/>
          <w:lang w:val="ka-GE"/>
        </w:rPr>
      </w:pPr>
    </w:p>
    <w:p w:rsidR="00FC138B" w:rsidRPr="00EA07F0" w:rsidRDefault="00FC138B" w:rsidP="00FC138B">
      <w:pPr>
        <w:pStyle w:val="ListParagraph"/>
        <w:numPr>
          <w:ilvl w:val="0"/>
          <w:numId w:val="1"/>
        </w:numPr>
        <w:spacing w:after="0" w:line="240" w:lineRule="auto"/>
        <w:contextualSpacing w:val="0"/>
        <w:jc w:val="both"/>
        <w:rPr>
          <w:rFonts w:ascii="Sylfaen" w:hAnsi="Sylfaen"/>
          <w:bCs/>
        </w:rPr>
      </w:pPr>
      <w:r w:rsidRPr="00EA07F0">
        <w:rPr>
          <w:rFonts w:ascii="Sylfaen" w:hAnsi="Sylfaen"/>
          <w:bCs/>
        </w:rPr>
        <w:t>It is important to maintain the CDC's long-term stay in Georgia as a major int</w:t>
      </w:r>
      <w:r>
        <w:rPr>
          <w:rFonts w:ascii="Sylfaen" w:hAnsi="Sylfaen"/>
          <w:bCs/>
        </w:rPr>
        <w:t xml:space="preserve">ernational partner institution </w:t>
      </w:r>
      <w:r w:rsidRPr="00EA07F0">
        <w:rPr>
          <w:rFonts w:ascii="Sylfaen" w:hAnsi="Sylfaen"/>
          <w:bCs/>
        </w:rPr>
        <w:t xml:space="preserve">in public health; </w:t>
      </w:r>
    </w:p>
    <w:p w:rsidR="00FC138B" w:rsidRPr="00EA07F0" w:rsidRDefault="00FC138B" w:rsidP="00FC138B">
      <w:pPr>
        <w:pStyle w:val="ListParagraph"/>
        <w:numPr>
          <w:ilvl w:val="0"/>
          <w:numId w:val="1"/>
        </w:numPr>
        <w:spacing w:after="0" w:line="240" w:lineRule="auto"/>
        <w:contextualSpacing w:val="0"/>
        <w:jc w:val="both"/>
        <w:rPr>
          <w:rFonts w:ascii="Sylfaen" w:hAnsi="Sylfaen"/>
          <w:bCs/>
        </w:rPr>
      </w:pPr>
      <w:r w:rsidRPr="00EA07F0">
        <w:rPr>
          <w:rFonts w:ascii="Sylfaen" w:hAnsi="Sylfaen"/>
          <w:bCs/>
        </w:rPr>
        <w:t>The Role and Functions of the CDC's Future Regional Hub in Georgia will be identified and beneficial for the country capacity strengthening;</w:t>
      </w:r>
    </w:p>
    <w:p w:rsidR="00FC138B" w:rsidRPr="00EA07F0" w:rsidRDefault="00FC138B" w:rsidP="00FC138B">
      <w:pPr>
        <w:jc w:val="both"/>
        <w:rPr>
          <w:rFonts w:ascii="Sylfaen" w:eastAsia="Calibri" w:hAnsi="Sylfaen"/>
          <w:b/>
          <w:u w:val="single"/>
        </w:rPr>
      </w:pPr>
      <w:r w:rsidRPr="00EA07F0">
        <w:rPr>
          <w:rFonts w:ascii="Sylfaen" w:eastAsia="Calibri" w:hAnsi="Sylfaen"/>
          <w:b/>
          <w:u w:val="single"/>
        </w:rPr>
        <w:t>Requests:</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Continued support for hepatitis C elimination program</w:t>
      </w:r>
      <w:r>
        <w:rPr>
          <w:rFonts w:ascii="Sylfaen" w:hAnsi="Sylfaen"/>
          <w:bCs/>
        </w:rPr>
        <w:t>;</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Involvement in strengthening surveillance systems for communicable and non-communicable diseases;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Cooperation in Environmental health;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Strengthening of institutional response to outbreaks within and outside the country;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Maintenance of sentinel surveillance of influenza;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Responding to public health threats;</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Providing a field epidemiology program for health professionals;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Digital healthcare;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Enhance external quality control of the laboratory; </w:t>
      </w:r>
    </w:p>
    <w:p w:rsidR="00FC138B"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Antimicrobial resistance; </w:t>
      </w:r>
    </w:p>
    <w:p w:rsidR="00FC138B" w:rsidRPr="008C029E" w:rsidRDefault="00FC138B" w:rsidP="00FC138B">
      <w:pPr>
        <w:pStyle w:val="ListParagraph"/>
        <w:numPr>
          <w:ilvl w:val="0"/>
          <w:numId w:val="2"/>
        </w:numPr>
        <w:spacing w:after="0" w:line="240" w:lineRule="auto"/>
        <w:contextualSpacing w:val="0"/>
        <w:jc w:val="both"/>
        <w:rPr>
          <w:rFonts w:ascii="Sylfaen" w:hAnsi="Sylfaen"/>
          <w:bCs/>
        </w:rPr>
      </w:pPr>
      <w:r w:rsidRPr="008C029E">
        <w:rPr>
          <w:rFonts w:ascii="Sylfaen" w:hAnsi="Sylfaen"/>
          <w:bCs/>
        </w:rPr>
        <w:t xml:space="preserve">Expansion of scientific </w:t>
      </w:r>
      <w:r>
        <w:rPr>
          <w:rFonts w:ascii="Sylfaen" w:hAnsi="Sylfaen"/>
          <w:bCs/>
        </w:rPr>
        <w:t>and surveillance grant projects.</w:t>
      </w:r>
    </w:p>
    <w:p w:rsidR="00FC138B" w:rsidRDefault="00FC138B" w:rsidP="00FC138B"/>
    <w:p w:rsidR="00FC138B" w:rsidRPr="00FC138B" w:rsidRDefault="00FC138B" w:rsidP="003039C7">
      <w:pPr>
        <w:pStyle w:val="ListParagraph"/>
        <w:shd w:val="clear" w:color="auto" w:fill="FFFFFF" w:themeFill="background1"/>
        <w:tabs>
          <w:tab w:val="right" w:pos="9360"/>
        </w:tabs>
        <w:ind w:left="0"/>
        <w:jc w:val="both"/>
        <w:rPr>
          <w:rFonts w:ascii="Sylfaen" w:hAnsi="Sylfaen" w:cs="Sylfaen"/>
          <w:b/>
          <w:sz w:val="24"/>
          <w:szCs w:val="24"/>
        </w:rPr>
      </w:pPr>
    </w:p>
    <w:p w:rsidR="00141998" w:rsidRDefault="00141998"/>
    <w:sectPr w:rsidR="00141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C2F46"/>
    <w:multiLevelType w:val="hybridMultilevel"/>
    <w:tmpl w:val="861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6D"/>
    <w:rsid w:val="00141998"/>
    <w:rsid w:val="002772B0"/>
    <w:rsid w:val="003039C7"/>
    <w:rsid w:val="0036606D"/>
    <w:rsid w:val="009C6BCD"/>
    <w:rsid w:val="00C24335"/>
    <w:rsid w:val="00FC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039C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303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039C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30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Godziashvili</dc:creator>
  <cp:lastModifiedBy>Mariana Mkurnali</cp:lastModifiedBy>
  <cp:revision>2</cp:revision>
  <dcterms:created xsi:type="dcterms:W3CDTF">2019-09-03T07:34:00Z</dcterms:created>
  <dcterms:modified xsi:type="dcterms:W3CDTF">2019-09-03T07:34:00Z</dcterms:modified>
</cp:coreProperties>
</file>