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09C" w:rsidRDefault="002E141B" w:rsidP="00C005A2">
      <w:pPr>
        <w:jc w:val="center"/>
        <w:rPr>
          <w:rFonts w:ascii="Sylfaen" w:hAnsi="Sylfaen"/>
          <w:b/>
          <w:color w:val="2E74B5" w:themeColor="accent1" w:themeShade="BF"/>
          <w:sz w:val="28"/>
          <w:szCs w:val="24"/>
          <w:lang w:val="ka-GE"/>
        </w:rPr>
      </w:pPr>
      <w:r w:rsidRPr="00E26773">
        <w:rPr>
          <w:rFonts w:ascii="Sylfaen" w:hAnsi="Sylfaen"/>
          <w:b/>
          <w:color w:val="2E74B5" w:themeColor="accent1" w:themeShade="BF"/>
          <w:sz w:val="28"/>
          <w:szCs w:val="24"/>
          <w:lang w:val="ka-GE"/>
        </w:rPr>
        <w:t xml:space="preserve">საავადმყოფოების </w:t>
      </w:r>
      <w:r w:rsidR="00C005A2">
        <w:rPr>
          <w:rFonts w:ascii="Sylfaen" w:hAnsi="Sylfaen"/>
          <w:b/>
          <w:color w:val="2E74B5" w:themeColor="accent1" w:themeShade="BF"/>
          <w:sz w:val="28"/>
          <w:szCs w:val="24"/>
          <w:lang w:val="ka-GE"/>
        </w:rPr>
        <w:t>განაწილების</w:t>
      </w:r>
      <w:r w:rsidRPr="00E26773">
        <w:rPr>
          <w:rFonts w:ascii="Sylfaen" w:hAnsi="Sylfaen"/>
          <w:b/>
          <w:color w:val="2E74B5" w:themeColor="accent1" w:themeShade="BF"/>
          <w:sz w:val="28"/>
          <w:szCs w:val="24"/>
          <w:lang w:val="ka-GE"/>
        </w:rPr>
        <w:t xml:space="preserve"> და </w:t>
      </w:r>
      <w:r w:rsidR="00C005A2">
        <w:rPr>
          <w:rFonts w:ascii="Sylfaen" w:hAnsi="Sylfaen"/>
          <w:b/>
          <w:color w:val="2E74B5" w:themeColor="accent1" w:themeShade="BF"/>
          <w:sz w:val="28"/>
          <w:szCs w:val="24"/>
          <w:lang w:val="ka-GE"/>
        </w:rPr>
        <w:t>მოწყობის საკითხები</w:t>
      </w:r>
      <w:r w:rsidRPr="00E26773">
        <w:rPr>
          <w:rFonts w:ascii="Sylfaen" w:hAnsi="Sylfaen"/>
          <w:b/>
          <w:color w:val="2E74B5" w:themeColor="accent1" w:themeShade="BF"/>
          <w:sz w:val="28"/>
          <w:szCs w:val="24"/>
          <w:lang w:val="ka-GE"/>
        </w:rPr>
        <w:t xml:space="preserve"> ევროკავშირის ქვეყნებში</w:t>
      </w:r>
    </w:p>
    <w:p w:rsidR="00E26773" w:rsidRPr="00E26773" w:rsidRDefault="00E26773" w:rsidP="002E141B">
      <w:pPr>
        <w:jc w:val="center"/>
        <w:rPr>
          <w:rFonts w:ascii="Sylfaen" w:hAnsi="Sylfaen"/>
          <w:b/>
          <w:color w:val="2E74B5" w:themeColor="accent1" w:themeShade="BF"/>
          <w:sz w:val="28"/>
          <w:szCs w:val="24"/>
          <w:lang w:val="ka-GE"/>
        </w:rPr>
      </w:pPr>
    </w:p>
    <w:p w:rsidR="002E141B" w:rsidRPr="000C43C4" w:rsidRDefault="000C43C4" w:rsidP="000C43C4">
      <w:pPr>
        <w:rPr>
          <w:rFonts w:ascii="Sylfaen" w:hAnsi="Sylfaen"/>
          <w:b/>
          <w:sz w:val="24"/>
          <w:szCs w:val="24"/>
          <w:lang w:val="ka-GE"/>
        </w:rPr>
      </w:pPr>
      <w:r w:rsidRPr="000C43C4">
        <w:rPr>
          <w:rFonts w:ascii="Sylfaen" w:hAnsi="Sylfaen"/>
          <w:b/>
          <w:sz w:val="24"/>
          <w:szCs w:val="24"/>
          <w:lang w:val="ka-GE"/>
        </w:rPr>
        <w:t>საწოლების რაოდენობა</w:t>
      </w:r>
      <w:r w:rsidR="00E26773">
        <w:rPr>
          <w:rFonts w:ascii="Sylfaen" w:hAnsi="Sylfaen"/>
          <w:b/>
          <w:sz w:val="24"/>
          <w:szCs w:val="24"/>
          <w:lang w:val="ka-GE"/>
        </w:rPr>
        <w:t xml:space="preserve"> და სახეობა</w:t>
      </w:r>
    </w:p>
    <w:p w:rsidR="002E141B" w:rsidRPr="00D5528F" w:rsidRDefault="004E769F" w:rsidP="002E141B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ევროპის სტატისტიკის ოფისის (</w:t>
      </w:r>
      <w:r>
        <w:rPr>
          <w:rFonts w:ascii="Sylfaen" w:hAnsi="Sylfaen"/>
          <w:sz w:val="24"/>
          <w:szCs w:val="24"/>
        </w:rPr>
        <w:t>EUROSTAT)</w:t>
      </w:r>
      <w:r>
        <w:rPr>
          <w:rFonts w:ascii="Sylfaen" w:hAnsi="Sylfaen"/>
          <w:sz w:val="24"/>
          <w:szCs w:val="24"/>
          <w:lang w:val="ka-GE"/>
        </w:rPr>
        <w:t xml:space="preserve"> თანახმად, საავადმყოფო საწოლების რაოდენობა  საშუალოდ 2.6 მილიონს შეადგენს ევროკავშირის მასშტაბით.  </w:t>
      </w:r>
      <w:r w:rsidR="000C43C4">
        <w:rPr>
          <w:rFonts w:ascii="Sylfaen" w:hAnsi="Sylfaen"/>
          <w:sz w:val="24"/>
          <w:szCs w:val="24"/>
          <w:lang w:val="ka-GE"/>
        </w:rPr>
        <w:t>მონაცემების თანახმად, ჰოსპიტალებში საწოლების რაოდენობის კლების ტენდენციაა, რის შედეგად მაჩვენებელი ყოველ 100 000 მოსახლეზე საშუალოდ 584-დან 515-მდე შემცირდა</w:t>
      </w:r>
      <w:r>
        <w:rPr>
          <w:rFonts w:ascii="Sylfaen" w:hAnsi="Sylfaen"/>
          <w:sz w:val="24"/>
          <w:szCs w:val="24"/>
          <w:lang w:val="ka-GE"/>
        </w:rPr>
        <w:t>.</w:t>
      </w:r>
      <w:r w:rsidR="00951ADB">
        <w:rPr>
          <w:rFonts w:ascii="Sylfaen" w:hAnsi="Sylfaen"/>
          <w:sz w:val="24"/>
          <w:szCs w:val="24"/>
        </w:rPr>
        <w:t xml:space="preserve"> </w:t>
      </w:r>
      <w:r w:rsidR="000C43C4">
        <w:rPr>
          <w:rFonts w:ascii="Sylfaen" w:hAnsi="Sylfaen"/>
          <w:sz w:val="24"/>
          <w:szCs w:val="24"/>
          <w:lang w:val="ka-GE"/>
        </w:rPr>
        <w:t xml:space="preserve">საწოლების რაოდენობის </w:t>
      </w:r>
      <w:r w:rsidR="000B7573" w:rsidRPr="00D5528F">
        <w:rPr>
          <w:rFonts w:ascii="Sylfaen" w:hAnsi="Sylfaen"/>
          <w:sz w:val="24"/>
          <w:szCs w:val="24"/>
          <w:lang w:val="ka-GE"/>
        </w:rPr>
        <w:t>შემცირების მიზეზებს შორის წამყვანია ეკონომიკური ფაქტორები, სამედიცინო აპარტურის გაზრდილი ტექნიკური შესაძლებლობები</w:t>
      </w:r>
      <w:r w:rsidR="00E26773">
        <w:rPr>
          <w:rFonts w:ascii="Sylfaen" w:hAnsi="Sylfaen"/>
          <w:sz w:val="24"/>
          <w:szCs w:val="24"/>
        </w:rPr>
        <w:t xml:space="preserve"> </w:t>
      </w:r>
      <w:r w:rsidR="00E26773">
        <w:rPr>
          <w:rFonts w:ascii="Sylfaen" w:hAnsi="Sylfaen"/>
          <w:sz w:val="24"/>
          <w:szCs w:val="24"/>
          <w:lang w:val="ka-GE"/>
        </w:rPr>
        <w:t>და კლინიკაში დაყოვნების საჭიროების შემცირება</w:t>
      </w:r>
      <w:r w:rsidR="000B7573" w:rsidRPr="00D5528F">
        <w:rPr>
          <w:rFonts w:ascii="Sylfaen" w:hAnsi="Sylfaen"/>
          <w:sz w:val="24"/>
          <w:szCs w:val="24"/>
          <w:lang w:val="ka-GE"/>
        </w:rPr>
        <w:t xml:space="preserve">, მკურნალობისა და ოპერაციის შემდგომ პერიოდში კლინიკაში </w:t>
      </w:r>
      <w:r w:rsidR="00E26773">
        <w:rPr>
          <w:rFonts w:ascii="Sylfaen" w:hAnsi="Sylfaen"/>
          <w:sz w:val="24"/>
          <w:szCs w:val="24"/>
          <w:lang w:val="ka-GE"/>
        </w:rPr>
        <w:t xml:space="preserve">გატარებული დღეების </w:t>
      </w:r>
      <w:r w:rsidR="000B7573" w:rsidRPr="00D5528F">
        <w:rPr>
          <w:rFonts w:ascii="Sylfaen" w:hAnsi="Sylfaen"/>
          <w:sz w:val="24"/>
          <w:szCs w:val="24"/>
          <w:lang w:val="ka-GE"/>
        </w:rPr>
        <w:t>შემცირება, პაციენტების ნაკადის ზრდა</w:t>
      </w:r>
      <w:r w:rsidR="00E26773">
        <w:rPr>
          <w:rFonts w:ascii="Sylfaen" w:hAnsi="Sylfaen"/>
          <w:sz w:val="24"/>
          <w:szCs w:val="24"/>
          <w:lang w:val="ka-GE"/>
        </w:rPr>
        <w:t xml:space="preserve"> ჰოსპიტალურიდან ამბულატორიულ სექტორში.</w:t>
      </w:r>
      <w:r w:rsidR="000B7573" w:rsidRPr="00D5528F">
        <w:rPr>
          <w:rFonts w:ascii="Sylfaen" w:hAnsi="Sylfaen"/>
          <w:sz w:val="24"/>
          <w:szCs w:val="24"/>
          <w:lang w:val="ka-GE"/>
        </w:rPr>
        <w:t xml:space="preserve"> </w:t>
      </w:r>
    </w:p>
    <w:p w:rsidR="00E26773" w:rsidRDefault="00E26773" w:rsidP="002E141B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ევროკავშირის ქვეყნებში საწოლების რაოდენობა ყველაზე მაღალია </w:t>
      </w:r>
      <w:r w:rsidR="000D43E9" w:rsidRPr="00D5528F">
        <w:rPr>
          <w:rFonts w:ascii="Sylfaen" w:hAnsi="Sylfaen"/>
          <w:sz w:val="24"/>
          <w:szCs w:val="24"/>
          <w:lang w:val="ka-GE"/>
        </w:rPr>
        <w:t>გერმანიაში, ავსტრიასა და ბულგარეთში</w:t>
      </w:r>
      <w:r>
        <w:rPr>
          <w:rFonts w:ascii="Sylfaen" w:hAnsi="Sylfaen"/>
          <w:sz w:val="24"/>
          <w:szCs w:val="24"/>
          <w:lang w:val="ka-GE"/>
        </w:rPr>
        <w:t>, სადაც მაჩვენებელი  ყოველ</w:t>
      </w:r>
      <w:r w:rsidR="000D43E9" w:rsidRPr="00D5528F">
        <w:rPr>
          <w:rFonts w:ascii="Sylfaen" w:hAnsi="Sylfaen"/>
          <w:sz w:val="24"/>
          <w:szCs w:val="24"/>
          <w:lang w:val="ka-GE"/>
        </w:rPr>
        <w:t xml:space="preserve"> ყოველ 1000 მოსახლეზე </w:t>
      </w:r>
      <w:r>
        <w:rPr>
          <w:rFonts w:ascii="Sylfaen" w:hAnsi="Sylfaen"/>
          <w:sz w:val="24"/>
          <w:szCs w:val="24"/>
          <w:lang w:val="ka-GE"/>
        </w:rPr>
        <w:t xml:space="preserve">საშუალოდ არის </w:t>
      </w:r>
      <w:r w:rsidR="000D43E9" w:rsidRPr="00D5528F">
        <w:rPr>
          <w:rFonts w:ascii="Sylfaen" w:hAnsi="Sylfaen"/>
          <w:sz w:val="24"/>
          <w:szCs w:val="24"/>
          <w:lang w:val="ka-GE"/>
        </w:rPr>
        <w:t xml:space="preserve">7. </w:t>
      </w:r>
      <w:r>
        <w:rPr>
          <w:rFonts w:ascii="Sylfaen" w:hAnsi="Sylfaen"/>
          <w:sz w:val="24"/>
          <w:szCs w:val="24"/>
          <w:lang w:val="ka-GE"/>
        </w:rPr>
        <w:t xml:space="preserve">მთლიანად </w:t>
      </w:r>
      <w:r w:rsidR="000D43E9" w:rsidRPr="00D5528F">
        <w:rPr>
          <w:rFonts w:ascii="Sylfaen" w:hAnsi="Sylfaen"/>
          <w:sz w:val="24"/>
          <w:szCs w:val="24"/>
          <w:lang w:val="ka-GE"/>
        </w:rPr>
        <w:t xml:space="preserve">ევროკავშირში </w:t>
      </w:r>
      <w:r>
        <w:rPr>
          <w:rFonts w:ascii="Sylfaen" w:hAnsi="Sylfaen"/>
          <w:sz w:val="24"/>
          <w:szCs w:val="24"/>
          <w:lang w:val="ka-GE"/>
        </w:rPr>
        <w:t xml:space="preserve">მაჩვენებელი </w:t>
      </w:r>
      <w:r w:rsidR="000D43E9" w:rsidRPr="00D5528F">
        <w:rPr>
          <w:rFonts w:ascii="Sylfaen" w:hAnsi="Sylfaen"/>
          <w:sz w:val="24"/>
          <w:szCs w:val="24"/>
          <w:lang w:val="ka-GE"/>
        </w:rPr>
        <w:t>საშუალოდ 5-</w:t>
      </w:r>
      <w:r>
        <w:rPr>
          <w:rFonts w:ascii="Sylfaen" w:hAnsi="Sylfaen"/>
          <w:sz w:val="24"/>
          <w:szCs w:val="24"/>
          <w:lang w:val="ka-GE"/>
        </w:rPr>
        <w:t>ს უტოლდება.</w:t>
      </w:r>
    </w:p>
    <w:p w:rsidR="00E26773" w:rsidRDefault="00E26773" w:rsidP="004E769F">
      <w:pPr>
        <w:ind w:left="-85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>
            <wp:extent cx="6972300" cy="3695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spital beds 1000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5" t="10236" r="3421" b="3092"/>
                    <a:stretch/>
                  </pic:blipFill>
                  <pic:spPr bwMode="auto">
                    <a:xfrm>
                      <a:off x="0" y="0"/>
                      <a:ext cx="6980009" cy="3699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6773" w:rsidRDefault="00E26773" w:rsidP="002E141B">
      <w:pPr>
        <w:rPr>
          <w:rFonts w:ascii="Sylfaen" w:hAnsi="Sylfaen"/>
          <w:sz w:val="24"/>
          <w:szCs w:val="24"/>
          <w:lang w:val="ka-GE"/>
        </w:rPr>
      </w:pPr>
    </w:p>
    <w:p w:rsidR="00E26773" w:rsidRDefault="00B20EC0" w:rsidP="002E141B">
      <w:pPr>
        <w:rPr>
          <w:rFonts w:ascii="Sylfaen" w:hAnsi="Sylfaen"/>
          <w:sz w:val="24"/>
          <w:szCs w:val="24"/>
          <w:lang w:val="ka-GE"/>
        </w:rPr>
      </w:pPr>
      <w:r w:rsidRPr="008910C7">
        <w:rPr>
          <w:rFonts w:ascii="Sylfaen" w:hAnsi="Sylfaen"/>
          <w:b/>
          <w:sz w:val="24"/>
          <w:szCs w:val="24"/>
          <w:lang w:val="ka-GE"/>
        </w:rPr>
        <w:t>საწოლების სახეობიების</w:t>
      </w:r>
      <w:r w:rsidRPr="00D5528F">
        <w:rPr>
          <w:rFonts w:ascii="Sylfaen" w:hAnsi="Sylfaen"/>
          <w:sz w:val="24"/>
          <w:szCs w:val="24"/>
          <w:lang w:val="ka-GE"/>
        </w:rPr>
        <w:t xml:space="preserve"> მიხედვით</w:t>
      </w:r>
      <w:r w:rsidR="00E26773">
        <w:rPr>
          <w:rFonts w:ascii="Sylfaen" w:hAnsi="Sylfaen"/>
          <w:sz w:val="24"/>
          <w:szCs w:val="24"/>
          <w:lang w:val="ka-GE"/>
        </w:rPr>
        <w:t xml:space="preserve"> განაწილება ასეთია:</w:t>
      </w:r>
    </w:p>
    <w:p w:rsidR="00E26773" w:rsidRPr="00E26773" w:rsidRDefault="00E26773" w:rsidP="00E26773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 w:rsidRPr="00E26773">
        <w:rPr>
          <w:rFonts w:ascii="Sylfaen" w:hAnsi="Sylfaen"/>
          <w:sz w:val="24"/>
          <w:szCs w:val="24"/>
          <w:lang w:val="ka-GE"/>
        </w:rPr>
        <w:t>საწოლები</w:t>
      </w:r>
      <w:r w:rsidR="00D918F6" w:rsidRPr="00E26773">
        <w:rPr>
          <w:rFonts w:ascii="Sylfaen" w:hAnsi="Sylfaen"/>
          <w:sz w:val="24"/>
          <w:szCs w:val="24"/>
          <w:lang w:val="ka-GE"/>
        </w:rPr>
        <w:t xml:space="preserve"> </w:t>
      </w:r>
      <w:r w:rsidRPr="00E26773">
        <w:rPr>
          <w:rFonts w:ascii="Sylfaen" w:hAnsi="Sylfaen"/>
          <w:sz w:val="24"/>
          <w:szCs w:val="24"/>
          <w:lang w:val="ka-GE"/>
        </w:rPr>
        <w:t xml:space="preserve">ხანმოკლე </w:t>
      </w:r>
      <w:r w:rsidR="00D918F6" w:rsidRPr="00E26773">
        <w:rPr>
          <w:rFonts w:ascii="Sylfaen" w:hAnsi="Sylfaen"/>
          <w:sz w:val="24"/>
          <w:szCs w:val="24"/>
          <w:lang w:val="ka-GE"/>
        </w:rPr>
        <w:t>მკურნალობის</w:t>
      </w:r>
      <w:r w:rsidRPr="00E26773">
        <w:rPr>
          <w:rFonts w:ascii="Sylfaen" w:hAnsi="Sylfaen"/>
          <w:sz w:val="24"/>
          <w:szCs w:val="24"/>
          <w:lang w:val="ka-GE"/>
        </w:rPr>
        <w:t xml:space="preserve"> მიზნით</w:t>
      </w:r>
    </w:p>
    <w:p w:rsidR="00E26773" w:rsidRDefault="00E26773" w:rsidP="00E26773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საწოლები </w:t>
      </w:r>
      <w:r w:rsidR="00D918F6" w:rsidRPr="00E26773">
        <w:rPr>
          <w:rFonts w:ascii="Sylfaen" w:hAnsi="Sylfaen"/>
          <w:sz w:val="24"/>
          <w:szCs w:val="24"/>
          <w:lang w:val="ka-GE"/>
        </w:rPr>
        <w:t>რეაბილიტაციის</w:t>
      </w:r>
      <w:r>
        <w:rPr>
          <w:rFonts w:ascii="Sylfaen" w:hAnsi="Sylfaen"/>
          <w:sz w:val="24"/>
          <w:szCs w:val="24"/>
          <w:lang w:val="ka-GE"/>
        </w:rPr>
        <w:t xml:space="preserve"> მიზნით</w:t>
      </w:r>
    </w:p>
    <w:p w:rsidR="00B20EC0" w:rsidRPr="00E26773" w:rsidRDefault="00E26773" w:rsidP="00E26773">
      <w:pPr>
        <w:pStyle w:val="ListParagraph"/>
        <w:numPr>
          <w:ilvl w:val="0"/>
          <w:numId w:val="1"/>
        </w:num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საწოლები </w:t>
      </w:r>
      <w:r w:rsidR="00D918F6" w:rsidRPr="00E26773">
        <w:rPr>
          <w:rFonts w:ascii="Sylfaen" w:hAnsi="Sylfaen"/>
          <w:sz w:val="24"/>
          <w:szCs w:val="24"/>
          <w:lang w:val="ka-GE"/>
        </w:rPr>
        <w:t>ხანგრძლივი მოვლისთვის</w:t>
      </w:r>
    </w:p>
    <w:p w:rsidR="00E26773" w:rsidRPr="00D5528F" w:rsidRDefault="00E26773" w:rsidP="002E141B">
      <w:pPr>
        <w:rPr>
          <w:rFonts w:ascii="Sylfaen" w:hAnsi="Sylfaen"/>
          <w:sz w:val="24"/>
          <w:szCs w:val="24"/>
        </w:rPr>
      </w:pPr>
    </w:p>
    <w:p w:rsidR="00B20EC0" w:rsidRPr="00D5528F" w:rsidRDefault="00B20EC0" w:rsidP="00E26773">
      <w:pPr>
        <w:ind w:left="-709"/>
        <w:rPr>
          <w:rFonts w:ascii="Sylfaen" w:hAnsi="Sylfaen"/>
          <w:sz w:val="24"/>
          <w:szCs w:val="24"/>
          <w:lang w:val="ka-GE"/>
        </w:rPr>
      </w:pPr>
      <w:r w:rsidRPr="00D5528F">
        <w:rPr>
          <w:noProof/>
          <w:sz w:val="24"/>
          <w:szCs w:val="24"/>
        </w:rPr>
        <w:drawing>
          <wp:inline distT="0" distB="0" distL="0" distR="0" wp14:anchorId="7E2A8AD3" wp14:editId="0E87F65B">
            <wp:extent cx="7029450" cy="4476115"/>
            <wp:effectExtent l="0" t="0" r="0" b="635"/>
            <wp:docPr id="1" name="Picture 1" descr="https://ec.europa.eu/eurostat/statistics-explained/images/0/04/Distribution_of_hospital_beds%2C_2015_%28%25%29_YB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c.europa.eu/eurostat/statistics-explained/images/0/04/Distribution_of_hospital_beds%2C_2015_%28%25%29_YB1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324" b="15283"/>
                    <a:stretch/>
                  </pic:blipFill>
                  <pic:spPr bwMode="auto">
                    <a:xfrm>
                      <a:off x="0" y="0"/>
                      <a:ext cx="7038792" cy="448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6FC3" w:rsidRPr="00D5528F" w:rsidRDefault="00C76FC3" w:rsidP="00C76FC3">
      <w:pPr>
        <w:rPr>
          <w:rFonts w:ascii="Sylfaen" w:hAnsi="Sylfaen"/>
          <w:sz w:val="24"/>
          <w:szCs w:val="24"/>
        </w:rPr>
      </w:pPr>
    </w:p>
    <w:p w:rsidR="00C76FC3" w:rsidRPr="00C76FC3" w:rsidRDefault="00C76FC3" w:rsidP="00C76FC3">
      <w:pPr>
        <w:rPr>
          <w:rFonts w:ascii="Sylfaen" w:hAnsi="Sylfaen"/>
          <w:b/>
          <w:sz w:val="24"/>
          <w:szCs w:val="24"/>
          <w:lang w:val="ka-GE"/>
        </w:rPr>
      </w:pPr>
      <w:r w:rsidRPr="00C76FC3">
        <w:rPr>
          <w:rFonts w:ascii="Sylfaen" w:hAnsi="Sylfaen"/>
          <w:b/>
          <w:sz w:val="24"/>
          <w:szCs w:val="24"/>
          <w:lang w:val="ka-GE"/>
        </w:rPr>
        <w:t>სტაციონარში დაყოვნების ხანგრძლივობა</w:t>
      </w:r>
    </w:p>
    <w:p w:rsidR="008910C7" w:rsidRDefault="00C76FC3" w:rsidP="002E141B">
      <w:pPr>
        <w:rPr>
          <w:rFonts w:ascii="Sylfaen" w:hAnsi="Sylfaen"/>
          <w:sz w:val="24"/>
          <w:szCs w:val="24"/>
          <w:lang w:val="ka-GE"/>
        </w:rPr>
      </w:pPr>
      <w:r w:rsidRPr="00D5528F">
        <w:rPr>
          <w:rFonts w:ascii="Sylfaen" w:hAnsi="Sylfaen"/>
          <w:sz w:val="24"/>
          <w:szCs w:val="24"/>
          <w:lang w:val="ka-GE"/>
        </w:rPr>
        <w:t xml:space="preserve">სტაციონარში დაყოვნების დღეები ევროპაში საშუალოდ 5.3-9.5 დღემდეა.  დაყოვენების დღეები მამაკაც პაცინტებში საშუალოდ 1.5 დღით მეტია ქალ პაციენტებთან შედარებით. დიაგნოზის მიხედვით ყველაზე ხანგრძლივი დაყოვნება ფიქსირდება სისხლის მიმოქცევის დაავადებების და ნეოპლაზმების შემთხვევაში. </w:t>
      </w:r>
    </w:p>
    <w:p w:rsidR="008910C7" w:rsidRDefault="008910C7" w:rsidP="002E141B">
      <w:pPr>
        <w:rPr>
          <w:rFonts w:ascii="Sylfaen" w:hAnsi="Sylfaen"/>
          <w:sz w:val="24"/>
          <w:szCs w:val="24"/>
          <w:lang w:val="ka-GE"/>
        </w:rPr>
      </w:pPr>
    </w:p>
    <w:p w:rsidR="008910C7" w:rsidRPr="008910C7" w:rsidRDefault="008910C7" w:rsidP="008910C7">
      <w:pPr>
        <w:ind w:left="-993"/>
        <w:rPr>
          <w:rFonts w:ascii="Sylfaen" w:hAnsi="Sylfaen"/>
          <w:sz w:val="24"/>
          <w:szCs w:val="24"/>
          <w:lang w:val="ka-GE"/>
        </w:rPr>
      </w:pPr>
      <w:r>
        <w:rPr>
          <w:noProof/>
        </w:rPr>
        <w:lastRenderedPageBreak/>
        <w:drawing>
          <wp:inline distT="0" distB="0" distL="0" distR="0" wp14:anchorId="06AE6B3B" wp14:editId="729C0BF3">
            <wp:extent cx="7351395" cy="3704832"/>
            <wp:effectExtent l="0" t="0" r="0" b="0"/>
            <wp:docPr id="7" name="Picture 7" descr="File:Hospital discharges of in-patients, average length of stay, 2015 (days) YB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Hospital discharges of in-patients, average length of stay, 2015 (days) YB1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-1" r="-1446" b="19280"/>
                    <a:stretch/>
                  </pic:blipFill>
                  <pic:spPr bwMode="auto">
                    <a:xfrm>
                      <a:off x="0" y="0"/>
                      <a:ext cx="7371074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10C7" w:rsidRDefault="008910C7" w:rsidP="002E141B">
      <w:pPr>
        <w:rPr>
          <w:rFonts w:ascii="Sylfaen" w:hAnsi="Sylfaen"/>
          <w:b/>
          <w:sz w:val="24"/>
          <w:szCs w:val="24"/>
          <w:lang w:val="ka-GE"/>
        </w:rPr>
      </w:pPr>
    </w:p>
    <w:p w:rsidR="008910C7" w:rsidRDefault="008910C7" w:rsidP="002E141B">
      <w:pPr>
        <w:rPr>
          <w:rFonts w:ascii="Sylfaen" w:hAnsi="Sylfaen"/>
          <w:b/>
          <w:sz w:val="24"/>
          <w:szCs w:val="24"/>
          <w:lang w:val="ka-GE"/>
        </w:rPr>
      </w:pPr>
    </w:p>
    <w:p w:rsidR="008910C7" w:rsidRDefault="008910C7" w:rsidP="008910C7">
      <w:pPr>
        <w:ind w:left="-993"/>
        <w:rPr>
          <w:rFonts w:ascii="Sylfaen" w:hAnsi="Sylfaen"/>
          <w:b/>
          <w:sz w:val="24"/>
          <w:szCs w:val="24"/>
          <w:lang w:val="ka-GE"/>
        </w:rPr>
      </w:pPr>
      <w:r w:rsidRPr="000D2061">
        <w:rPr>
          <w:rFonts w:ascii="Sylfaen" w:hAnsi="Sylfaen"/>
          <w:b/>
          <w:sz w:val="24"/>
          <w:szCs w:val="24"/>
          <w:lang w:val="ka-GE"/>
        </w:rPr>
        <w:t xml:space="preserve">მანძილი </w:t>
      </w:r>
      <w:r>
        <w:rPr>
          <w:rFonts w:ascii="Sylfaen" w:hAnsi="Sylfaen"/>
          <w:b/>
          <w:sz w:val="24"/>
          <w:szCs w:val="24"/>
          <w:lang w:val="ka-GE"/>
        </w:rPr>
        <w:t xml:space="preserve">უახლოეს </w:t>
      </w:r>
      <w:r w:rsidRPr="000D2061">
        <w:rPr>
          <w:rFonts w:ascii="Sylfaen" w:hAnsi="Sylfaen"/>
          <w:b/>
          <w:sz w:val="24"/>
          <w:szCs w:val="24"/>
          <w:lang w:val="ka-GE"/>
        </w:rPr>
        <w:t>საავადმყოფომდე</w:t>
      </w:r>
    </w:p>
    <w:p w:rsidR="008910C7" w:rsidRPr="003E0761" w:rsidRDefault="008910C7" w:rsidP="008910C7">
      <w:pPr>
        <w:ind w:left="-993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</w:rPr>
        <w:t xml:space="preserve">მოსახლეობის კეთილდღეობის ერთ-ერთი </w:t>
      </w:r>
      <w:r>
        <w:rPr>
          <w:rFonts w:ascii="Sylfaen" w:hAnsi="Sylfaen"/>
          <w:sz w:val="24"/>
          <w:szCs w:val="24"/>
          <w:lang w:val="ka-GE"/>
        </w:rPr>
        <w:t>მნიშვნელოვანი</w:t>
      </w:r>
      <w:r>
        <w:rPr>
          <w:rFonts w:ascii="Sylfaen" w:hAnsi="Sylfaen"/>
          <w:sz w:val="24"/>
          <w:szCs w:val="24"/>
        </w:rPr>
        <w:t xml:space="preserve"> ინდიკატორია</w:t>
      </w:r>
      <w:r>
        <w:rPr>
          <w:rFonts w:ascii="Sylfaen" w:hAnsi="Sylfaen"/>
          <w:sz w:val="24"/>
          <w:szCs w:val="24"/>
          <w:lang w:val="ka-GE"/>
        </w:rPr>
        <w:t xml:space="preserve"> როგორც ფინანსური, ისე გეოგრაფიული ხელმისაწვდომობა სამედიცინო მომსახურებებზე. გეგორაფიულ ჭრილში, ხელმისაწვდომობის ერთ-ერთი განმსზაღვრელი ფაქტორია მანძილი უახლოეს სამედიცინო დაწესებულებამდე. გერმანიის, საფრანგეთისა და ინგლისის მაგალითზე, უახლოესი სამედიცინო დაწესებულებების უმრავლესობა 6-9 კმ მანძილზეა დაშორებული მოქალაქის საცხოვრებლიდან.  </w:t>
      </w:r>
      <w:r>
        <w:rPr>
          <w:rFonts w:ascii="Sylfaen" w:hAnsi="Sylfaen"/>
          <w:sz w:val="24"/>
          <w:szCs w:val="24"/>
        </w:rPr>
        <w:t xml:space="preserve"> გასათვალისწინებელია, რომ მანძილი უახლოეს ჰოსპიტლამდე დამოკიდებულია მოსახლეობის სიმჭიდროვეზეც-რაც უფრო მაღალია მოსახლეობის სიმჭიდროვე</w:t>
      </w:r>
      <w:r>
        <w:rPr>
          <w:rFonts w:ascii="Sylfaen" w:hAnsi="Sylfaen"/>
          <w:sz w:val="24"/>
          <w:szCs w:val="24"/>
          <w:lang w:val="ka-GE"/>
        </w:rPr>
        <w:t xml:space="preserve"> რეგიონში</w:t>
      </w:r>
      <w:r>
        <w:rPr>
          <w:rFonts w:ascii="Sylfaen" w:hAnsi="Sylfaen"/>
          <w:sz w:val="24"/>
          <w:szCs w:val="24"/>
        </w:rPr>
        <w:t>, მით უფრო ნაკლებია უახლოეს დაწესებულებამდე მანძილის მაჩვენებელი.</w:t>
      </w:r>
    </w:p>
    <w:p w:rsidR="008910C7" w:rsidRPr="003E0761" w:rsidRDefault="008910C7" w:rsidP="008910C7">
      <w:pPr>
        <w:ind w:left="-993"/>
        <w:rPr>
          <w:rFonts w:ascii="Sylfaen" w:hAnsi="Sylfaen"/>
          <w:b/>
          <w:sz w:val="24"/>
          <w:szCs w:val="24"/>
          <w:lang w:val="ka-GE"/>
        </w:rPr>
      </w:pPr>
      <w:r>
        <w:rPr>
          <w:noProof/>
        </w:rPr>
        <w:lastRenderedPageBreak/>
        <w:drawing>
          <wp:inline distT="0" distB="0" distL="0" distR="0" wp14:anchorId="2482BA58" wp14:editId="46337EF6">
            <wp:extent cx="7162800" cy="3304787"/>
            <wp:effectExtent l="0" t="0" r="0" b="0"/>
            <wp:docPr id="6" name="Picture 6" descr="https://asset.keepeek-cache.com/medias/domain21/_pdf/media1809/283301-ms5537sri0/large/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.keepeek-cache.com/medias/domain21/_pdf/media1809/283301-ms5537sri0/large/7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97" t="32954" r="10254" b="42028"/>
                    <a:stretch/>
                  </pic:blipFill>
                  <pic:spPr bwMode="auto">
                    <a:xfrm>
                      <a:off x="0" y="0"/>
                      <a:ext cx="7185336" cy="33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10C7" w:rsidRDefault="008910C7" w:rsidP="002E141B">
      <w:pPr>
        <w:rPr>
          <w:rFonts w:ascii="Sylfaen" w:hAnsi="Sylfaen"/>
          <w:b/>
          <w:sz w:val="24"/>
          <w:szCs w:val="24"/>
          <w:lang w:val="ka-GE"/>
        </w:rPr>
      </w:pPr>
    </w:p>
    <w:p w:rsidR="008910C7" w:rsidRDefault="008910C7" w:rsidP="002E141B">
      <w:pPr>
        <w:rPr>
          <w:rFonts w:ascii="Sylfaen" w:hAnsi="Sylfaen"/>
          <w:b/>
          <w:sz w:val="24"/>
          <w:szCs w:val="24"/>
          <w:lang w:val="ka-GE"/>
        </w:rPr>
      </w:pPr>
    </w:p>
    <w:p w:rsidR="00E26773" w:rsidRPr="00E26773" w:rsidRDefault="00E26773" w:rsidP="002E141B">
      <w:pPr>
        <w:rPr>
          <w:rFonts w:ascii="Sylfaen" w:hAnsi="Sylfaen"/>
          <w:b/>
          <w:sz w:val="24"/>
          <w:szCs w:val="24"/>
          <w:lang w:val="ka-GE"/>
        </w:rPr>
      </w:pPr>
      <w:r w:rsidRPr="00E26773">
        <w:rPr>
          <w:rFonts w:ascii="Sylfaen" w:hAnsi="Sylfaen"/>
          <w:b/>
          <w:sz w:val="24"/>
          <w:szCs w:val="24"/>
          <w:lang w:val="ka-GE"/>
        </w:rPr>
        <w:t>ექიმების და ექთნების განაწილება</w:t>
      </w:r>
    </w:p>
    <w:p w:rsidR="008910C7" w:rsidRDefault="002E141B" w:rsidP="002E141B">
      <w:pPr>
        <w:rPr>
          <w:rFonts w:ascii="Sylfaen" w:hAnsi="Sylfaen"/>
          <w:sz w:val="24"/>
          <w:szCs w:val="24"/>
          <w:lang w:val="ka-GE"/>
        </w:rPr>
      </w:pPr>
      <w:r w:rsidRPr="00D5528F">
        <w:rPr>
          <w:rFonts w:ascii="Sylfaen" w:hAnsi="Sylfaen"/>
          <w:sz w:val="24"/>
          <w:szCs w:val="24"/>
          <w:lang w:val="ka-GE"/>
        </w:rPr>
        <w:t xml:space="preserve">ლიცენზირებული ექიმების რაოდენობა </w:t>
      </w:r>
      <w:r w:rsidR="00E26773">
        <w:rPr>
          <w:rFonts w:ascii="Sylfaen" w:hAnsi="Sylfaen"/>
          <w:sz w:val="24"/>
          <w:szCs w:val="24"/>
          <w:lang w:val="ka-GE"/>
        </w:rPr>
        <w:t xml:space="preserve">სულ </w:t>
      </w:r>
      <w:r w:rsidRPr="00D5528F">
        <w:rPr>
          <w:rFonts w:ascii="Sylfaen" w:hAnsi="Sylfaen"/>
          <w:sz w:val="24"/>
          <w:szCs w:val="24"/>
          <w:lang w:val="ka-GE"/>
        </w:rPr>
        <w:t>1.8 მლნ</w:t>
      </w:r>
      <w:r w:rsidR="00E26773">
        <w:rPr>
          <w:rFonts w:ascii="Sylfaen" w:hAnsi="Sylfaen"/>
          <w:sz w:val="24"/>
          <w:szCs w:val="24"/>
          <w:lang w:val="ka-GE"/>
        </w:rPr>
        <w:t xml:space="preserve">-ია. </w:t>
      </w:r>
      <w:r w:rsidRPr="00D5528F">
        <w:rPr>
          <w:rFonts w:ascii="Sylfaen" w:hAnsi="Sylfaen"/>
          <w:sz w:val="24"/>
          <w:szCs w:val="24"/>
          <w:lang w:val="ka-GE"/>
        </w:rPr>
        <w:t>ყველაზე მაღალი მაჩვენებელი</w:t>
      </w:r>
      <w:r w:rsidR="00F00508">
        <w:rPr>
          <w:rFonts w:ascii="Sylfaen" w:hAnsi="Sylfaen"/>
          <w:sz w:val="24"/>
          <w:szCs w:val="24"/>
          <w:lang w:val="ka-GE"/>
        </w:rPr>
        <w:t xml:space="preserve"> არის </w:t>
      </w:r>
      <w:r w:rsidRPr="00D5528F">
        <w:rPr>
          <w:rFonts w:ascii="Sylfaen" w:hAnsi="Sylfaen"/>
          <w:sz w:val="24"/>
          <w:szCs w:val="24"/>
          <w:lang w:val="ka-GE"/>
        </w:rPr>
        <w:t xml:space="preserve"> საბერძნეთში</w:t>
      </w:r>
      <w:r w:rsidR="00F00508">
        <w:rPr>
          <w:rFonts w:ascii="Sylfaen" w:hAnsi="Sylfaen"/>
          <w:sz w:val="24"/>
          <w:szCs w:val="24"/>
          <w:lang w:val="ka-GE"/>
        </w:rPr>
        <w:t xml:space="preserve">, სადაც რაოდენობრივად </w:t>
      </w:r>
      <w:r w:rsidRPr="00D5528F">
        <w:rPr>
          <w:rFonts w:ascii="Sylfaen" w:hAnsi="Sylfaen"/>
          <w:sz w:val="24"/>
          <w:szCs w:val="24"/>
          <w:lang w:val="ka-GE"/>
        </w:rPr>
        <w:t xml:space="preserve"> 100 000 მოსახლეზე 632 ექიმი</w:t>
      </w:r>
      <w:r w:rsidR="00F00508">
        <w:rPr>
          <w:rFonts w:ascii="Sylfaen" w:hAnsi="Sylfaen"/>
          <w:sz w:val="24"/>
          <w:szCs w:val="24"/>
          <w:lang w:val="ka-GE"/>
        </w:rPr>
        <w:t xml:space="preserve"> მოდის, </w:t>
      </w:r>
      <w:r w:rsidRPr="00D5528F">
        <w:rPr>
          <w:rFonts w:ascii="Sylfaen" w:hAnsi="Sylfaen"/>
          <w:sz w:val="24"/>
          <w:szCs w:val="24"/>
          <w:lang w:val="ka-GE"/>
        </w:rPr>
        <w:t>ავსტრია</w:t>
      </w:r>
      <w:r w:rsidR="00F00508">
        <w:rPr>
          <w:rFonts w:ascii="Sylfaen" w:hAnsi="Sylfaen"/>
          <w:sz w:val="24"/>
          <w:szCs w:val="24"/>
          <w:lang w:val="ka-GE"/>
        </w:rPr>
        <w:t>ში -</w:t>
      </w:r>
      <w:r w:rsidRPr="00D5528F">
        <w:rPr>
          <w:rFonts w:ascii="Sylfaen" w:hAnsi="Sylfaen"/>
          <w:sz w:val="24"/>
          <w:szCs w:val="24"/>
          <w:lang w:val="ka-GE"/>
        </w:rPr>
        <w:t>510;  პორტუგალია</w:t>
      </w:r>
      <w:r w:rsidR="00F00508">
        <w:rPr>
          <w:rFonts w:ascii="Sylfaen" w:hAnsi="Sylfaen"/>
          <w:sz w:val="24"/>
          <w:szCs w:val="24"/>
          <w:lang w:val="ka-GE"/>
        </w:rPr>
        <w:t>ში-</w:t>
      </w:r>
      <w:r w:rsidRPr="00D5528F">
        <w:rPr>
          <w:rFonts w:ascii="Sylfaen" w:hAnsi="Sylfaen"/>
          <w:sz w:val="24"/>
          <w:szCs w:val="24"/>
          <w:lang w:val="ka-GE"/>
        </w:rPr>
        <w:t>461.</w:t>
      </w:r>
      <w:r w:rsidR="00EE3380" w:rsidRPr="00D5528F">
        <w:rPr>
          <w:rFonts w:ascii="Sylfaen" w:hAnsi="Sylfaen"/>
          <w:sz w:val="24"/>
          <w:szCs w:val="24"/>
        </w:rPr>
        <w:t xml:space="preserve"> </w:t>
      </w:r>
      <w:r w:rsidR="008910C7">
        <w:rPr>
          <w:rFonts w:ascii="Sylfaen" w:hAnsi="Sylfaen"/>
          <w:sz w:val="24"/>
          <w:szCs w:val="24"/>
        </w:rPr>
        <w:t xml:space="preserve"> </w:t>
      </w:r>
      <w:r w:rsidR="00F00508">
        <w:rPr>
          <w:rFonts w:ascii="Sylfaen" w:hAnsi="Sylfaen"/>
          <w:sz w:val="24"/>
          <w:szCs w:val="24"/>
          <w:lang w:val="ka-GE"/>
        </w:rPr>
        <w:t>მ</w:t>
      </w:r>
      <w:r w:rsidR="00EE3380" w:rsidRPr="00D5528F">
        <w:rPr>
          <w:rFonts w:ascii="Sylfaen" w:hAnsi="Sylfaen"/>
          <w:sz w:val="24"/>
          <w:szCs w:val="24"/>
          <w:lang w:val="ka-GE"/>
        </w:rPr>
        <w:t xml:space="preserve">აჩვენებელი ყოველ 1000 მოსახლეზე </w:t>
      </w:r>
      <w:r w:rsidR="00F00508">
        <w:rPr>
          <w:rFonts w:ascii="Sylfaen" w:hAnsi="Sylfaen"/>
          <w:sz w:val="24"/>
          <w:szCs w:val="24"/>
          <w:lang w:val="ka-GE"/>
        </w:rPr>
        <w:t xml:space="preserve">საშუალოდ </w:t>
      </w:r>
      <w:r w:rsidR="00645882" w:rsidRPr="00D5528F">
        <w:rPr>
          <w:rFonts w:ascii="Sylfaen" w:hAnsi="Sylfaen"/>
          <w:sz w:val="24"/>
          <w:szCs w:val="24"/>
          <w:lang w:val="ka-GE"/>
        </w:rPr>
        <w:t>3.6</w:t>
      </w:r>
      <w:r w:rsidR="00F00508">
        <w:rPr>
          <w:rFonts w:ascii="Sylfaen" w:hAnsi="Sylfaen"/>
          <w:sz w:val="24"/>
          <w:szCs w:val="24"/>
          <w:lang w:val="ka-GE"/>
        </w:rPr>
        <w:t>-ია.</w:t>
      </w:r>
    </w:p>
    <w:p w:rsidR="008910C7" w:rsidRDefault="008910C7" w:rsidP="002E141B">
      <w:pPr>
        <w:rPr>
          <w:rFonts w:ascii="Sylfaen" w:hAnsi="Sylfaen"/>
          <w:sz w:val="24"/>
          <w:szCs w:val="24"/>
          <w:lang w:val="ka-GE"/>
        </w:rPr>
      </w:pPr>
    </w:p>
    <w:p w:rsidR="008910C7" w:rsidRDefault="008910C7" w:rsidP="00F00508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 wp14:anchorId="2CF32715" wp14:editId="072F1B1D">
            <wp:extent cx="6149807" cy="248475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ctors per capita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7" t="1090" r="9205" b="-3281"/>
                    <a:stretch/>
                  </pic:blipFill>
                  <pic:spPr bwMode="auto">
                    <a:xfrm>
                      <a:off x="0" y="0"/>
                      <a:ext cx="6208806" cy="2508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18F6" w:rsidRPr="008910C7" w:rsidRDefault="00F00508" w:rsidP="00F00508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ექიმებზე ორჯერ მეტია ექთნების რაოდენობა-</w:t>
      </w:r>
      <w:r w:rsidR="000B7573" w:rsidRPr="00D5528F">
        <w:rPr>
          <w:rFonts w:ascii="Sylfaen" w:hAnsi="Sylfaen"/>
          <w:sz w:val="24"/>
          <w:szCs w:val="24"/>
        </w:rPr>
        <w:t xml:space="preserve">3.4 </w:t>
      </w:r>
      <w:r w:rsidR="000B7573" w:rsidRPr="00D5528F">
        <w:rPr>
          <w:rFonts w:ascii="Sylfaen" w:hAnsi="Sylfaen"/>
          <w:sz w:val="24"/>
          <w:szCs w:val="24"/>
          <w:lang w:val="ka-GE"/>
        </w:rPr>
        <w:t xml:space="preserve">მლნ ექთანი. </w:t>
      </w:r>
      <w:r w:rsidR="00AB2A0D">
        <w:rPr>
          <w:rFonts w:ascii="Sylfaen" w:hAnsi="Sylfaen"/>
          <w:sz w:val="24"/>
          <w:szCs w:val="24"/>
          <w:lang w:val="ka-GE"/>
        </w:rPr>
        <w:t xml:space="preserve">რაოდენობრივად </w:t>
      </w:r>
      <w:r>
        <w:rPr>
          <w:rFonts w:ascii="Sylfaen" w:hAnsi="Sylfaen"/>
          <w:sz w:val="24"/>
          <w:szCs w:val="24"/>
          <w:lang w:val="ka-GE"/>
        </w:rPr>
        <w:t xml:space="preserve"> ყველაზე მეტი ექთანი ჰყავს</w:t>
      </w:r>
      <w:r w:rsidR="00C76FC3">
        <w:rPr>
          <w:rFonts w:ascii="Sylfaen" w:hAnsi="Sylfaen"/>
          <w:sz w:val="24"/>
          <w:szCs w:val="24"/>
          <w:lang w:val="ka-GE"/>
        </w:rPr>
        <w:t xml:space="preserve"> გერმანიას,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0B7573" w:rsidRPr="00D5528F">
        <w:rPr>
          <w:rFonts w:ascii="Sylfaen" w:hAnsi="Sylfaen"/>
          <w:sz w:val="24"/>
          <w:szCs w:val="24"/>
          <w:lang w:val="ka-GE"/>
        </w:rPr>
        <w:t>ირლანდიას და ლუქსემბურგს- ყოველ 100 000</w:t>
      </w:r>
      <w:r>
        <w:rPr>
          <w:rFonts w:ascii="Sylfaen" w:hAnsi="Sylfaen"/>
          <w:sz w:val="24"/>
          <w:szCs w:val="24"/>
          <w:lang w:val="ka-GE"/>
        </w:rPr>
        <w:t xml:space="preserve"> მოსახლეზე</w:t>
      </w:r>
      <w:r w:rsidR="000B7573" w:rsidRPr="00D5528F">
        <w:rPr>
          <w:rFonts w:ascii="Sylfaen" w:hAnsi="Sylfaen"/>
          <w:sz w:val="24"/>
          <w:szCs w:val="24"/>
          <w:lang w:val="ka-GE"/>
        </w:rPr>
        <w:t xml:space="preserve"> 1200 პრაქტიკოსი ექთანი. </w:t>
      </w:r>
      <w:r w:rsidR="00AB2A0D">
        <w:rPr>
          <w:rFonts w:ascii="Sylfaen" w:hAnsi="Sylfaen"/>
          <w:sz w:val="24"/>
          <w:szCs w:val="24"/>
          <w:lang w:val="ka-GE"/>
        </w:rPr>
        <w:t>დანარჩენ</w:t>
      </w:r>
      <w:r w:rsidR="000B7573" w:rsidRPr="00D5528F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ქვეყნებში</w:t>
      </w:r>
      <w:r w:rsidR="000B7573" w:rsidRPr="00D5528F">
        <w:rPr>
          <w:rFonts w:ascii="Sylfaen" w:hAnsi="Sylfaen"/>
          <w:sz w:val="24"/>
          <w:szCs w:val="24"/>
          <w:lang w:val="ka-GE"/>
        </w:rPr>
        <w:t xml:space="preserve"> საშუალოდ 430-1000 მდე ექთანი</w:t>
      </w:r>
      <w:r>
        <w:rPr>
          <w:rFonts w:ascii="Sylfaen" w:hAnsi="Sylfaen"/>
          <w:sz w:val="24"/>
          <w:szCs w:val="24"/>
          <w:lang w:val="ka-GE"/>
        </w:rPr>
        <w:t xml:space="preserve"> მოდის</w:t>
      </w:r>
      <w:r w:rsidR="000B7573" w:rsidRPr="00D5528F">
        <w:rPr>
          <w:rFonts w:ascii="Sylfaen" w:hAnsi="Sylfaen"/>
          <w:sz w:val="24"/>
          <w:szCs w:val="24"/>
          <w:lang w:val="ka-GE"/>
        </w:rPr>
        <w:t>.</w:t>
      </w:r>
      <w:r w:rsidR="00EE3380" w:rsidRPr="00D5528F">
        <w:rPr>
          <w:rFonts w:ascii="Sylfaen" w:hAnsi="Sylfaen"/>
          <w:sz w:val="24"/>
          <w:szCs w:val="24"/>
        </w:rPr>
        <w:t xml:space="preserve"> </w:t>
      </w:r>
      <w:r w:rsidR="00EE3380" w:rsidRPr="00D5528F">
        <w:rPr>
          <w:rFonts w:ascii="Sylfaen" w:hAnsi="Sylfaen"/>
          <w:sz w:val="24"/>
          <w:szCs w:val="24"/>
          <w:lang w:val="ka-GE"/>
        </w:rPr>
        <w:t xml:space="preserve">მაჩვენებელი </w:t>
      </w:r>
      <w:bookmarkStart w:id="0" w:name="_GoBack"/>
      <w:bookmarkEnd w:id="0"/>
      <w:r w:rsidR="00EE3380" w:rsidRPr="00D5528F">
        <w:rPr>
          <w:rFonts w:ascii="Sylfaen" w:hAnsi="Sylfaen"/>
          <w:sz w:val="24"/>
          <w:szCs w:val="24"/>
          <w:lang w:val="ka-GE"/>
        </w:rPr>
        <w:t xml:space="preserve"> ევროპის ქვეყნებში 1 </w:t>
      </w:r>
      <w:r>
        <w:rPr>
          <w:rFonts w:ascii="Sylfaen" w:hAnsi="Sylfaen"/>
          <w:sz w:val="24"/>
          <w:szCs w:val="24"/>
          <w:lang w:val="ka-GE"/>
        </w:rPr>
        <w:t>000 მოსახელზე საშუალოდ</w:t>
      </w:r>
      <w:r w:rsidR="00EE3380" w:rsidRPr="00D5528F">
        <w:rPr>
          <w:rFonts w:ascii="Sylfaen" w:hAnsi="Sylfaen"/>
          <w:sz w:val="24"/>
          <w:szCs w:val="24"/>
          <w:lang w:val="ka-GE"/>
        </w:rPr>
        <w:t xml:space="preserve"> </w:t>
      </w:r>
      <w:r w:rsidRPr="00D5528F">
        <w:rPr>
          <w:rFonts w:ascii="Sylfaen" w:hAnsi="Sylfaen"/>
          <w:sz w:val="24"/>
          <w:szCs w:val="24"/>
          <w:lang w:val="ka-GE"/>
        </w:rPr>
        <w:t>8.4</w:t>
      </w:r>
      <w:r>
        <w:rPr>
          <w:rFonts w:ascii="Sylfaen" w:hAnsi="Sylfaen"/>
          <w:sz w:val="24"/>
          <w:szCs w:val="24"/>
          <w:lang w:val="ka-GE"/>
        </w:rPr>
        <w:t>-ია.</w:t>
      </w:r>
    </w:p>
    <w:p w:rsidR="00C76FC3" w:rsidRDefault="00C76FC3" w:rsidP="00C76FC3">
      <w:pPr>
        <w:ind w:left="-851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 wp14:anchorId="512B1B99" wp14:editId="7DCE9CB6">
            <wp:extent cx="6932930" cy="3343275"/>
            <wp:effectExtent l="0" t="0" r="127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urses per capita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17" t="-1" r="10221" b="3647"/>
                    <a:stretch/>
                  </pic:blipFill>
                  <pic:spPr bwMode="auto">
                    <a:xfrm>
                      <a:off x="0" y="0"/>
                      <a:ext cx="6948769" cy="3350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679C7" w:rsidRPr="00DF7878" w:rsidRDefault="00B679C7" w:rsidP="002E141B">
      <w:pPr>
        <w:rPr>
          <w:rFonts w:ascii="Sylfaen" w:hAnsi="Sylfaen"/>
          <w:b/>
          <w:sz w:val="24"/>
          <w:szCs w:val="24"/>
          <w:lang w:val="ka-GE"/>
        </w:rPr>
      </w:pPr>
    </w:p>
    <w:p w:rsidR="00DF7878" w:rsidRDefault="00DF7878" w:rsidP="002E141B">
      <w:pPr>
        <w:rPr>
          <w:rFonts w:ascii="Sylfaen" w:hAnsi="Sylfaen"/>
          <w:b/>
          <w:sz w:val="24"/>
          <w:szCs w:val="24"/>
          <w:lang w:val="ka-GE"/>
        </w:rPr>
      </w:pPr>
    </w:p>
    <w:p w:rsidR="00C76FC3" w:rsidRPr="00DF7878" w:rsidRDefault="00C76FC3" w:rsidP="002E141B">
      <w:pPr>
        <w:rPr>
          <w:rFonts w:ascii="Sylfaen" w:hAnsi="Sylfaen"/>
          <w:b/>
          <w:sz w:val="24"/>
          <w:szCs w:val="24"/>
        </w:rPr>
      </w:pPr>
      <w:r w:rsidRPr="00DF7878">
        <w:rPr>
          <w:rFonts w:ascii="Sylfaen" w:hAnsi="Sylfaen"/>
          <w:b/>
          <w:sz w:val="24"/>
          <w:szCs w:val="24"/>
          <w:lang w:val="ka-GE"/>
        </w:rPr>
        <w:t>სამედიცინო აპარატურის განაწილება (</w:t>
      </w:r>
      <w:r w:rsidRPr="00DF7878">
        <w:rPr>
          <w:rFonts w:ascii="Sylfaen" w:hAnsi="Sylfaen"/>
          <w:b/>
          <w:sz w:val="24"/>
          <w:szCs w:val="24"/>
        </w:rPr>
        <w:t xml:space="preserve"> MRI; CT)</w:t>
      </w:r>
    </w:p>
    <w:p w:rsidR="001E3B2B" w:rsidRPr="00D5528F" w:rsidRDefault="001E3B2B" w:rsidP="002E141B">
      <w:pPr>
        <w:rPr>
          <w:rFonts w:ascii="Sylfaen" w:hAnsi="Sylfaen"/>
          <w:sz w:val="24"/>
          <w:szCs w:val="24"/>
        </w:rPr>
      </w:pPr>
      <w:r w:rsidRPr="00D5528F">
        <w:rPr>
          <w:rFonts w:ascii="Sylfaen" w:hAnsi="Sylfaen"/>
          <w:sz w:val="24"/>
          <w:szCs w:val="24"/>
          <w:lang w:val="ka-GE"/>
        </w:rPr>
        <w:t>ევროკავშირის</w:t>
      </w:r>
      <w:r w:rsidR="00C76FC3">
        <w:rPr>
          <w:rFonts w:ascii="Sylfaen" w:hAnsi="Sylfaen"/>
          <w:sz w:val="24"/>
          <w:szCs w:val="24"/>
        </w:rPr>
        <w:t xml:space="preserve"> </w:t>
      </w:r>
      <w:r w:rsidR="00C76FC3">
        <w:rPr>
          <w:rFonts w:ascii="Sylfaen" w:hAnsi="Sylfaen"/>
          <w:sz w:val="24"/>
          <w:szCs w:val="24"/>
          <w:lang w:val="ka-GE"/>
        </w:rPr>
        <w:t>დოკუმენტის</w:t>
      </w:r>
      <w:r w:rsidRPr="00D5528F">
        <w:rPr>
          <w:rFonts w:ascii="Sylfaen" w:hAnsi="Sylfaen"/>
          <w:sz w:val="24"/>
          <w:szCs w:val="24"/>
          <w:lang w:val="ka-GE"/>
        </w:rPr>
        <w:t xml:space="preserve"> </w:t>
      </w:r>
      <w:r w:rsidR="00C76FC3">
        <w:rPr>
          <w:rFonts w:ascii="Sylfaen" w:hAnsi="Sylfaen"/>
          <w:sz w:val="24"/>
          <w:szCs w:val="24"/>
          <w:lang w:val="ka-GE"/>
        </w:rPr>
        <w:t>„</w:t>
      </w:r>
      <w:r w:rsidRPr="00D5528F">
        <w:rPr>
          <w:rFonts w:ascii="Sylfaen" w:hAnsi="Sylfaen"/>
          <w:sz w:val="24"/>
          <w:szCs w:val="24"/>
          <w:lang w:val="ka-GE"/>
        </w:rPr>
        <w:t>2018 წლის ჯანდაცვის სისტემების მიმოხილვის</w:t>
      </w:r>
      <w:r w:rsidR="00C76FC3">
        <w:rPr>
          <w:rFonts w:ascii="Sylfaen" w:hAnsi="Sylfaen"/>
          <w:sz w:val="24"/>
          <w:szCs w:val="24"/>
          <w:lang w:val="ka-GE"/>
        </w:rPr>
        <w:t>“</w:t>
      </w:r>
      <w:r w:rsidRPr="00D5528F">
        <w:rPr>
          <w:rFonts w:ascii="Sylfaen" w:hAnsi="Sylfaen"/>
          <w:sz w:val="24"/>
          <w:szCs w:val="24"/>
          <w:lang w:val="ka-GE"/>
        </w:rPr>
        <w:t xml:space="preserve"> თანახმად</w:t>
      </w:r>
      <w:r w:rsidR="00C76FC3">
        <w:rPr>
          <w:rFonts w:ascii="Sylfaen" w:hAnsi="Sylfaen"/>
          <w:sz w:val="24"/>
          <w:szCs w:val="24"/>
          <w:lang w:val="ka-GE"/>
        </w:rPr>
        <w:t xml:space="preserve">, </w:t>
      </w:r>
      <w:r w:rsidRPr="00D5528F">
        <w:rPr>
          <w:rFonts w:ascii="Sylfaen" w:hAnsi="Sylfaen"/>
          <w:sz w:val="24"/>
          <w:szCs w:val="24"/>
          <w:lang w:val="ka-GE"/>
        </w:rPr>
        <w:t xml:space="preserve">არ არსბობს კონკრეტული გაიდლაინი, რომელიც </w:t>
      </w:r>
      <w:r w:rsidRPr="00D5528F">
        <w:rPr>
          <w:rFonts w:ascii="Sylfaen" w:hAnsi="Sylfaen"/>
          <w:sz w:val="24"/>
          <w:szCs w:val="24"/>
        </w:rPr>
        <w:t xml:space="preserve">CT </w:t>
      </w:r>
      <w:r w:rsidRPr="00D5528F">
        <w:rPr>
          <w:rFonts w:ascii="Sylfaen" w:hAnsi="Sylfaen"/>
          <w:sz w:val="24"/>
          <w:szCs w:val="24"/>
          <w:lang w:val="ka-GE"/>
        </w:rPr>
        <w:t xml:space="preserve">და </w:t>
      </w:r>
      <w:r w:rsidRPr="00D5528F">
        <w:rPr>
          <w:rFonts w:ascii="Sylfaen" w:hAnsi="Sylfaen"/>
          <w:sz w:val="24"/>
          <w:szCs w:val="24"/>
        </w:rPr>
        <w:t>MRI</w:t>
      </w:r>
      <w:r w:rsidR="00C76FC3">
        <w:rPr>
          <w:rFonts w:ascii="Sylfaen" w:hAnsi="Sylfaen"/>
          <w:sz w:val="24"/>
          <w:szCs w:val="24"/>
          <w:lang w:val="ka-GE"/>
        </w:rPr>
        <w:t xml:space="preserve"> აპარტურის</w:t>
      </w:r>
      <w:r w:rsidRPr="00D5528F">
        <w:rPr>
          <w:rFonts w:ascii="Sylfaen" w:hAnsi="Sylfaen"/>
          <w:sz w:val="24"/>
          <w:szCs w:val="24"/>
        </w:rPr>
        <w:t xml:space="preserve"> </w:t>
      </w:r>
      <w:r w:rsidRPr="00D5528F">
        <w:rPr>
          <w:rFonts w:ascii="Sylfaen" w:hAnsi="Sylfaen"/>
          <w:sz w:val="24"/>
          <w:szCs w:val="24"/>
          <w:lang w:val="ka-GE"/>
        </w:rPr>
        <w:t>იდეალური რაოდენობის მაჩვენებელია. თუმცა</w:t>
      </w:r>
      <w:r w:rsidR="00C76FC3">
        <w:rPr>
          <w:rFonts w:ascii="Sylfaen" w:hAnsi="Sylfaen"/>
          <w:sz w:val="24"/>
          <w:szCs w:val="24"/>
          <w:lang w:val="ka-GE"/>
        </w:rPr>
        <w:t>, აპარატურის</w:t>
      </w:r>
      <w:r w:rsidRPr="00D5528F">
        <w:rPr>
          <w:rFonts w:ascii="Sylfaen" w:hAnsi="Sylfaen"/>
          <w:sz w:val="24"/>
          <w:szCs w:val="24"/>
          <w:lang w:val="ka-GE"/>
        </w:rPr>
        <w:t xml:space="preserve"> დაბალმა რაოდენობამ შესაძლოა შექმნას პრობლემები გეოგრაფიული ხელმისაწვდომობისა და მოლოდინის დროის მხრივ, </w:t>
      </w:r>
      <w:r w:rsidR="00C76FC3">
        <w:rPr>
          <w:rFonts w:ascii="Sylfaen" w:hAnsi="Sylfaen"/>
          <w:sz w:val="24"/>
          <w:szCs w:val="24"/>
          <w:lang w:val="ka-GE"/>
        </w:rPr>
        <w:t>ხოლო მათ დიდ რაოდენობას</w:t>
      </w:r>
      <w:r w:rsidRPr="00D5528F">
        <w:rPr>
          <w:rFonts w:ascii="Sylfaen" w:hAnsi="Sylfaen"/>
          <w:sz w:val="24"/>
          <w:szCs w:val="24"/>
          <w:lang w:val="ka-GE"/>
        </w:rPr>
        <w:t xml:space="preserve"> ახლავს არამიზნობრივი და ჭარბად მოხმარების რისკები. </w:t>
      </w:r>
    </w:p>
    <w:p w:rsidR="001E3B2B" w:rsidRDefault="00C76FC3" w:rsidP="002E141B">
      <w:pPr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MRI და </w:t>
      </w:r>
      <w:r>
        <w:rPr>
          <w:rFonts w:ascii="Sylfaen" w:hAnsi="Sylfaen"/>
          <w:sz w:val="24"/>
          <w:szCs w:val="24"/>
        </w:rPr>
        <w:t xml:space="preserve">CT </w:t>
      </w:r>
      <w:r>
        <w:rPr>
          <w:rFonts w:ascii="Sylfaen" w:hAnsi="Sylfaen"/>
          <w:sz w:val="24"/>
          <w:szCs w:val="24"/>
          <w:lang w:val="ka-GE"/>
        </w:rPr>
        <w:t xml:space="preserve">აპარატურის ყველაზე დაბალი რაოდენობა აქვს </w:t>
      </w:r>
      <w:r w:rsidR="001E3B2B" w:rsidRPr="00D5528F">
        <w:rPr>
          <w:rFonts w:ascii="Sylfaen" w:hAnsi="Sylfaen"/>
          <w:sz w:val="24"/>
          <w:szCs w:val="24"/>
          <w:lang w:val="ka-GE"/>
        </w:rPr>
        <w:t>უნგრეთს, რუმინეთს და გაერთიანებულ სამეფოს</w:t>
      </w:r>
      <w:r>
        <w:rPr>
          <w:rFonts w:ascii="Sylfaen" w:hAnsi="Sylfaen"/>
          <w:sz w:val="24"/>
          <w:szCs w:val="24"/>
          <w:lang w:val="ka-GE"/>
        </w:rPr>
        <w:t>. ხოლო ყველაზე მეტი-</w:t>
      </w:r>
      <w:r w:rsidR="001E3B2B" w:rsidRPr="00D5528F">
        <w:rPr>
          <w:rFonts w:ascii="Sylfaen" w:hAnsi="Sylfaen"/>
          <w:sz w:val="24"/>
          <w:szCs w:val="24"/>
          <w:lang w:val="ka-GE"/>
        </w:rPr>
        <w:t>გერმანიას, იტალიას და საბერძნეთს</w:t>
      </w:r>
      <w:r>
        <w:rPr>
          <w:rFonts w:ascii="Sylfaen" w:hAnsi="Sylfaen"/>
          <w:sz w:val="24"/>
          <w:szCs w:val="24"/>
          <w:lang w:val="ka-GE"/>
        </w:rPr>
        <w:t xml:space="preserve"> (საბერძნეთში </w:t>
      </w:r>
      <w:r w:rsidR="00DF7878">
        <w:rPr>
          <w:rFonts w:ascii="Sylfaen" w:hAnsi="Sylfaen"/>
          <w:sz w:val="24"/>
          <w:szCs w:val="24"/>
          <w:lang w:val="ka-GE"/>
        </w:rPr>
        <w:t>მნიშ</w:t>
      </w:r>
      <w:r>
        <w:rPr>
          <w:rFonts w:ascii="Sylfaen" w:hAnsi="Sylfaen"/>
          <w:sz w:val="24"/>
          <w:szCs w:val="24"/>
          <w:lang w:val="ka-GE"/>
        </w:rPr>
        <w:t>ვნელოვანი პრობლემაა არსებული აპარტურის დაძველება)</w:t>
      </w:r>
    </w:p>
    <w:p w:rsidR="00DF7878" w:rsidRDefault="00DF7878" w:rsidP="008910C7">
      <w:pPr>
        <w:rPr>
          <w:rFonts w:ascii="Sylfaen" w:hAnsi="Sylfaen"/>
          <w:noProof/>
          <w:sz w:val="24"/>
          <w:szCs w:val="24"/>
        </w:rPr>
      </w:pPr>
    </w:p>
    <w:p w:rsidR="00DF7878" w:rsidRDefault="00DF7878" w:rsidP="00DF7878">
      <w:pPr>
        <w:ind w:left="-993"/>
        <w:rPr>
          <w:rFonts w:ascii="Sylfaen" w:hAnsi="Sylfaen"/>
          <w:noProof/>
          <w:sz w:val="24"/>
          <w:szCs w:val="24"/>
        </w:rPr>
      </w:pPr>
    </w:p>
    <w:p w:rsidR="00DF7878" w:rsidRPr="00DF7878" w:rsidRDefault="00DF7878" w:rsidP="00DF7878">
      <w:pPr>
        <w:jc w:val="center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</w:rPr>
        <w:t xml:space="preserve">MRI </w:t>
      </w:r>
      <w:r>
        <w:rPr>
          <w:rFonts w:ascii="Sylfaen" w:hAnsi="Sylfaen"/>
          <w:noProof/>
          <w:sz w:val="24"/>
          <w:szCs w:val="24"/>
          <w:lang w:val="ka-GE"/>
        </w:rPr>
        <w:t xml:space="preserve">და </w:t>
      </w:r>
      <w:r>
        <w:rPr>
          <w:rFonts w:ascii="Sylfaen" w:hAnsi="Sylfaen"/>
          <w:noProof/>
          <w:sz w:val="24"/>
          <w:szCs w:val="24"/>
        </w:rPr>
        <w:t xml:space="preserve">CT </w:t>
      </w:r>
      <w:r>
        <w:rPr>
          <w:rFonts w:ascii="Sylfaen" w:hAnsi="Sylfaen"/>
          <w:noProof/>
          <w:sz w:val="24"/>
          <w:szCs w:val="24"/>
          <w:lang w:val="ka-GE"/>
        </w:rPr>
        <w:t>მილიონ მოსახლეზე</w:t>
      </w:r>
    </w:p>
    <w:p w:rsidR="00DF7878" w:rsidRDefault="00DF7878" w:rsidP="00DF7878">
      <w:pPr>
        <w:ind w:left="-993"/>
        <w:rPr>
          <w:rFonts w:ascii="Sylfaen" w:hAnsi="Sylfaen"/>
          <w:noProof/>
          <w:sz w:val="24"/>
          <w:szCs w:val="24"/>
        </w:rPr>
      </w:pPr>
      <w:r>
        <w:rPr>
          <w:rFonts w:ascii="Sylfaen" w:hAnsi="Sylfaen"/>
          <w:noProof/>
          <w:sz w:val="24"/>
          <w:szCs w:val="24"/>
        </w:rPr>
        <w:drawing>
          <wp:inline distT="0" distB="0" distL="0" distR="0" wp14:anchorId="29D51AB3" wp14:editId="6F6E0577">
            <wp:extent cx="7343140" cy="38385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ri ct units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6" t="7578" r="6090" b="-729"/>
                    <a:stretch/>
                  </pic:blipFill>
                  <pic:spPr bwMode="auto">
                    <a:xfrm>
                      <a:off x="0" y="0"/>
                      <a:ext cx="7345665" cy="3839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6FC3" w:rsidRDefault="00C76FC3" w:rsidP="00DF7878">
      <w:pPr>
        <w:ind w:left="-993"/>
        <w:rPr>
          <w:rFonts w:ascii="Sylfaen" w:hAnsi="Sylfaen"/>
          <w:sz w:val="24"/>
          <w:szCs w:val="24"/>
        </w:rPr>
      </w:pPr>
    </w:p>
    <w:p w:rsidR="003E0761" w:rsidRDefault="003E0761" w:rsidP="000D2061">
      <w:pPr>
        <w:ind w:left="-993"/>
        <w:rPr>
          <w:rFonts w:ascii="Sylfaen" w:hAnsi="Sylfaen"/>
          <w:b/>
          <w:sz w:val="24"/>
          <w:szCs w:val="24"/>
          <w:lang w:val="ka-GE"/>
        </w:rPr>
      </w:pPr>
    </w:p>
    <w:p w:rsidR="003E0761" w:rsidRDefault="003E0761" w:rsidP="000D2061">
      <w:pPr>
        <w:ind w:left="-993"/>
        <w:rPr>
          <w:rFonts w:ascii="Sylfaen" w:hAnsi="Sylfaen"/>
          <w:b/>
          <w:sz w:val="24"/>
          <w:szCs w:val="24"/>
          <w:lang w:val="ka-GE"/>
        </w:rPr>
      </w:pPr>
    </w:p>
    <w:p w:rsidR="00951ADB" w:rsidRDefault="00951ADB" w:rsidP="00DF7878">
      <w:pPr>
        <w:ind w:left="-993"/>
        <w:rPr>
          <w:rFonts w:ascii="Sylfaen" w:hAnsi="Sylfaen"/>
          <w:b/>
          <w:sz w:val="24"/>
          <w:szCs w:val="24"/>
          <w:lang w:val="ka-GE"/>
        </w:rPr>
      </w:pPr>
    </w:p>
    <w:p w:rsidR="00DF7878" w:rsidRDefault="00DF7878" w:rsidP="00DF7878">
      <w:pPr>
        <w:ind w:left="-993"/>
        <w:rPr>
          <w:rFonts w:ascii="Sylfaen" w:hAnsi="Sylfaen"/>
          <w:sz w:val="24"/>
          <w:szCs w:val="24"/>
        </w:rPr>
      </w:pPr>
      <w:r w:rsidRPr="00DF7878">
        <w:rPr>
          <w:rFonts w:ascii="Sylfaen" w:hAnsi="Sylfaen"/>
          <w:b/>
          <w:sz w:val="24"/>
          <w:szCs w:val="24"/>
          <w:lang w:val="ka-GE"/>
        </w:rPr>
        <w:t>წყაროები:</w:t>
      </w:r>
      <w:r>
        <w:rPr>
          <w:rFonts w:ascii="Sylfaen" w:hAnsi="Sylfaen"/>
          <w:sz w:val="24"/>
          <w:szCs w:val="24"/>
          <w:lang w:val="ka-GE"/>
        </w:rPr>
        <w:t xml:space="preserve"> ჯანდაცვის მსოფლიო ორგანიზაცია (</w:t>
      </w:r>
      <w:r>
        <w:rPr>
          <w:rFonts w:ascii="Sylfaen" w:hAnsi="Sylfaen"/>
          <w:sz w:val="24"/>
          <w:szCs w:val="24"/>
        </w:rPr>
        <w:t>WHO)</w:t>
      </w:r>
    </w:p>
    <w:p w:rsidR="00DF7878" w:rsidRDefault="00DF7878" w:rsidP="00DF7878">
      <w:pPr>
        <w:ind w:left="-993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ევროკავშირის სტატისტიკის სამსახური (</w:t>
      </w:r>
      <w:r>
        <w:rPr>
          <w:rFonts w:ascii="Sylfaen" w:hAnsi="Sylfaen"/>
          <w:sz w:val="24"/>
          <w:szCs w:val="24"/>
        </w:rPr>
        <w:t>EUROSTAT)</w:t>
      </w:r>
    </w:p>
    <w:p w:rsidR="003E0761" w:rsidRPr="003E0761" w:rsidRDefault="003E0761" w:rsidP="00DF7878">
      <w:pPr>
        <w:ind w:left="-993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ევროპის </w:t>
      </w:r>
      <w:r w:rsidRPr="003E0761">
        <w:rPr>
          <w:rFonts w:ascii="Sylfaen" w:hAnsi="Sylfaen"/>
          <w:sz w:val="24"/>
          <w:szCs w:val="24"/>
        </w:rPr>
        <w:t>ეკონომიკური თანამშრომლობისა და განვითარების ორგანიზაცია</w:t>
      </w:r>
      <w:r>
        <w:rPr>
          <w:rFonts w:ascii="Sylfaen" w:hAnsi="Sylfaen"/>
          <w:sz w:val="24"/>
          <w:szCs w:val="24"/>
          <w:lang w:val="ka-GE"/>
        </w:rPr>
        <w:t xml:space="preserve"> (</w:t>
      </w:r>
      <w:r>
        <w:rPr>
          <w:rFonts w:ascii="Sylfaen" w:hAnsi="Sylfaen"/>
          <w:sz w:val="24"/>
          <w:szCs w:val="24"/>
        </w:rPr>
        <w:t>OECD)</w:t>
      </w:r>
    </w:p>
    <w:sectPr w:rsidR="003E0761" w:rsidRPr="003E0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90A" w:rsidRDefault="003D090A" w:rsidP="008910C7">
      <w:pPr>
        <w:spacing w:after="0" w:line="240" w:lineRule="auto"/>
      </w:pPr>
      <w:r>
        <w:separator/>
      </w:r>
    </w:p>
  </w:endnote>
  <w:endnote w:type="continuationSeparator" w:id="0">
    <w:p w:rsidR="003D090A" w:rsidRDefault="003D090A" w:rsidP="0089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90A" w:rsidRDefault="003D090A" w:rsidP="008910C7">
      <w:pPr>
        <w:spacing w:after="0" w:line="240" w:lineRule="auto"/>
      </w:pPr>
      <w:r>
        <w:separator/>
      </w:r>
    </w:p>
  </w:footnote>
  <w:footnote w:type="continuationSeparator" w:id="0">
    <w:p w:rsidR="003D090A" w:rsidRDefault="003D090A" w:rsidP="00891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B0CBB"/>
    <w:multiLevelType w:val="hybridMultilevel"/>
    <w:tmpl w:val="B58E7C9E"/>
    <w:lvl w:ilvl="0" w:tplc="D70A43B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1B"/>
    <w:rsid w:val="000B7573"/>
    <w:rsid w:val="000C43C4"/>
    <w:rsid w:val="000D2061"/>
    <w:rsid w:val="000D43E9"/>
    <w:rsid w:val="001E3B2B"/>
    <w:rsid w:val="002E141B"/>
    <w:rsid w:val="003D090A"/>
    <w:rsid w:val="003E0761"/>
    <w:rsid w:val="004E769F"/>
    <w:rsid w:val="006262C4"/>
    <w:rsid w:val="00645882"/>
    <w:rsid w:val="00754384"/>
    <w:rsid w:val="008910C7"/>
    <w:rsid w:val="00951ADB"/>
    <w:rsid w:val="00AB2A0D"/>
    <w:rsid w:val="00B20EC0"/>
    <w:rsid w:val="00B679C7"/>
    <w:rsid w:val="00C005A2"/>
    <w:rsid w:val="00C76FC3"/>
    <w:rsid w:val="00D5528F"/>
    <w:rsid w:val="00D870E3"/>
    <w:rsid w:val="00D918F6"/>
    <w:rsid w:val="00DF7878"/>
    <w:rsid w:val="00E26773"/>
    <w:rsid w:val="00EE3380"/>
    <w:rsid w:val="00F0009C"/>
    <w:rsid w:val="00F00508"/>
    <w:rsid w:val="00F81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C89C5"/>
  <w15:chartTrackingRefBased/>
  <w15:docId w15:val="{02B0FB21-64CA-4F64-89CE-F5F2EF626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7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1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0C7"/>
  </w:style>
  <w:style w:type="paragraph" w:styleId="Footer">
    <w:name w:val="footer"/>
    <w:basedOn w:val="Normal"/>
    <w:link w:val="FooterChar"/>
    <w:uiPriority w:val="99"/>
    <w:unhideWhenUsed/>
    <w:rsid w:val="008910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6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Tea Bakradze</cp:lastModifiedBy>
  <cp:revision>11</cp:revision>
  <dcterms:created xsi:type="dcterms:W3CDTF">2019-11-20T10:48:00Z</dcterms:created>
  <dcterms:modified xsi:type="dcterms:W3CDTF">2019-11-22T10:50:00Z</dcterms:modified>
</cp:coreProperties>
</file>