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9EC8F" w14:textId="5C199287" w:rsidR="00EC67BE" w:rsidRDefault="00EC67BE" w:rsidP="004B3ECB">
      <w:pPr>
        <w:spacing w:before="200" w:after="100"/>
        <w:jc w:val="center"/>
        <w:rPr>
          <w:rFonts w:ascii="Andes" w:hAnsi="Andes"/>
          <w:b/>
          <w:color w:val="2F5496" w:themeColor="accent1" w:themeShade="BF"/>
          <w:sz w:val="36"/>
          <w:szCs w:val="36"/>
        </w:rPr>
      </w:pPr>
      <w:r>
        <w:rPr>
          <w:rFonts w:ascii="Andes" w:hAnsi="Andes"/>
          <w:b/>
          <w:color w:val="2F5496" w:themeColor="accent1" w:themeShade="BF"/>
          <w:sz w:val="36"/>
          <w:szCs w:val="36"/>
        </w:rPr>
        <w:t>Stakeholder Workshop</w:t>
      </w:r>
      <w:r w:rsidRPr="004B3ECB">
        <w:rPr>
          <w:rFonts w:ascii="Andes" w:hAnsi="Andes"/>
          <w:b/>
          <w:color w:val="2F5496" w:themeColor="accent1" w:themeShade="BF"/>
          <w:sz w:val="36"/>
          <w:szCs w:val="36"/>
        </w:rPr>
        <w:t xml:space="preserve"> </w:t>
      </w:r>
    </w:p>
    <w:p w14:paraId="297CC5ED" w14:textId="49A7B3CF" w:rsidR="004B3ECB" w:rsidRPr="004B3ECB" w:rsidRDefault="004B3ECB" w:rsidP="004B3ECB">
      <w:pPr>
        <w:spacing w:before="200" w:after="100"/>
        <w:jc w:val="center"/>
        <w:rPr>
          <w:rFonts w:ascii="Andes" w:hAnsi="Andes"/>
          <w:b/>
          <w:color w:val="2F5496" w:themeColor="accent1" w:themeShade="BF"/>
          <w:sz w:val="36"/>
          <w:szCs w:val="36"/>
        </w:rPr>
      </w:pPr>
      <w:r w:rsidRPr="004B3ECB">
        <w:rPr>
          <w:rFonts w:ascii="Andes" w:hAnsi="Andes"/>
          <w:b/>
          <w:color w:val="2F5496" w:themeColor="accent1" w:themeShade="BF"/>
          <w:sz w:val="36"/>
          <w:szCs w:val="36"/>
        </w:rPr>
        <w:t>Georgia</w:t>
      </w:r>
      <w:r>
        <w:rPr>
          <w:rFonts w:ascii="Andes" w:hAnsi="Andes"/>
          <w:b/>
          <w:color w:val="2F5496" w:themeColor="accent1" w:themeShade="BF"/>
          <w:sz w:val="36"/>
          <w:szCs w:val="36"/>
        </w:rPr>
        <w:t>,</w:t>
      </w:r>
      <w:r w:rsidRPr="004B3ECB">
        <w:rPr>
          <w:rFonts w:ascii="Andes" w:hAnsi="Andes"/>
          <w:b/>
          <w:color w:val="2F5496" w:themeColor="accent1" w:themeShade="BF"/>
          <w:sz w:val="36"/>
          <w:szCs w:val="36"/>
        </w:rPr>
        <w:t xml:space="preserve"> Assessment of Social and Economic Cost of Underheating  </w:t>
      </w:r>
    </w:p>
    <w:p w14:paraId="65FB6BCE" w14:textId="29A9962F" w:rsidR="00E701A1" w:rsidRPr="00387B4B" w:rsidRDefault="004B3ECB" w:rsidP="00E701A1">
      <w:pPr>
        <w:spacing w:after="0"/>
        <w:jc w:val="center"/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</w:pPr>
      <w:r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  <w:t xml:space="preserve">27 June </w:t>
      </w:r>
      <w:r w:rsidR="00E701A1" w:rsidRPr="00CB65E5"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  <w:t>2019</w:t>
      </w:r>
    </w:p>
    <w:p w14:paraId="7963AE73" w14:textId="23C631B6" w:rsidR="00E701A1" w:rsidRPr="001F6B4D" w:rsidRDefault="0036063D" w:rsidP="00E701A1">
      <w:pPr>
        <w:spacing w:after="0"/>
        <w:jc w:val="center"/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</w:pPr>
      <w:r w:rsidRPr="001F6B4D"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  <w:t>Tbilisi Marrio</w:t>
      </w:r>
      <w:r w:rsidR="003F5EB8" w:rsidRPr="001F6B4D"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  <w:t>tt Hotel</w:t>
      </w:r>
      <w:r w:rsidR="00E701A1" w:rsidRPr="001F6B4D"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  <w:t xml:space="preserve"> </w:t>
      </w:r>
    </w:p>
    <w:p w14:paraId="00287235" w14:textId="77777777" w:rsidR="00E701A1" w:rsidRPr="00CB65E5" w:rsidRDefault="00E701A1" w:rsidP="00E701A1">
      <w:pPr>
        <w:spacing w:after="0"/>
        <w:jc w:val="center"/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</w:pPr>
      <w:r w:rsidRPr="001F6B4D"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  <w:t>1</w:t>
      </w:r>
      <w:r w:rsidR="0036063D" w:rsidRPr="001F6B4D"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  <w:t>3 Rustaveli Avenue</w:t>
      </w:r>
      <w:r w:rsidRPr="001F6B4D">
        <w:rPr>
          <w:rFonts w:ascii="Andes" w:hAnsi="Andes" w:cs="Arial"/>
          <w:color w:val="767171" w:themeColor="background2" w:themeShade="80"/>
          <w:sz w:val="24"/>
          <w:szCs w:val="24"/>
          <w:lang w:eastAsia="ja-JP"/>
        </w:rPr>
        <w:t>, Tbilisi</w:t>
      </w:r>
    </w:p>
    <w:p w14:paraId="2AB21B9E" w14:textId="65B72E86" w:rsidR="00E701A1" w:rsidRDefault="00387B4B" w:rsidP="00387B4B">
      <w:pPr>
        <w:tabs>
          <w:tab w:val="left" w:pos="8625"/>
        </w:tabs>
        <w:spacing w:after="0"/>
        <w:rPr>
          <w:rFonts w:ascii="Century Gothic" w:hAnsi="Century Gothic" w:cs="Arial"/>
          <w:color w:val="8C8D90"/>
          <w:sz w:val="22"/>
          <w:szCs w:val="18"/>
        </w:rPr>
      </w:pPr>
      <w:r>
        <w:rPr>
          <w:rFonts w:ascii="Century Gothic" w:hAnsi="Century Gothic" w:cs="Arial"/>
          <w:color w:val="8C8D90"/>
          <w:sz w:val="22"/>
          <w:szCs w:val="18"/>
        </w:rPr>
        <w:tab/>
      </w:r>
    </w:p>
    <w:p w14:paraId="0DDA575E" w14:textId="2398AB84" w:rsidR="00E701A1" w:rsidRDefault="00387B4B" w:rsidP="004274CF">
      <w:pPr>
        <w:spacing w:after="240"/>
        <w:jc w:val="center"/>
        <w:rPr>
          <w:rFonts w:ascii="Andes" w:hAnsi="Andes" w:cs="Arial"/>
          <w:b/>
          <w:color w:val="2F5496" w:themeColor="accent1" w:themeShade="BF"/>
          <w:sz w:val="28"/>
          <w:szCs w:val="28"/>
        </w:rPr>
      </w:pPr>
      <w:bookmarkStart w:id="0" w:name="_GoBack"/>
      <w:r>
        <w:rPr>
          <w:rFonts w:ascii="Andes" w:hAnsi="Andes" w:cs="Arial"/>
          <w:b/>
          <w:color w:val="2F5496" w:themeColor="accent1" w:themeShade="BF"/>
          <w:sz w:val="28"/>
        </w:rPr>
        <w:t xml:space="preserve">DRAFT </w:t>
      </w:r>
      <w:r w:rsidR="00E701A1" w:rsidRPr="00F6056D">
        <w:rPr>
          <w:rFonts w:ascii="Andes" w:hAnsi="Andes" w:cs="Arial"/>
          <w:b/>
          <w:color w:val="2F5496" w:themeColor="accent1" w:themeShade="BF"/>
          <w:sz w:val="28"/>
        </w:rPr>
        <w:t>AGEN</w:t>
      </w:r>
      <w:r w:rsidR="00E701A1" w:rsidRPr="00F6056D">
        <w:rPr>
          <w:rFonts w:ascii="Andes" w:hAnsi="Andes" w:cs="Arial"/>
          <w:b/>
          <w:color w:val="2F5496" w:themeColor="accent1" w:themeShade="BF"/>
          <w:sz w:val="28"/>
          <w:szCs w:val="28"/>
        </w:rPr>
        <w:t>DA</w:t>
      </w:r>
    </w:p>
    <w:tbl>
      <w:tblPr>
        <w:tblStyle w:val="TableGrid2"/>
        <w:tblW w:w="10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8103"/>
      </w:tblGrid>
      <w:tr w:rsidR="00E11D36" w14:paraId="56325A5A" w14:textId="77777777" w:rsidTr="00E11D36">
        <w:trPr>
          <w:trHeight w:val="70"/>
          <w:jc w:val="center"/>
        </w:trPr>
        <w:tc>
          <w:tcPr>
            <w:tcW w:w="1932" w:type="dxa"/>
            <w:tcBorders>
              <w:top w:val="nil"/>
              <w:left w:val="nil"/>
              <w:bottom w:val="single" w:sz="24" w:space="0" w:color="8EAADB" w:themeColor="accent1" w:themeTint="99"/>
              <w:right w:val="nil"/>
            </w:tcBorders>
            <w:shd w:val="clear" w:color="auto" w:fill="8EAADB" w:themeFill="accent1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bookmarkEnd w:id="0"/>
          <w:p w14:paraId="1DC2D275" w14:textId="6849AE86" w:rsidR="00E11D36" w:rsidRDefault="00F97B4D" w:rsidP="00D0761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13:00-13:15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24" w:space="0" w:color="8EAADB" w:themeColor="accent1" w:themeTint="99"/>
              <w:right w:val="nil"/>
            </w:tcBorders>
            <w:hideMark/>
          </w:tcPr>
          <w:p w14:paraId="56109BB5" w14:textId="3DEBB361" w:rsidR="00E11D36" w:rsidRDefault="00E11D36" w:rsidP="00AF2CFB">
            <w:pPr>
              <w:spacing w:after="0"/>
              <w:rPr>
                <w:b/>
                <w:bCs/>
                <w:sz w:val="24"/>
                <w:szCs w:val="24"/>
              </w:rPr>
            </w:pPr>
            <w:r w:rsidRPr="00DA5C81">
              <w:rPr>
                <w:b/>
                <w:bCs/>
                <w:sz w:val="24"/>
                <w:szCs w:val="24"/>
              </w:rPr>
              <w:t>Registration and Welcome Coffee</w:t>
            </w:r>
          </w:p>
        </w:tc>
      </w:tr>
      <w:tr w:rsidR="00E11D36" w14:paraId="30ACF6AD" w14:textId="77777777" w:rsidTr="007A21B3">
        <w:trPr>
          <w:trHeight w:val="217"/>
          <w:jc w:val="center"/>
        </w:trPr>
        <w:tc>
          <w:tcPr>
            <w:tcW w:w="1932" w:type="dxa"/>
            <w:tcBorders>
              <w:top w:val="single" w:sz="24" w:space="0" w:color="8EAADB" w:themeColor="accent1" w:themeTint="99"/>
              <w:left w:val="nil"/>
              <w:bottom w:val="single" w:sz="24" w:space="0" w:color="8EAADB" w:themeColor="accent1" w:themeTint="99"/>
              <w:right w:val="nil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CF4679" w14:textId="77777777" w:rsidR="00E11D36" w:rsidRDefault="00E11D36" w:rsidP="00D0761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103" w:type="dxa"/>
            <w:vMerge w:val="restart"/>
            <w:tcBorders>
              <w:top w:val="single" w:sz="24" w:space="0" w:color="8EAADB" w:themeColor="accent1" w:themeTint="99"/>
              <w:left w:val="nil"/>
              <w:right w:val="nil"/>
            </w:tcBorders>
            <w:shd w:val="clear" w:color="auto" w:fill="FFFFFF" w:themeFill="background1"/>
          </w:tcPr>
          <w:p w14:paraId="14FE827D" w14:textId="77777777" w:rsidR="00E11D36" w:rsidRDefault="00E11D36" w:rsidP="00AF2CFB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0BCF744A" w14:textId="681BB411" w:rsidR="00E11D36" w:rsidRPr="00DA5C81" w:rsidRDefault="00E11D36" w:rsidP="00AF2CF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Welcoming </w:t>
            </w:r>
            <w:r w:rsidR="00BC46DC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emarks</w:t>
            </w:r>
          </w:p>
        </w:tc>
      </w:tr>
      <w:tr w:rsidR="00E11D36" w14:paraId="50CDA6A0" w14:textId="77777777" w:rsidTr="003B6DDC">
        <w:trPr>
          <w:trHeight w:val="70"/>
          <w:jc w:val="center"/>
        </w:trPr>
        <w:tc>
          <w:tcPr>
            <w:tcW w:w="1932" w:type="dxa"/>
            <w:tcBorders>
              <w:top w:val="single" w:sz="24" w:space="0" w:color="8EAADB" w:themeColor="accent1" w:themeTint="99"/>
              <w:left w:val="nil"/>
              <w:bottom w:val="single" w:sz="24" w:space="0" w:color="8EAADB" w:themeColor="accent1" w:themeTint="99"/>
              <w:right w:val="nil"/>
            </w:tcBorders>
            <w:shd w:val="clear" w:color="auto" w:fill="8EAADB" w:themeFill="accent1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C1023D" w14:textId="6E9003D4" w:rsidR="00E11D36" w:rsidRDefault="00AE1672" w:rsidP="00D0761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13:15-13:45</w:t>
            </w:r>
          </w:p>
        </w:tc>
        <w:tc>
          <w:tcPr>
            <w:tcW w:w="8103" w:type="dxa"/>
            <w:vMerge/>
            <w:tcBorders>
              <w:left w:val="nil"/>
              <w:bottom w:val="single" w:sz="24" w:space="0" w:color="8EAADB" w:themeColor="accent1" w:themeTint="99"/>
              <w:right w:val="nil"/>
            </w:tcBorders>
            <w:hideMark/>
          </w:tcPr>
          <w:p w14:paraId="5B7FCC4E" w14:textId="06160601" w:rsidR="00E11D36" w:rsidRDefault="00E11D36" w:rsidP="00AF2CF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E11D36" w14:paraId="05959702" w14:textId="77777777" w:rsidTr="00E11D36">
        <w:trPr>
          <w:trHeight w:val="70"/>
          <w:jc w:val="center"/>
        </w:trPr>
        <w:tc>
          <w:tcPr>
            <w:tcW w:w="1932" w:type="dxa"/>
            <w:tcBorders>
              <w:top w:val="single" w:sz="24" w:space="0" w:color="8EAADB" w:themeColor="accent1" w:themeTint="99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7E1D3D" w14:textId="77777777" w:rsidR="00E11D36" w:rsidRDefault="00E11D36" w:rsidP="00D0761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3" w:type="dxa"/>
            <w:tcBorders>
              <w:top w:val="single" w:sz="24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hideMark/>
          </w:tcPr>
          <w:p w14:paraId="07447A49" w14:textId="706E0FA5" w:rsidR="00E11D36" w:rsidRDefault="00744615" w:rsidP="00E11D36">
            <w:pPr>
              <w:spacing w:after="0"/>
              <w:rPr>
                <w:sz w:val="24"/>
                <w:szCs w:val="24"/>
              </w:rPr>
            </w:pPr>
            <w:r w:rsidRPr="00695D59"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>Vincent Rey</w:t>
            </w:r>
            <w:r>
              <w:rPr>
                <w:bCs/>
                <w:sz w:val="24"/>
                <w:szCs w:val="24"/>
              </w:rPr>
              <w:sym w:font="Webdings" w:char="F07C"/>
            </w:r>
            <w:r w:rsidRPr="00695D59">
              <w:rPr>
                <w:bCs/>
                <w:sz w:val="24"/>
                <w:szCs w:val="24"/>
              </w:rPr>
              <w:t>Head of Cooperation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695D59">
              <w:rPr>
                <w:bCs/>
                <w:sz w:val="24"/>
                <w:szCs w:val="24"/>
              </w:rPr>
              <w:t>European Union Delegation to Georgia</w:t>
            </w:r>
            <w:r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hyperlink r:id="rId8" w:history="1">
              <w:r w:rsidR="00E11D36" w:rsidRPr="00695D59">
                <w:rPr>
                  <w:rFonts w:cs="Calibri-BoldItalic"/>
                  <w:b/>
                  <w:bCs/>
                  <w:iCs/>
                  <w:color w:val="1F3864" w:themeColor="accent1" w:themeShade="80"/>
                  <w:sz w:val="24"/>
                  <w:szCs w:val="24"/>
                </w:rPr>
                <w:t>Mercy Tembon</w:t>
              </w:r>
            </w:hyperlink>
            <w:r w:rsidR="00E11D36">
              <w:rPr>
                <w:bCs/>
                <w:sz w:val="24"/>
                <w:szCs w:val="24"/>
              </w:rPr>
              <w:t xml:space="preserve"> </w:t>
            </w:r>
            <w:r w:rsidR="00E11D36">
              <w:rPr>
                <w:bCs/>
                <w:sz w:val="24"/>
                <w:szCs w:val="24"/>
              </w:rPr>
              <w:sym w:font="Webdings" w:char="F07C"/>
            </w:r>
            <w:r w:rsidR="00E11D36" w:rsidRPr="00695D59">
              <w:rPr>
                <w:bCs/>
                <w:sz w:val="24"/>
                <w:szCs w:val="24"/>
              </w:rPr>
              <w:t>Regional Director for the South Caucasus</w:t>
            </w:r>
            <w:r w:rsidR="008D7099">
              <w:rPr>
                <w:bCs/>
                <w:sz w:val="24"/>
                <w:szCs w:val="24"/>
              </w:rPr>
              <w:t xml:space="preserve">, </w:t>
            </w:r>
            <w:r w:rsidR="008D7099" w:rsidRPr="00695D59">
              <w:rPr>
                <w:bCs/>
                <w:sz w:val="24"/>
                <w:szCs w:val="24"/>
              </w:rPr>
              <w:t>World Bank</w:t>
            </w:r>
          </w:p>
          <w:p w14:paraId="2295C8ED" w14:textId="1F4719A1" w:rsidR="00D91F09" w:rsidRDefault="00FA5006" w:rsidP="00D91F09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>Nikoloz Gagua</w:t>
            </w:r>
            <w:r w:rsidR="00D91F09">
              <w:t xml:space="preserve"> </w:t>
            </w:r>
            <w:r w:rsidR="00D91F09" w:rsidRPr="00E36A40">
              <w:rPr>
                <w:bCs/>
                <w:sz w:val="24"/>
                <w:szCs w:val="24"/>
              </w:rPr>
              <w:sym w:font="Webdings" w:char="F07C"/>
            </w:r>
            <w:r>
              <w:rPr>
                <w:bCs/>
                <w:sz w:val="24"/>
                <w:szCs w:val="24"/>
              </w:rPr>
              <w:t xml:space="preserve">Deputy Minister, </w:t>
            </w:r>
            <w:r w:rsidR="00D91F09" w:rsidRPr="00E36A40">
              <w:rPr>
                <w:bCs/>
                <w:sz w:val="24"/>
                <w:szCs w:val="24"/>
              </w:rPr>
              <w:t>Minist</w:t>
            </w:r>
            <w:r w:rsidR="00D91F09">
              <w:rPr>
                <w:bCs/>
                <w:sz w:val="24"/>
                <w:szCs w:val="24"/>
              </w:rPr>
              <w:t>ry</w:t>
            </w:r>
            <w:r w:rsidR="00D91F09" w:rsidRPr="00E36A40">
              <w:rPr>
                <w:bCs/>
                <w:sz w:val="24"/>
                <w:szCs w:val="24"/>
              </w:rPr>
              <w:t xml:space="preserve"> of Finance of Georgia</w:t>
            </w:r>
            <w:r w:rsidR="00785198">
              <w:rPr>
                <w:bCs/>
                <w:sz w:val="24"/>
                <w:szCs w:val="24"/>
              </w:rPr>
              <w:t xml:space="preserve"> </w:t>
            </w:r>
          </w:p>
          <w:p w14:paraId="3E16A3C5" w14:textId="6529D339" w:rsidR="00E11D36" w:rsidRPr="004B3ECB" w:rsidRDefault="004B3ECB" w:rsidP="004B3ECB">
            <w:pPr>
              <w:spacing w:after="0"/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</w:pPr>
            <w:r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>Davi</w:t>
            </w:r>
            <w:r w:rsidR="00BC46DC"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>d</w:t>
            </w:r>
            <w:r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 xml:space="preserve"> Tvalabeishvili </w:t>
            </w:r>
            <w:r w:rsidR="00785198" w:rsidRPr="00E36A40">
              <w:rPr>
                <w:bCs/>
                <w:sz w:val="24"/>
                <w:szCs w:val="24"/>
              </w:rPr>
              <w:sym w:font="Webdings" w:char="F07C"/>
            </w:r>
            <w:r w:rsidR="00785198">
              <w:rPr>
                <w:bCs/>
                <w:sz w:val="24"/>
                <w:szCs w:val="24"/>
              </w:rPr>
              <w:t>Deputy Minister, Ministry of Economy and Sustainable Development of Georgia</w:t>
            </w:r>
          </w:p>
        </w:tc>
      </w:tr>
      <w:tr w:rsidR="00E11D36" w14:paraId="41B4ED41" w14:textId="77777777" w:rsidTr="00E11D36">
        <w:trPr>
          <w:trHeight w:val="403"/>
          <w:jc w:val="center"/>
        </w:trPr>
        <w:tc>
          <w:tcPr>
            <w:tcW w:w="193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CEE46B" w14:textId="77777777" w:rsidR="00E11D36" w:rsidRDefault="00E11D36" w:rsidP="00D0761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3" w:type="dxa"/>
            <w:tcBorders>
              <w:top w:val="single" w:sz="8" w:space="0" w:color="8EAADB" w:themeColor="accent1" w:themeTint="99"/>
              <w:left w:val="nil"/>
              <w:bottom w:val="nil"/>
              <w:right w:val="nil"/>
            </w:tcBorders>
          </w:tcPr>
          <w:p w14:paraId="5A1DBBA7" w14:textId="77777777" w:rsidR="00E11D36" w:rsidRDefault="00E11D36" w:rsidP="00AF2CF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E11D36" w14:paraId="1E5139A4" w14:textId="77777777" w:rsidTr="00E11D36">
        <w:trPr>
          <w:trHeight w:val="70"/>
          <w:jc w:val="center"/>
        </w:trPr>
        <w:tc>
          <w:tcPr>
            <w:tcW w:w="1932" w:type="dxa"/>
            <w:tcBorders>
              <w:top w:val="nil"/>
              <w:left w:val="nil"/>
              <w:bottom w:val="single" w:sz="24" w:space="0" w:color="8EAADB" w:themeColor="accent1" w:themeTint="99"/>
              <w:right w:val="nil"/>
            </w:tcBorders>
            <w:shd w:val="clear" w:color="auto" w:fill="8EAADB" w:themeFill="accent1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4FEAC8E" w14:textId="071C887E" w:rsidR="00E11D36" w:rsidRDefault="00AE1672" w:rsidP="00D0761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13:45-14:00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24" w:space="0" w:color="8EAADB" w:themeColor="accent1" w:themeTint="99"/>
              <w:right w:val="nil"/>
            </w:tcBorders>
            <w:vAlign w:val="center"/>
            <w:hideMark/>
          </w:tcPr>
          <w:p w14:paraId="492EAA8A" w14:textId="52B58F3B" w:rsidR="00E11D36" w:rsidRDefault="004B3ECB" w:rsidP="00AF2CF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Presentation</w:t>
            </w:r>
            <w:r w:rsidR="009764BC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, Economic Cost of Underheating </w:t>
            </w:r>
          </w:p>
        </w:tc>
      </w:tr>
      <w:tr w:rsidR="00E11D36" w14:paraId="041D7B8C" w14:textId="77777777" w:rsidTr="00E11D36">
        <w:trPr>
          <w:trHeight w:val="70"/>
          <w:jc w:val="center"/>
        </w:trPr>
        <w:tc>
          <w:tcPr>
            <w:tcW w:w="1932" w:type="dxa"/>
            <w:tcBorders>
              <w:top w:val="single" w:sz="24" w:space="0" w:color="8EAADB" w:themeColor="accent1" w:themeTint="99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1D0353" w14:textId="77777777" w:rsidR="00E11D36" w:rsidRDefault="00E11D36" w:rsidP="00D0761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3" w:type="dxa"/>
            <w:tcBorders>
              <w:top w:val="single" w:sz="24" w:space="0" w:color="8EAADB" w:themeColor="accent1" w:themeTint="99"/>
              <w:left w:val="nil"/>
              <w:bottom w:val="single" w:sz="8" w:space="0" w:color="8EAADB" w:themeColor="accent1" w:themeTint="99"/>
              <w:right w:val="nil"/>
            </w:tcBorders>
            <w:vAlign w:val="center"/>
            <w:hideMark/>
          </w:tcPr>
          <w:p w14:paraId="79291BE6" w14:textId="11C29989" w:rsidR="00E11D36" w:rsidRPr="00EC67BE" w:rsidRDefault="00AE1672" w:rsidP="00E11D36">
            <w:pPr>
              <w:autoSpaceDE w:val="0"/>
              <w:autoSpaceDN w:val="0"/>
              <w:adjustRightInd w:val="0"/>
              <w:spacing w:after="0"/>
              <w:rPr>
                <w:i/>
                <w:sz w:val="24"/>
                <w:szCs w:val="24"/>
              </w:rPr>
            </w:pPr>
            <w:r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 xml:space="preserve">Sheoli Pargal </w:t>
            </w:r>
            <w:r w:rsidR="00E11D36">
              <w:rPr>
                <w:bCs/>
                <w:sz w:val="24"/>
                <w:szCs w:val="24"/>
              </w:rPr>
              <w:sym w:font="Webdings" w:char="F07C"/>
            </w:r>
            <w:r w:rsidR="00E11D36" w:rsidRPr="00695D59">
              <w:rPr>
                <w:sz w:val="24"/>
                <w:szCs w:val="24"/>
              </w:rPr>
              <w:t xml:space="preserve"> </w:t>
            </w:r>
            <w:r w:rsidR="00F22E69">
              <w:rPr>
                <w:sz w:val="24"/>
                <w:szCs w:val="24"/>
              </w:rPr>
              <w:t xml:space="preserve">Lead </w:t>
            </w:r>
            <w:r>
              <w:rPr>
                <w:sz w:val="24"/>
                <w:szCs w:val="24"/>
              </w:rPr>
              <w:t>Energy Economics</w:t>
            </w:r>
            <w:r w:rsidR="008D7099">
              <w:rPr>
                <w:sz w:val="24"/>
                <w:szCs w:val="24"/>
              </w:rPr>
              <w:t xml:space="preserve">, </w:t>
            </w:r>
            <w:r w:rsidR="008D7099" w:rsidRPr="00695D59">
              <w:rPr>
                <w:sz w:val="24"/>
                <w:szCs w:val="24"/>
              </w:rPr>
              <w:t>World Bank</w:t>
            </w:r>
            <w:r w:rsidR="00EC67BE">
              <w:rPr>
                <w:sz w:val="24"/>
                <w:szCs w:val="24"/>
              </w:rPr>
              <w:t xml:space="preserve"> </w:t>
            </w:r>
            <w:r w:rsidR="00EC67BE" w:rsidRPr="00EC67BE">
              <w:rPr>
                <w:i/>
                <w:sz w:val="24"/>
                <w:szCs w:val="24"/>
              </w:rPr>
              <w:t xml:space="preserve">(Via </w:t>
            </w:r>
            <w:r>
              <w:rPr>
                <w:i/>
                <w:sz w:val="24"/>
                <w:szCs w:val="24"/>
              </w:rPr>
              <w:t>Skype</w:t>
            </w:r>
            <w:r w:rsidR="00EC67BE" w:rsidRPr="00EC67BE">
              <w:rPr>
                <w:i/>
                <w:sz w:val="24"/>
                <w:szCs w:val="24"/>
              </w:rPr>
              <w:t>)</w:t>
            </w:r>
          </w:p>
          <w:p w14:paraId="56BC6F60" w14:textId="77777777" w:rsidR="00F22E69" w:rsidRDefault="00F22E69" w:rsidP="00E11D36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 xml:space="preserve">Joseph Melitauri </w:t>
            </w:r>
            <w:r>
              <w:rPr>
                <w:bCs/>
                <w:sz w:val="24"/>
                <w:szCs w:val="24"/>
              </w:rPr>
              <w:sym w:font="Webdings" w:char="F07C"/>
            </w:r>
            <w:r w:rsidRPr="00695D59">
              <w:rPr>
                <w:sz w:val="24"/>
                <w:szCs w:val="24"/>
              </w:rPr>
              <w:t xml:space="preserve"> Senior </w:t>
            </w:r>
            <w:r>
              <w:rPr>
                <w:sz w:val="24"/>
                <w:szCs w:val="24"/>
              </w:rPr>
              <w:t xml:space="preserve">Operations Officer, </w:t>
            </w:r>
            <w:r w:rsidRPr="00695D59">
              <w:rPr>
                <w:sz w:val="24"/>
                <w:szCs w:val="24"/>
              </w:rPr>
              <w:t>World Bank</w:t>
            </w:r>
          </w:p>
          <w:p w14:paraId="130570C7" w14:textId="77777777" w:rsidR="00AE1672" w:rsidRDefault="00AE1672" w:rsidP="00AE1672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22E69"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>Stephen Dorey</w:t>
            </w:r>
            <w:r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sym w:font="Webdings" w:char="F07C"/>
            </w:r>
            <w:r w:rsidRPr="00695D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Consultant, </w:t>
            </w:r>
            <w:r w:rsidRPr="00695D59">
              <w:rPr>
                <w:sz w:val="24"/>
                <w:szCs w:val="24"/>
              </w:rPr>
              <w:t>World Bank</w:t>
            </w:r>
          </w:p>
          <w:p w14:paraId="44CCE943" w14:textId="10990EFF" w:rsidR="00154185" w:rsidRDefault="00154185" w:rsidP="00AE1672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spellStart"/>
            <w:r w:rsidRPr="00154185"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>Voravate</w:t>
            </w:r>
            <w:proofErr w:type="spellEnd"/>
            <w:r w:rsidRPr="00154185"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154185"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>Tuntivate</w:t>
            </w:r>
            <w:proofErr w:type="spellEnd"/>
            <w:r>
              <w:rPr>
                <w:bCs/>
                <w:sz w:val="24"/>
                <w:szCs w:val="24"/>
              </w:rPr>
              <w:sym w:font="Webdings" w:char="F07C"/>
            </w:r>
            <w:r w:rsidRPr="00695D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Consultant, </w:t>
            </w:r>
            <w:r w:rsidRPr="00695D59">
              <w:rPr>
                <w:sz w:val="24"/>
                <w:szCs w:val="24"/>
              </w:rPr>
              <w:t>World Bank</w:t>
            </w:r>
          </w:p>
        </w:tc>
      </w:tr>
      <w:tr w:rsidR="00E11D36" w14:paraId="5E95D4AB" w14:textId="77777777" w:rsidTr="00E11D36">
        <w:trPr>
          <w:trHeight w:val="511"/>
          <w:jc w:val="center"/>
        </w:trPr>
        <w:tc>
          <w:tcPr>
            <w:tcW w:w="193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1952EB" w14:textId="77777777" w:rsidR="00E11D36" w:rsidRDefault="00E11D36" w:rsidP="00D0761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3" w:type="dxa"/>
            <w:tcBorders>
              <w:top w:val="single" w:sz="8" w:space="0" w:color="8EAADB" w:themeColor="accent1" w:themeTint="99"/>
              <w:left w:val="nil"/>
              <w:bottom w:val="nil"/>
              <w:right w:val="nil"/>
            </w:tcBorders>
            <w:vAlign w:val="center"/>
          </w:tcPr>
          <w:p w14:paraId="388EEFE4" w14:textId="77777777" w:rsidR="00E11D36" w:rsidRDefault="00E11D36" w:rsidP="00AF2CF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E11D36" w14:paraId="019C81D5" w14:textId="77777777" w:rsidTr="00E11D36">
        <w:trPr>
          <w:trHeight w:val="70"/>
          <w:jc w:val="center"/>
        </w:trPr>
        <w:tc>
          <w:tcPr>
            <w:tcW w:w="1932" w:type="dxa"/>
            <w:tcBorders>
              <w:top w:val="nil"/>
              <w:left w:val="nil"/>
              <w:bottom w:val="single" w:sz="24" w:space="0" w:color="8EAADB" w:themeColor="accent1" w:themeTint="99"/>
              <w:right w:val="nil"/>
            </w:tcBorders>
            <w:shd w:val="clear" w:color="auto" w:fill="8EAADB" w:themeFill="accent1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50C91F8" w14:textId="0B2B0689" w:rsidR="00E11D36" w:rsidRDefault="00AE1672" w:rsidP="00D0761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14:00-14:30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24" w:space="0" w:color="8EAADB" w:themeColor="accent1" w:themeTint="99"/>
              <w:right w:val="nil"/>
            </w:tcBorders>
            <w:vAlign w:val="center"/>
            <w:hideMark/>
          </w:tcPr>
          <w:p w14:paraId="3E489582" w14:textId="11445C4E" w:rsidR="00E11D36" w:rsidRDefault="00F22E69" w:rsidP="00AF2CFB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Presentation, Distributional Imcat of Energy Expenditures </w:t>
            </w:r>
          </w:p>
        </w:tc>
      </w:tr>
      <w:tr w:rsidR="00E11D36" w14:paraId="0DF8CD42" w14:textId="77777777" w:rsidTr="00731DE2">
        <w:trPr>
          <w:trHeight w:val="70"/>
          <w:jc w:val="center"/>
        </w:trPr>
        <w:tc>
          <w:tcPr>
            <w:tcW w:w="1932" w:type="dxa"/>
            <w:tcBorders>
              <w:top w:val="single" w:sz="24" w:space="0" w:color="8EAADB" w:themeColor="accent1" w:themeTint="99"/>
              <w:left w:val="nil"/>
              <w:bottom w:val="single" w:sz="24" w:space="0" w:color="8EAADB" w:themeColor="accent1" w:themeTint="99"/>
              <w:right w:val="nil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F5B8F0" w14:textId="77777777" w:rsidR="00E11D36" w:rsidRDefault="00E11D36" w:rsidP="00D0761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7D4EA55" w14:textId="03C48FC8" w:rsidR="00EC67BE" w:rsidRDefault="00EC67BE" w:rsidP="00EC67BE">
            <w:pPr>
              <w:spacing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103" w:type="dxa"/>
            <w:vMerge w:val="restart"/>
            <w:tcBorders>
              <w:top w:val="single" w:sz="24" w:space="0" w:color="8EAADB" w:themeColor="accent1" w:themeTint="99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0E871E" w14:textId="5AE10595" w:rsidR="0043202C" w:rsidRPr="00EC67BE" w:rsidRDefault="00EC67BE" w:rsidP="0043202C">
            <w:pPr>
              <w:autoSpaceDE w:val="0"/>
              <w:autoSpaceDN w:val="0"/>
              <w:adjustRightInd w:val="0"/>
              <w:spacing w:after="0"/>
              <w:rPr>
                <w:i/>
                <w:sz w:val="24"/>
                <w:szCs w:val="24"/>
              </w:rPr>
            </w:pPr>
            <w:r>
              <w:rPr>
                <w:rFonts w:cs="Calibri-BoldItalic"/>
                <w:b/>
                <w:bCs/>
                <w:iCs/>
                <w:color w:val="1F3864" w:themeColor="accent1" w:themeShade="80"/>
                <w:sz w:val="24"/>
                <w:szCs w:val="24"/>
              </w:rPr>
              <w:t xml:space="preserve">Alan Fuchs  </w:t>
            </w:r>
            <w:r>
              <w:rPr>
                <w:bCs/>
                <w:sz w:val="24"/>
                <w:szCs w:val="24"/>
              </w:rPr>
              <w:sym w:font="Webdings" w:char="F07C"/>
            </w:r>
            <w:r w:rsidRPr="00695D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Senior Economist, </w:t>
            </w:r>
            <w:r w:rsidRPr="00695D59">
              <w:rPr>
                <w:sz w:val="24"/>
                <w:szCs w:val="24"/>
              </w:rPr>
              <w:t>World Bank</w:t>
            </w:r>
            <w:r w:rsidR="0043202C">
              <w:rPr>
                <w:sz w:val="24"/>
                <w:szCs w:val="24"/>
              </w:rPr>
              <w:t xml:space="preserve"> </w:t>
            </w:r>
            <w:r w:rsidR="0043202C" w:rsidRPr="00EC67BE">
              <w:rPr>
                <w:i/>
                <w:sz w:val="24"/>
                <w:szCs w:val="24"/>
              </w:rPr>
              <w:t xml:space="preserve">(Via </w:t>
            </w:r>
            <w:r w:rsidR="0043202C">
              <w:rPr>
                <w:i/>
                <w:sz w:val="24"/>
                <w:szCs w:val="24"/>
              </w:rPr>
              <w:t>Skype</w:t>
            </w:r>
            <w:r w:rsidR="0043202C" w:rsidRPr="00EC67BE">
              <w:rPr>
                <w:i/>
                <w:sz w:val="24"/>
                <w:szCs w:val="24"/>
              </w:rPr>
              <w:t>)</w:t>
            </w:r>
          </w:p>
          <w:p w14:paraId="2C1890E5" w14:textId="5CC7B1C4" w:rsidR="00EC67BE" w:rsidRDefault="00EC67BE" w:rsidP="00EC67B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  <w:p w14:paraId="6E2EA18F" w14:textId="3CFACC93" w:rsidR="00E11D36" w:rsidRPr="00DA5C81" w:rsidRDefault="00AE1672" w:rsidP="00AF2CF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Q &amp; A  </w:t>
            </w:r>
          </w:p>
        </w:tc>
      </w:tr>
      <w:tr w:rsidR="00E11D36" w14:paraId="78107C35" w14:textId="77777777" w:rsidTr="00731DE2">
        <w:trPr>
          <w:trHeight w:val="70"/>
          <w:jc w:val="center"/>
        </w:trPr>
        <w:tc>
          <w:tcPr>
            <w:tcW w:w="1932" w:type="dxa"/>
            <w:tcBorders>
              <w:top w:val="single" w:sz="24" w:space="0" w:color="8EAADB" w:themeColor="accent1" w:themeTint="99"/>
              <w:left w:val="nil"/>
              <w:bottom w:val="single" w:sz="24" w:space="0" w:color="8EAADB" w:themeColor="accent1" w:themeTint="99"/>
              <w:right w:val="nil"/>
            </w:tcBorders>
            <w:shd w:val="clear" w:color="auto" w:fill="8EAADB" w:themeFill="accent1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4B2D118" w14:textId="5DB8DD36" w:rsidR="00E11D36" w:rsidRDefault="00AE1672" w:rsidP="00D0761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2019633"/>
            <w:r>
              <w:rPr>
                <w:b/>
                <w:bCs/>
                <w:color w:val="FFFFFF" w:themeColor="background1"/>
                <w:sz w:val="24"/>
                <w:szCs w:val="24"/>
              </w:rPr>
              <w:t>14:</w:t>
            </w:r>
            <w:r w:rsidR="0043202C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0-1</w:t>
            </w:r>
            <w:r w:rsidR="0043202C">
              <w:rPr>
                <w:b/>
                <w:bCs/>
                <w:color w:val="FFFFFF" w:themeColor="background1"/>
                <w:sz w:val="24"/>
                <w:szCs w:val="24"/>
              </w:rPr>
              <w:t>5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="0043202C">
              <w:rPr>
                <w:b/>
                <w:bCs/>
                <w:color w:val="FFFFFF" w:themeColor="background1"/>
                <w:sz w:val="24"/>
                <w:szCs w:val="24"/>
              </w:rPr>
              <w:t>0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0</w:t>
            </w:r>
            <w:bookmarkEnd w:id="1"/>
          </w:p>
        </w:tc>
        <w:tc>
          <w:tcPr>
            <w:tcW w:w="8103" w:type="dxa"/>
            <w:vMerge/>
            <w:tcBorders>
              <w:left w:val="nil"/>
              <w:bottom w:val="single" w:sz="24" w:space="0" w:color="8EAADB" w:themeColor="accent1" w:themeTint="99"/>
              <w:right w:val="nil"/>
            </w:tcBorders>
            <w:hideMark/>
          </w:tcPr>
          <w:p w14:paraId="0B0C75D1" w14:textId="0852C609" w:rsidR="00E11D36" w:rsidRDefault="00E11D36" w:rsidP="00AF2CF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E11D36" w14:paraId="71E077C6" w14:textId="77777777" w:rsidTr="00E11D36">
        <w:trPr>
          <w:trHeight w:val="70"/>
          <w:jc w:val="center"/>
        </w:trPr>
        <w:tc>
          <w:tcPr>
            <w:tcW w:w="1932" w:type="dxa"/>
            <w:tcBorders>
              <w:top w:val="single" w:sz="24" w:space="0" w:color="8EAADB" w:themeColor="accent1" w:themeTint="99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7A00AE" w14:textId="77777777" w:rsidR="00E11D36" w:rsidRDefault="00E11D36" w:rsidP="00D0761C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103" w:type="dxa"/>
            <w:tcBorders>
              <w:top w:val="single" w:sz="24" w:space="0" w:color="8EAADB" w:themeColor="accent1" w:themeTint="99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8DDC5" w14:textId="77777777" w:rsidR="00E11D36" w:rsidRPr="00DA5C81" w:rsidRDefault="00E11D36" w:rsidP="00AF2CF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F22E69" w14:paraId="45EE80A0" w14:textId="77777777" w:rsidTr="0078072E">
        <w:trPr>
          <w:trHeight w:val="70"/>
          <w:jc w:val="center"/>
        </w:trPr>
        <w:tc>
          <w:tcPr>
            <w:tcW w:w="1932" w:type="dxa"/>
            <w:tcBorders>
              <w:top w:val="nil"/>
              <w:left w:val="nil"/>
              <w:bottom w:val="single" w:sz="24" w:space="0" w:color="8EAADB" w:themeColor="accent1" w:themeTint="99"/>
              <w:right w:val="nil"/>
            </w:tcBorders>
            <w:shd w:val="clear" w:color="auto" w:fill="8EAADB" w:themeFill="accent1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CB0FB69" w14:textId="2BC32069" w:rsidR="00F22E69" w:rsidRDefault="0043202C" w:rsidP="0078072E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15:00-16:00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24" w:space="0" w:color="8EAADB" w:themeColor="accent1" w:themeTint="99"/>
              <w:right w:val="nil"/>
            </w:tcBorders>
            <w:vAlign w:val="center"/>
            <w:hideMark/>
          </w:tcPr>
          <w:p w14:paraId="6CA9B76B" w14:textId="7C87027C" w:rsidR="00F22E69" w:rsidRDefault="00AE1672" w:rsidP="0078072E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Networking brunch</w:t>
            </w:r>
          </w:p>
        </w:tc>
      </w:tr>
    </w:tbl>
    <w:p w14:paraId="5CF762D8" w14:textId="77777777" w:rsidR="00E701A1" w:rsidRDefault="00E701A1" w:rsidP="0043202C">
      <w:pPr>
        <w:spacing w:after="500" w:line="240" w:lineRule="auto"/>
        <w:rPr>
          <w:rFonts w:ascii="Century Gothic" w:hAnsi="Century Gothic" w:cs="Arial"/>
          <w:b/>
          <w:sz w:val="28"/>
        </w:rPr>
      </w:pPr>
    </w:p>
    <w:sectPr w:rsidR="00E701A1" w:rsidSect="00C50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A966E" w14:textId="77777777" w:rsidR="005A6B15" w:rsidRDefault="005A6B15" w:rsidP="00235806">
      <w:pPr>
        <w:spacing w:after="0" w:line="240" w:lineRule="auto"/>
      </w:pPr>
      <w:r>
        <w:separator/>
      </w:r>
    </w:p>
  </w:endnote>
  <w:endnote w:type="continuationSeparator" w:id="0">
    <w:p w14:paraId="33F12EF7" w14:textId="77777777" w:rsidR="005A6B15" w:rsidRDefault="005A6B15" w:rsidP="0023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es"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ED12" w14:textId="77777777" w:rsidR="004B3ECB" w:rsidRDefault="004B3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0D18" w14:textId="3AA652AC" w:rsidR="00235806" w:rsidRDefault="00235806" w:rsidP="0023580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0BBB" w14:textId="77777777" w:rsidR="004B3ECB" w:rsidRDefault="004B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27FD4" w14:textId="77777777" w:rsidR="005A6B15" w:rsidRDefault="005A6B15" w:rsidP="00235806">
      <w:pPr>
        <w:spacing w:after="0" w:line="240" w:lineRule="auto"/>
      </w:pPr>
      <w:r>
        <w:separator/>
      </w:r>
    </w:p>
  </w:footnote>
  <w:footnote w:type="continuationSeparator" w:id="0">
    <w:p w14:paraId="16F9EFF0" w14:textId="77777777" w:rsidR="005A6B15" w:rsidRDefault="005A6B15" w:rsidP="0023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D0738" w14:textId="52AD720E" w:rsidR="004B3ECB" w:rsidRDefault="005A6B15">
    <w:pPr>
      <w:pStyle w:val="Header"/>
    </w:pPr>
    <w:r>
      <w:rPr>
        <w:noProof/>
      </w:rPr>
      <w:pict w14:anchorId="2E56CA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99641" o:spid="_x0000_s2050" type="#_x0000_t136" style="position:absolute;margin-left:0;margin-top:0;width:439.9pt;height:21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2C55" w14:textId="155E8AEF" w:rsidR="00235806" w:rsidRDefault="005A6B15" w:rsidP="00235806">
    <w:pPr>
      <w:pStyle w:val="Header"/>
      <w:tabs>
        <w:tab w:val="clear" w:pos="4680"/>
      </w:tabs>
    </w:pPr>
    <w:r>
      <w:rPr>
        <w:noProof/>
      </w:rPr>
      <w:pict w14:anchorId="1B07CD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99642" o:spid="_x0000_s2051" type="#_x0000_t136" style="position:absolute;margin-left:0;margin-top:0;width:439.9pt;height:250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30FCE" w:rsidRPr="00875669">
      <w:rPr>
        <w:noProof/>
      </w:rPr>
      <w:drawing>
        <wp:anchor distT="0" distB="0" distL="114300" distR="114300" simplePos="0" relativeHeight="251660288" behindDoc="0" locked="0" layoutInCell="1" allowOverlap="1" wp14:anchorId="3B7635B7" wp14:editId="37DB43C8">
          <wp:simplePos x="0" y="0"/>
          <wp:positionH relativeFrom="margin">
            <wp:posOffset>4000500</wp:posOffset>
          </wp:positionH>
          <wp:positionV relativeFrom="margin">
            <wp:posOffset>-535940</wp:posOffset>
          </wp:positionV>
          <wp:extent cx="2257425" cy="525145"/>
          <wp:effectExtent l="0" t="0" r="9525" b="8255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77" t="54359" r="23237" b="25641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0FC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253ED2" wp14:editId="7DD319FD">
          <wp:simplePos x="0" y="0"/>
          <wp:positionH relativeFrom="margin">
            <wp:posOffset>-257175</wp:posOffset>
          </wp:positionH>
          <wp:positionV relativeFrom="margin">
            <wp:posOffset>-647700</wp:posOffset>
          </wp:positionV>
          <wp:extent cx="2447925" cy="638175"/>
          <wp:effectExtent l="0" t="0" r="9525" b="9525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80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FED98" w14:textId="0B5CCE9D" w:rsidR="004B3ECB" w:rsidRDefault="005A6B15">
    <w:pPr>
      <w:pStyle w:val="Header"/>
    </w:pPr>
    <w:r>
      <w:rPr>
        <w:noProof/>
      </w:rPr>
      <w:pict w14:anchorId="277D4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99640" o:spid="_x0000_s2049" type="#_x0000_t136" style="position:absolute;margin-left:0;margin-top:0;width:439.9pt;height:21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4700F"/>
    <w:multiLevelType w:val="hybridMultilevel"/>
    <w:tmpl w:val="7B88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15"/>
    <w:rsid w:val="00015490"/>
    <w:rsid w:val="000227C5"/>
    <w:rsid w:val="00040515"/>
    <w:rsid w:val="00076458"/>
    <w:rsid w:val="00092F3F"/>
    <w:rsid w:val="000B0075"/>
    <w:rsid w:val="000E16ED"/>
    <w:rsid w:val="000E2BDB"/>
    <w:rsid w:val="00154185"/>
    <w:rsid w:val="001676AE"/>
    <w:rsid w:val="001821C3"/>
    <w:rsid w:val="00186C54"/>
    <w:rsid w:val="001954B7"/>
    <w:rsid w:val="001A03EF"/>
    <w:rsid w:val="001B0F4A"/>
    <w:rsid w:val="001C3BFF"/>
    <w:rsid w:val="001F5CA1"/>
    <w:rsid w:val="001F6B4D"/>
    <w:rsid w:val="002073B1"/>
    <w:rsid w:val="002109C9"/>
    <w:rsid w:val="00230FCE"/>
    <w:rsid w:val="00235806"/>
    <w:rsid w:val="00286582"/>
    <w:rsid w:val="002B1DDD"/>
    <w:rsid w:val="002C7A4D"/>
    <w:rsid w:val="00357F4B"/>
    <w:rsid w:val="0036063D"/>
    <w:rsid w:val="00387B4B"/>
    <w:rsid w:val="003F5EB8"/>
    <w:rsid w:val="004007C9"/>
    <w:rsid w:val="00400A48"/>
    <w:rsid w:val="004274CF"/>
    <w:rsid w:val="0043202C"/>
    <w:rsid w:val="0049554F"/>
    <w:rsid w:val="00496404"/>
    <w:rsid w:val="004B3ECB"/>
    <w:rsid w:val="004D0F83"/>
    <w:rsid w:val="004D41CF"/>
    <w:rsid w:val="00500488"/>
    <w:rsid w:val="005017AA"/>
    <w:rsid w:val="00513B35"/>
    <w:rsid w:val="00531755"/>
    <w:rsid w:val="00546D0C"/>
    <w:rsid w:val="00582C3A"/>
    <w:rsid w:val="005A6B15"/>
    <w:rsid w:val="005B0645"/>
    <w:rsid w:val="00605F40"/>
    <w:rsid w:val="00607094"/>
    <w:rsid w:val="00611F1F"/>
    <w:rsid w:val="006460E5"/>
    <w:rsid w:val="00650AB6"/>
    <w:rsid w:val="00693AB3"/>
    <w:rsid w:val="00695D59"/>
    <w:rsid w:val="006B67D0"/>
    <w:rsid w:val="006C3BDA"/>
    <w:rsid w:val="0070399C"/>
    <w:rsid w:val="007315AD"/>
    <w:rsid w:val="00744615"/>
    <w:rsid w:val="0074579D"/>
    <w:rsid w:val="00785198"/>
    <w:rsid w:val="00796EB1"/>
    <w:rsid w:val="007A21B3"/>
    <w:rsid w:val="007B34F5"/>
    <w:rsid w:val="007F4F46"/>
    <w:rsid w:val="008166A7"/>
    <w:rsid w:val="00836843"/>
    <w:rsid w:val="00842DC4"/>
    <w:rsid w:val="00882CFD"/>
    <w:rsid w:val="008A3DE7"/>
    <w:rsid w:val="008C2D3B"/>
    <w:rsid w:val="008D7099"/>
    <w:rsid w:val="008E17F3"/>
    <w:rsid w:val="008E4C07"/>
    <w:rsid w:val="00937312"/>
    <w:rsid w:val="0095516E"/>
    <w:rsid w:val="009764BC"/>
    <w:rsid w:val="009812FF"/>
    <w:rsid w:val="009828DB"/>
    <w:rsid w:val="009B1EC5"/>
    <w:rsid w:val="00A965A0"/>
    <w:rsid w:val="00AA3F1C"/>
    <w:rsid w:val="00AE1672"/>
    <w:rsid w:val="00B302AB"/>
    <w:rsid w:val="00B37A01"/>
    <w:rsid w:val="00B462C6"/>
    <w:rsid w:val="00B71C4A"/>
    <w:rsid w:val="00B81F2C"/>
    <w:rsid w:val="00B8499D"/>
    <w:rsid w:val="00BA2539"/>
    <w:rsid w:val="00BA5FD7"/>
    <w:rsid w:val="00BC3B6D"/>
    <w:rsid w:val="00BC3D1F"/>
    <w:rsid w:val="00BC46DC"/>
    <w:rsid w:val="00BD1C90"/>
    <w:rsid w:val="00BD58B8"/>
    <w:rsid w:val="00BF209D"/>
    <w:rsid w:val="00C25352"/>
    <w:rsid w:val="00C50494"/>
    <w:rsid w:val="00C66055"/>
    <w:rsid w:val="00CA533C"/>
    <w:rsid w:val="00CB65E5"/>
    <w:rsid w:val="00CC67D9"/>
    <w:rsid w:val="00CC7CA4"/>
    <w:rsid w:val="00CF345C"/>
    <w:rsid w:val="00CF7436"/>
    <w:rsid w:val="00D0761C"/>
    <w:rsid w:val="00D463E8"/>
    <w:rsid w:val="00D66B27"/>
    <w:rsid w:val="00D74CE3"/>
    <w:rsid w:val="00D91DE3"/>
    <w:rsid w:val="00D91F09"/>
    <w:rsid w:val="00D956A9"/>
    <w:rsid w:val="00DA5C81"/>
    <w:rsid w:val="00DC34A8"/>
    <w:rsid w:val="00DE2791"/>
    <w:rsid w:val="00E11D36"/>
    <w:rsid w:val="00E30C17"/>
    <w:rsid w:val="00E36A40"/>
    <w:rsid w:val="00E50796"/>
    <w:rsid w:val="00E67942"/>
    <w:rsid w:val="00E701A1"/>
    <w:rsid w:val="00EB37BF"/>
    <w:rsid w:val="00EC67BE"/>
    <w:rsid w:val="00F22E69"/>
    <w:rsid w:val="00F402FC"/>
    <w:rsid w:val="00F4764E"/>
    <w:rsid w:val="00F6056D"/>
    <w:rsid w:val="00F82F2F"/>
    <w:rsid w:val="00F8489D"/>
    <w:rsid w:val="00F951C9"/>
    <w:rsid w:val="00F97B4D"/>
    <w:rsid w:val="00FA41F5"/>
    <w:rsid w:val="00FA5006"/>
    <w:rsid w:val="00FB1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C4E37"/>
  <w15:docId w15:val="{0CD3A893-6A10-4A2B-A3FA-9E69C8EF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1A1"/>
    <w:pPr>
      <w:spacing w:after="200" w:line="276" w:lineRule="auto"/>
    </w:pPr>
    <w:rPr>
      <w:rFonts w:ascii="Calibri" w:eastAsiaTheme="minorEastAsia" w:hAnsi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99"/>
    <w:rsid w:val="00E701A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4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45C"/>
    <w:rPr>
      <w:rFonts w:ascii="Calibri" w:eastAsiaTheme="minorEastAsia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45C"/>
    <w:rPr>
      <w:rFonts w:ascii="Calibri" w:eastAsiaTheme="minorEastAsia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5C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0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806"/>
    <w:rPr>
      <w:rFonts w:ascii="Calibri" w:eastAsiaTheme="minorEastAsia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3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806"/>
    <w:rPr>
      <w:rFonts w:ascii="Calibri" w:eastAsiaTheme="minorEastAsia" w:hAnsi="Calibri" w:cs="Times New Roman"/>
      <w:sz w:val="20"/>
    </w:rPr>
  </w:style>
  <w:style w:type="character" w:customStyle="1" w:styleId="bmdetailsoverlay">
    <w:name w:val="bm_details_overlay"/>
    <w:basedOn w:val="DefaultParagraphFont"/>
    <w:rsid w:val="0036063D"/>
  </w:style>
  <w:style w:type="character" w:styleId="Hyperlink">
    <w:name w:val="Hyperlink"/>
    <w:basedOn w:val="DefaultParagraphFont"/>
    <w:uiPriority w:val="99"/>
    <w:semiHidden/>
    <w:unhideWhenUsed/>
    <w:rsid w:val="0036063D"/>
    <w:rPr>
      <w:color w:val="0000FF"/>
      <w:u w:val="single"/>
    </w:rPr>
  </w:style>
  <w:style w:type="paragraph" w:customStyle="1" w:styleId="ministeryheadline">
    <w:name w:val="ministeryheadline"/>
    <w:basedOn w:val="Normal"/>
    <w:rsid w:val="00360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content/dam/photos/220x220/2017/mar/ge-mercy-tembon-220x220.jp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069B-E8BB-4ACE-9975-6850DD87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Leonid Mujiri</dc:creator>
  <cp:lastModifiedBy>Lela Ghongadze</cp:lastModifiedBy>
  <cp:revision>2</cp:revision>
  <cp:lastPrinted>2019-04-19T16:03:00Z</cp:lastPrinted>
  <dcterms:created xsi:type="dcterms:W3CDTF">2019-06-21T12:10:00Z</dcterms:created>
  <dcterms:modified xsi:type="dcterms:W3CDTF">2019-06-21T12:10:00Z</dcterms:modified>
</cp:coreProperties>
</file>