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A2" w:rsidRPr="001F68AC" w:rsidRDefault="00E062A2" w:rsidP="00A74BAC">
      <w:pPr>
        <w:jc w:val="center"/>
        <w:rPr>
          <w:rFonts w:ascii="Times New Roman" w:hAnsi="Times New Roman" w:cs="Times New Roman"/>
          <w:b/>
          <w:bCs/>
        </w:rPr>
      </w:pPr>
      <w:r w:rsidRPr="001F68AC">
        <w:rPr>
          <w:rFonts w:ascii="Times New Roman" w:hAnsi="Times New Roman" w:cs="Times New Roman"/>
          <w:b/>
          <w:bCs/>
        </w:rPr>
        <w:t>Health, environment and climate change</w:t>
      </w:r>
    </w:p>
    <w:p w:rsidR="00E062A2" w:rsidRPr="00A74BAC" w:rsidRDefault="00A74BAC" w:rsidP="00E062A2">
      <w:pPr>
        <w:rPr>
          <w:rFonts w:ascii="Times New Roman" w:hAnsi="Times New Roman" w:cs="Times New Roman"/>
          <w:b/>
          <w:bCs/>
          <w:color w:val="FF0000"/>
        </w:rPr>
      </w:pPr>
      <w:r w:rsidRPr="00A74BAC">
        <w:rPr>
          <w:rFonts w:ascii="Times New Roman" w:hAnsi="Times New Roman" w:cs="Times New Roman"/>
          <w:b/>
          <w:bCs/>
          <w:color w:val="FF0000"/>
        </w:rPr>
        <w:t xml:space="preserve">1. </w:t>
      </w:r>
      <w:r w:rsidR="00E062A2" w:rsidRPr="00A74BAC">
        <w:rPr>
          <w:rFonts w:ascii="Times New Roman" w:hAnsi="Times New Roman" w:cs="Times New Roman"/>
          <w:b/>
          <w:bCs/>
          <w:color w:val="FF0000"/>
        </w:rPr>
        <w:t xml:space="preserve">Global Situation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Climate change undermines the environmental determinants of health – clean air and water, sufficient food and adequate shelter – and can increase the risks of extreme weather events. Although all populations are at risk, some are more vulnerable than others. Additional stresses presented by climate change combine with the existing challenges of communicable and </w:t>
      </w:r>
      <w:r w:rsidR="00CB456A" w:rsidRPr="001F68AC">
        <w:rPr>
          <w:rFonts w:ascii="Times New Roman" w:hAnsi="Times New Roman" w:cs="Times New Roman"/>
        </w:rPr>
        <w:t>non-communicable</w:t>
      </w:r>
      <w:r w:rsidRPr="001F68AC">
        <w:rPr>
          <w:rFonts w:ascii="Times New Roman" w:hAnsi="Times New Roman" w:cs="Times New Roman"/>
        </w:rPr>
        <w:t xml:space="preserve"> diseases, resulting in a triple burden of disease that causes high morbidity and mortality.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Known avoidable environmental risks cause about one quarter of all deaths and disease burden worldwide, amounting to at least a steady 13 million deaths each year. A healthy environment is vital for human health and development. Air pollution – one of the largest risks to health – alone causes seven million preventable deaths per year, with more than 90% of people breathing polluted air and almost 3000 million people still depending on polluting fuels such as solid fuels or kerosene for lighting, cooking and heating. More than half the world’s population is still exposed to unsafely managed water, inadequate sanitation and poor hygiene, resulting in more than 800 000 preventable deaths each year. A large fraction of malaria cases and other vector-borne diseases is closely linked to the management and manipulation of the environment, such as drainage, irrigation schemes, or design of dams. More than one million workers die each year because their workplace is unsafe, and more than one million people die from exposure to chemicals.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Despite substantive efforts to reduce environmental risks to health, traditional risks persist, which challenge health equity. Important advances have been made to protect people from known environmental risks by setting norms and guidelines, implementing solutions, including regulatory action, and monitoring efforts. They provide the basis for environmental health protection and need to be scaled up.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New environmental, climatic and health issues are emerging and require rapid identification and response. Recent examples include the management of electronic waste, nanoparticles, </w:t>
      </w:r>
      <w:proofErr w:type="spellStart"/>
      <w:r w:rsidRPr="001F68AC">
        <w:rPr>
          <w:rFonts w:ascii="Times New Roman" w:hAnsi="Times New Roman" w:cs="Times New Roman"/>
        </w:rPr>
        <w:t>microplastics</w:t>
      </w:r>
      <w:proofErr w:type="spellEnd"/>
      <w:r w:rsidRPr="001F68AC">
        <w:rPr>
          <w:rFonts w:ascii="Times New Roman" w:hAnsi="Times New Roman" w:cs="Times New Roman"/>
        </w:rPr>
        <w:t xml:space="preserve"> and endocrine-disrupting chemicals. The world is changing rapidly, with an increased pace of technological development, new organization of work, increased migration, climate change and increasing water scarcity; it needs to be able to identify and respond to such changes and emerging issues in a timely manner.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Stakeholders, health authorities and communities should be more active in shaping the energy transition, guiding urbanization and ameliorating other major development trends, so as to protect and promote health. Large-scale changes that societies are continuing to experience include: increasing demand for energy and transport; technological innovation, expanding the range of options to meet such demands; urbanization, with more than half the world’s population now living in cities (the proportion will increase to more than 70% by 2050); and increased mobility of people, goods and services.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Because of the close relation between air pollution and climate change, failure to tackle air pollution and to mitigate climate change together result in a lost opportunity to gain the health, economic and environmental co-benefits that would derive from more efficient transport and energy systems, a decarbonized economy, and healthier food systems with less impact on the environment. New approaches are needed that consider the consequences of actions in their entirety, taking a longer-term and equity perspective.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The sustainability of health systems is put at risk if the root1 causes of disease are not seriously tackled. About 10% of global gross domestic product is being spent on health care, but very little goes to prevention.</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The 2030 Agenda for Sustainable Development calls for a new approach to health, environment and equity. By interlinking socioeconomic development with environmental protection, health and well-being, it provides overall support for tackling health determinants as relevant policies are being defined or key </w:t>
      </w:r>
      <w:r w:rsidRPr="001F68AC">
        <w:rPr>
          <w:rFonts w:ascii="Times New Roman" w:hAnsi="Times New Roman" w:cs="Times New Roman"/>
        </w:rPr>
        <w:lastRenderedPageBreak/>
        <w:t xml:space="preserve">choices are being made, in a preventive and sustainable way, rather than repeatedly dealing with adverse impacts and inequalities. </w:t>
      </w:r>
    </w:p>
    <w:p w:rsidR="00A74BAC" w:rsidRPr="001F68AC" w:rsidRDefault="00E062A2" w:rsidP="00E062A2">
      <w:pPr>
        <w:jc w:val="both"/>
        <w:rPr>
          <w:rFonts w:ascii="Times New Roman" w:hAnsi="Times New Roman" w:cs="Times New Roman"/>
          <w:b/>
        </w:rPr>
      </w:pPr>
      <w:r w:rsidRPr="001F68AC">
        <w:rPr>
          <w:rFonts w:ascii="Times New Roman" w:hAnsi="Times New Roman" w:cs="Times New Roman"/>
          <w:b/>
        </w:rPr>
        <w:t xml:space="preserve">Global Vision: a world in which sustainable development has eliminated the almost one quarter of disease burden caused by unhealthy environments, through health protection and promotion, preventive action in relevant sectors and healthy life choices, and which manages environmental risks to health. Key sectors fully integrate health into their decision-making process and maximize societal welfare. </w:t>
      </w:r>
    </w:p>
    <w:p w:rsidR="00E062A2" w:rsidRPr="00A74BAC" w:rsidRDefault="00A74BAC" w:rsidP="00E062A2">
      <w:pPr>
        <w:jc w:val="both"/>
        <w:rPr>
          <w:rFonts w:ascii="Times New Roman" w:hAnsi="Times New Roman" w:cs="Times New Roman"/>
          <w:b/>
          <w:color w:val="FF0000"/>
        </w:rPr>
      </w:pPr>
      <w:r w:rsidRPr="00A74BAC">
        <w:rPr>
          <w:rFonts w:ascii="Times New Roman" w:hAnsi="Times New Roman" w:cs="Times New Roman"/>
          <w:color w:val="FF0000"/>
        </w:rPr>
        <w:t xml:space="preserve">2. </w:t>
      </w:r>
      <w:r w:rsidR="00E062A2" w:rsidRPr="00A74BAC">
        <w:rPr>
          <w:rFonts w:ascii="Times New Roman" w:hAnsi="Times New Roman" w:cs="Times New Roman"/>
          <w:b/>
          <w:color w:val="FF0000"/>
        </w:rPr>
        <w:t>Situation in European Region</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WHO/Europe works to identify policy options to help prevent, prepare for and respond to the health effects of climate change, and supports its Member States in selecting and implementing the most suitable policies, measures and strategies.</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Thirty-three out of forty-four WHO Member States in the European Region highlighted the importance of health impacts in their national communications to the UNFCCC. National and regional climate change and health impact vulnerability and adaptation assessments in the European Region have been instrumental in providing information about the range of risks to health, their differential distribution between groups and locations, and their likely time-course under several plausible trajectories of climate change, priorities for adaptation and financing. The challenge is to continue to undertake structured assessments of the health risks, in particular in those countries in the east of the Region that could receive sustained health adaptation funding and see important structural, technological and economic developments.</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Protecting health in an environment challenged by climate change: European Regional Framework for Action - aims to protect health, promote health equity and security, and provide healthy environments in a changing climate in the WHO European Region.</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This Regional Framework is based on five strategic objectives, namely: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 To ensure that all current and future mitigation and adaptation climate change measures, policies and strategies integrate health issues at all levels;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 To strengthen health, social and environmental systems and services to improve their capacity to prevent, prepare for, and cope with climate change;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 To raise awareness to encourage healthy mitigation and adaptation policies in all sectors;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rPr>
        <w:t xml:space="preserve">• To increase the health and environment sectors’ contribution to reducing greenhouse gas emissions; </w:t>
      </w:r>
    </w:p>
    <w:p w:rsidR="00A74BAC" w:rsidRPr="00C92F21" w:rsidRDefault="00E062A2" w:rsidP="00C92F21">
      <w:pPr>
        <w:jc w:val="both"/>
        <w:rPr>
          <w:rFonts w:ascii="Times New Roman" w:hAnsi="Times New Roman" w:cs="Times New Roman"/>
        </w:rPr>
      </w:pPr>
      <w:r w:rsidRPr="001F68AC">
        <w:rPr>
          <w:rFonts w:ascii="Times New Roman" w:hAnsi="Times New Roman" w:cs="Times New Roman"/>
        </w:rPr>
        <w:t>• To share best practices, research, data, information, technology and tools at all levels on climate change, environment and health.</w:t>
      </w:r>
      <w:bookmarkStart w:id="0" w:name="_GoBack"/>
      <w:bookmarkEnd w:id="0"/>
    </w:p>
    <w:p w:rsidR="00E062A2" w:rsidRPr="00A74BAC" w:rsidRDefault="00A74BAC" w:rsidP="00A74BAC">
      <w:pPr>
        <w:tabs>
          <w:tab w:val="left" w:pos="2295"/>
        </w:tabs>
        <w:jc w:val="both"/>
        <w:rPr>
          <w:rFonts w:ascii="Times New Roman" w:hAnsi="Times New Roman" w:cs="Times New Roman"/>
          <w:b/>
          <w:color w:val="FF0000"/>
        </w:rPr>
      </w:pPr>
      <w:r w:rsidRPr="00A74BAC">
        <w:rPr>
          <w:rFonts w:ascii="Times New Roman" w:hAnsi="Times New Roman" w:cs="Times New Roman"/>
          <w:b/>
          <w:color w:val="FF0000"/>
        </w:rPr>
        <w:t xml:space="preserve">3. </w:t>
      </w:r>
      <w:r w:rsidR="00E062A2" w:rsidRPr="00A74BAC">
        <w:rPr>
          <w:rFonts w:ascii="Times New Roman" w:hAnsi="Times New Roman" w:cs="Times New Roman"/>
          <w:b/>
          <w:color w:val="FF0000"/>
        </w:rPr>
        <w:t>Situation in Georgia and further steps</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 xml:space="preserve">In Georgia, the signs of climate change have been observed since the 60s of the 20th century. The picture varies for different regions of the country. Georgia’s Second National Communication (SNC) to The United Nations Framework Convention on Climate Change (UNFCCC) describes trends of change </w:t>
      </w:r>
      <w:r w:rsidR="00CB456A" w:rsidRPr="001F68AC">
        <w:rPr>
          <w:rFonts w:ascii="Times New Roman" w:hAnsi="Times New Roman" w:cs="Times New Roman"/>
          <w:bCs/>
        </w:rPr>
        <w:t>in the</w:t>
      </w:r>
      <w:r w:rsidRPr="001F68AC">
        <w:rPr>
          <w:rFonts w:ascii="Times New Roman" w:hAnsi="Times New Roman" w:cs="Times New Roman"/>
          <w:bCs/>
        </w:rPr>
        <w:t xml:space="preserve"> climatic parameters for two periods - 1955-1970 and 1990-2005.</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In Western Georgia, between first and second periods the mean temperature increased by 0,20C and the annual precipitation decreased by 27 mm; in Eastern Georgia, the mean annual temperature increased by 0,30C and annual precipitation increased by 41 mm.</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lastRenderedPageBreak/>
        <w:t>In Tbilisi, in addition to general trend of climate change characteristic for Eastern Georgia, particularly severe impacts of climate change are observed, caused by urbanization, "island effect" resulting from thermal waves (under high temperature conditions, heat is absorbed by asphalt and buildings, causes the city to "glow" and maintain the heat even after the sunset).</w:t>
      </w:r>
    </w:p>
    <w:p w:rsidR="00E062A2" w:rsidRPr="001F68AC" w:rsidRDefault="00CB456A" w:rsidP="00E062A2">
      <w:pPr>
        <w:jc w:val="both"/>
        <w:rPr>
          <w:rFonts w:ascii="Times New Roman" w:hAnsi="Times New Roman" w:cs="Times New Roman"/>
          <w:bCs/>
        </w:rPr>
      </w:pPr>
      <w:r w:rsidRPr="001F68AC">
        <w:rPr>
          <w:rFonts w:ascii="Times New Roman" w:hAnsi="Times New Roman" w:cs="Times New Roman"/>
          <w:bCs/>
        </w:rPr>
        <w:t xml:space="preserve"> </w:t>
      </w:r>
      <w:r w:rsidR="00E062A2" w:rsidRPr="001F68AC">
        <w:rPr>
          <w:rFonts w:ascii="Times New Roman" w:hAnsi="Times New Roman" w:cs="Times New Roman"/>
          <w:bCs/>
        </w:rPr>
        <w:t>It is noteworthy that climate change is not yet reflected in the dynamic of water-born and transmitted infections. Over the recent years, decrease in cases of Malaria, leishmaniasis, Crimean-Congo Hemorrhagic Fever and other insect-</w:t>
      </w:r>
      <w:r w:rsidRPr="001F68AC">
        <w:rPr>
          <w:rFonts w:ascii="Times New Roman" w:hAnsi="Times New Roman" w:cs="Times New Roman"/>
          <w:bCs/>
        </w:rPr>
        <w:t>borne</w:t>
      </w:r>
      <w:r w:rsidR="00E062A2" w:rsidRPr="001F68AC">
        <w:rPr>
          <w:rFonts w:ascii="Times New Roman" w:hAnsi="Times New Roman" w:cs="Times New Roman"/>
          <w:bCs/>
        </w:rPr>
        <w:t xml:space="preserve"> diseases has been observed.</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In 2012-2013, ICRC Georgia carried out the pilot study on thermal waves, which led to the development of the National Thermal Wave Action Plan.</w:t>
      </w:r>
    </w:p>
    <w:p w:rsidR="00E062A2" w:rsidRPr="001F68AC" w:rsidRDefault="00E062A2" w:rsidP="00E062A2">
      <w:pPr>
        <w:jc w:val="both"/>
        <w:rPr>
          <w:rFonts w:ascii="Times New Roman" w:hAnsi="Times New Roman" w:cs="Times New Roman"/>
          <w:bCs/>
        </w:rPr>
      </w:pPr>
      <w:r w:rsidRPr="001F68AC">
        <w:rPr>
          <w:rFonts w:ascii="Times New Roman" w:hAnsi="Times New Roman" w:cs="Times New Roman"/>
          <w:bCs/>
        </w:rPr>
        <w:t>It is important for Georgia, in accordance with the decision of the WHO 68 Assembly to elaborate the Action Plan, taking into consideration the following priority directions: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Promote health systems to strengthen and enhance their capabilities of assessment and monitoring of health vulnerabilities.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Determine climate change attributable risks and health impacts in order to protect human health and first of all, the most vulnerable groups of the population.</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Develop and implement relevant strategies and actions.</w:t>
      </w:r>
    </w:p>
    <w:p w:rsidR="00E062A2" w:rsidRPr="001F68AC" w:rsidRDefault="00E062A2" w:rsidP="00E062A2">
      <w:pPr>
        <w:numPr>
          <w:ilvl w:val="0"/>
          <w:numId w:val="3"/>
        </w:numPr>
        <w:jc w:val="both"/>
        <w:rPr>
          <w:rFonts w:ascii="Times New Roman" w:hAnsi="Times New Roman" w:cs="Times New Roman"/>
          <w:bCs/>
        </w:rPr>
      </w:pPr>
      <w:r w:rsidRPr="001F68AC">
        <w:rPr>
          <w:rFonts w:ascii="Times New Roman" w:hAnsi="Times New Roman" w:cs="Times New Roman"/>
          <w:bCs/>
        </w:rPr>
        <w:t>Spread and share knowledge and good practices</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lang w:val="en-GB"/>
        </w:rPr>
        <w:t>As a Party to the UNFCCC and Paris Agreement, Georgia is committed to reduce adverse effects of climate change on the environment and human health and is taking concrete action in this direction</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1. Under the INDC Georgia is committed to:</w:t>
      </w:r>
    </w:p>
    <w:p w:rsidR="00E062A2" w:rsidRPr="001F68AC" w:rsidRDefault="00E062A2" w:rsidP="00E062A2">
      <w:pPr>
        <w:numPr>
          <w:ilvl w:val="0"/>
          <w:numId w:val="1"/>
        </w:numPr>
        <w:jc w:val="both"/>
        <w:rPr>
          <w:rFonts w:ascii="Times New Roman" w:hAnsi="Times New Roman" w:cs="Times New Roman"/>
        </w:rPr>
      </w:pPr>
      <w:r w:rsidRPr="001F68AC">
        <w:rPr>
          <w:rFonts w:ascii="Times New Roman" w:hAnsi="Times New Roman" w:cs="Times New Roman"/>
          <w:bCs/>
        </w:rPr>
        <w:t>15 % GHG emissions reduction comparing to the BAU scenario by 2030;</w:t>
      </w:r>
    </w:p>
    <w:p w:rsidR="00E062A2" w:rsidRPr="001F68AC" w:rsidRDefault="00E062A2" w:rsidP="00E062A2">
      <w:pPr>
        <w:numPr>
          <w:ilvl w:val="0"/>
          <w:numId w:val="1"/>
        </w:numPr>
        <w:jc w:val="both"/>
        <w:rPr>
          <w:rFonts w:ascii="Times New Roman" w:hAnsi="Times New Roman" w:cs="Times New Roman"/>
        </w:rPr>
      </w:pPr>
      <w:r w:rsidRPr="001F68AC">
        <w:rPr>
          <w:rFonts w:ascii="Times New Roman" w:hAnsi="Times New Roman" w:cs="Times New Roman"/>
          <w:bCs/>
        </w:rPr>
        <w:t>10 % additionally in case of international support.</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2.  Currently Georgia works on:</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Elaboration of Nationally Determined Contribution (NDC);</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 xml:space="preserve">Elaboration of Climate Action Plan 2021-2030 (CAP); </w:t>
      </w:r>
    </w:p>
    <w:p w:rsidR="00E062A2" w:rsidRPr="001F68AC" w:rsidRDefault="00E062A2" w:rsidP="00E062A2">
      <w:pPr>
        <w:numPr>
          <w:ilvl w:val="0"/>
          <w:numId w:val="2"/>
        </w:numPr>
        <w:jc w:val="both"/>
        <w:rPr>
          <w:rFonts w:ascii="Times New Roman" w:hAnsi="Times New Roman" w:cs="Times New Roman"/>
        </w:rPr>
      </w:pPr>
      <w:r w:rsidRPr="001F68AC">
        <w:rPr>
          <w:rFonts w:ascii="Times New Roman" w:hAnsi="Times New Roman" w:cs="Times New Roman"/>
          <w:bCs/>
        </w:rPr>
        <w:t xml:space="preserve">Preparation of Second Biennial Update Report (BUR) addressing the national GHG inventory and mitigation policies and measures. </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3. Elaboration of Law Emission Development Strategy (LEDS) until 2050 will start in 2019;</w:t>
      </w:r>
    </w:p>
    <w:p w:rsidR="00E062A2" w:rsidRPr="001F68AC" w:rsidRDefault="00E062A2" w:rsidP="00E062A2">
      <w:pPr>
        <w:jc w:val="both"/>
        <w:rPr>
          <w:rFonts w:ascii="Times New Roman" w:hAnsi="Times New Roman" w:cs="Times New Roman"/>
        </w:rPr>
      </w:pPr>
      <w:r w:rsidRPr="001F68AC">
        <w:rPr>
          <w:rFonts w:ascii="Times New Roman" w:hAnsi="Times New Roman" w:cs="Times New Roman"/>
          <w:bCs/>
        </w:rPr>
        <w:t>4. Elaboration of National Adaptation Plan 2021-2030 (NAP) will start in 2020</w:t>
      </w:r>
      <w:r w:rsidRPr="001F68AC">
        <w:rPr>
          <w:rFonts w:ascii="Times New Roman" w:hAnsi="Times New Roman" w:cs="Times New Roman"/>
        </w:rPr>
        <w:t>;</w:t>
      </w:r>
    </w:p>
    <w:p w:rsidR="00E062A2" w:rsidRPr="001F68AC" w:rsidRDefault="00E062A2" w:rsidP="00E062A2">
      <w:pPr>
        <w:jc w:val="both"/>
        <w:rPr>
          <w:rFonts w:ascii="Times New Roman" w:hAnsi="Times New Roman" w:cs="Times New Roman"/>
          <w:lang w:val="en-GB"/>
        </w:rPr>
      </w:pPr>
      <w:r w:rsidRPr="001F68AC">
        <w:rPr>
          <w:rFonts w:ascii="Times New Roman" w:hAnsi="Times New Roman" w:cs="Times New Roman"/>
        </w:rPr>
        <w:t xml:space="preserve">5. </w:t>
      </w:r>
      <w:r w:rsidRPr="001F68AC">
        <w:rPr>
          <w:rFonts w:ascii="Times New Roman" w:hAnsi="Times New Roman" w:cs="Times New Roman"/>
          <w:lang w:val="en-GB"/>
        </w:rPr>
        <w:t xml:space="preserve">Assessment of the </w:t>
      </w:r>
      <w:r w:rsidRPr="001F68AC">
        <w:rPr>
          <w:rFonts w:ascii="Times New Roman" w:hAnsi="Times New Roman" w:cs="Times New Roman"/>
        </w:rPr>
        <w:t>health impacts of climate and environmental change</w:t>
      </w:r>
      <w:r w:rsidRPr="001F68AC">
        <w:rPr>
          <w:rFonts w:ascii="Times New Roman" w:hAnsi="Times New Roman" w:cs="Times New Roman"/>
          <w:lang w:val="en-GB"/>
        </w:rPr>
        <w:t xml:space="preserve"> and management of the health related risks are the objectives of the National Environmental Health Action Plan (NEHAP-2) of Georgia adopted by the </w:t>
      </w:r>
      <w:proofErr w:type="spellStart"/>
      <w:r w:rsidRPr="001F68AC">
        <w:rPr>
          <w:rFonts w:ascii="Times New Roman" w:hAnsi="Times New Roman" w:cs="Times New Roman"/>
          <w:lang w:val="en-GB"/>
        </w:rPr>
        <w:t>GoG</w:t>
      </w:r>
      <w:proofErr w:type="spellEnd"/>
      <w:r w:rsidRPr="001F68AC">
        <w:rPr>
          <w:rFonts w:ascii="Times New Roman" w:hAnsi="Times New Roman" w:cs="Times New Roman"/>
          <w:lang w:val="en-GB"/>
        </w:rPr>
        <w:t xml:space="preserve"> at the end of the 2018 and defining following strategic interventions:</w:t>
      </w:r>
    </w:p>
    <w:p w:rsidR="00CB456A" w:rsidRPr="001F68AC" w:rsidRDefault="00CB456A" w:rsidP="00CB456A">
      <w:pPr>
        <w:jc w:val="both"/>
        <w:rPr>
          <w:rFonts w:ascii="Times New Roman" w:hAnsi="Times New Roman" w:cs="Times New Roman"/>
          <w:lang w:val="ka-GE"/>
        </w:rPr>
      </w:pPr>
      <w:bookmarkStart w:id="1" w:name="_Hlk483074139"/>
      <w:r w:rsidRPr="001F68AC">
        <w:rPr>
          <w:rFonts w:ascii="Times New Roman" w:hAnsi="Times New Roman" w:cs="Times New Roman"/>
          <w:b/>
        </w:rPr>
        <w:t>MTO</w:t>
      </w:r>
      <w:r w:rsidRPr="001F68AC">
        <w:rPr>
          <w:rFonts w:ascii="Times New Roman" w:hAnsi="Times New Roman" w:cs="Times New Roman"/>
          <w:b/>
          <w:lang w:val="ka-GE"/>
        </w:rPr>
        <w:t xml:space="preserve"> 5.1 - </w:t>
      </w:r>
      <w:r w:rsidRPr="001F68AC">
        <w:rPr>
          <w:rFonts w:ascii="Times New Roman" w:hAnsi="Times New Roman" w:cs="Times New Roman"/>
          <w:lang w:val="ka-GE"/>
        </w:rPr>
        <w:t>Evaluate vulnerability to climate change, health impacts and adaptation (health care aspects)</w:t>
      </w:r>
      <w:r w:rsidRPr="001F68AC">
        <w:rPr>
          <w:rFonts w:ascii="Times New Roman" w:hAnsi="Times New Roman" w:cs="Times New Roman"/>
          <w:b/>
          <w:lang w:val="ka-GE"/>
        </w:rPr>
        <w:t xml:space="preserve"> </w:t>
      </w:r>
      <w:r w:rsidRPr="001F68AC">
        <w:rPr>
          <w:rFonts w:ascii="Times New Roman" w:hAnsi="Times New Roman" w:cs="Times New Roman"/>
          <w:lang w:val="ka-GE"/>
        </w:rPr>
        <w:t>including assessment of existing and anticipated risks related to health impacts of climate change by 2022.</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lastRenderedPageBreak/>
        <w:t>MTO</w:t>
      </w:r>
      <w:r w:rsidRPr="001F68AC">
        <w:rPr>
          <w:rFonts w:ascii="Times New Roman" w:hAnsi="Times New Roman" w:cs="Times New Roman"/>
          <w:b/>
          <w:lang w:val="ka-GE"/>
        </w:rPr>
        <w:t xml:space="preserve"> 5.2</w:t>
      </w:r>
      <w:r w:rsidRPr="001F68AC">
        <w:rPr>
          <w:rFonts w:ascii="Times New Roman" w:hAnsi="Times New Roman" w:cs="Times New Roman"/>
          <w:lang w:val="ka-GE"/>
        </w:rPr>
        <w:t xml:space="preserve"> - Develop National Health Care Adaptation Strategy and Action Plan, among them, for medical</w:t>
      </w:r>
      <w:r w:rsidRPr="001F68AC">
        <w:rPr>
          <w:rFonts w:ascii="Times New Roman" w:hAnsi="Times New Roman" w:cs="Times New Roman"/>
          <w:b/>
          <w:lang w:val="ka-GE"/>
        </w:rPr>
        <w:t xml:space="preserve"> </w:t>
      </w:r>
      <w:r w:rsidRPr="001F68AC">
        <w:rPr>
          <w:rFonts w:ascii="Times New Roman" w:hAnsi="Times New Roman" w:cs="Times New Roman"/>
          <w:lang w:val="ka-GE"/>
        </w:rPr>
        <w:t>facilities by 2021;</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5.3 - </w:t>
      </w:r>
      <w:r w:rsidRPr="001F68AC">
        <w:rPr>
          <w:rFonts w:ascii="Times New Roman" w:hAnsi="Times New Roman" w:cs="Times New Roman"/>
          <w:lang w:val="ka-GE"/>
        </w:rPr>
        <w:t>Harmonize the legislation with regard to the requirements of the UNFCCC Convention and</w:t>
      </w:r>
      <w:r w:rsidRPr="001F68AC">
        <w:rPr>
          <w:rFonts w:ascii="Times New Roman" w:hAnsi="Times New Roman" w:cs="Times New Roman"/>
          <w:b/>
          <w:lang w:val="ka-GE"/>
        </w:rPr>
        <w:t xml:space="preserve"> </w:t>
      </w:r>
      <w:r w:rsidRPr="001F68AC">
        <w:rPr>
          <w:rFonts w:ascii="Times New Roman" w:hAnsi="Times New Roman" w:cs="Times New Roman"/>
          <w:lang w:val="ka-GE"/>
        </w:rPr>
        <w:t>assessment of health outcomes by 2022;</w:t>
      </w:r>
    </w:p>
    <w:p w:rsidR="00CB456A" w:rsidRPr="001F68AC" w:rsidRDefault="00CB456A" w:rsidP="00CB456A">
      <w:pPr>
        <w:jc w:val="both"/>
        <w:rPr>
          <w:rFonts w:ascii="Times New Roman" w:hAnsi="Times New Roma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5.4 - </w:t>
      </w:r>
      <w:r w:rsidRPr="001F68AC">
        <w:rPr>
          <w:rFonts w:ascii="Times New Roman" w:hAnsi="Times New Roman" w:cs="Times New Roman"/>
          <w:lang w:val="ka-GE"/>
        </w:rPr>
        <w:t>Health care facilities reduce the share of greenhouse gas emissions</w:t>
      </w:r>
      <w:r w:rsidRPr="001F68AC">
        <w:rPr>
          <w:rFonts w:ascii="Times New Roman" w:hAnsi="Times New Roman" w:cs="Times New Roman"/>
          <w:b/>
          <w:lang w:val="ka-GE"/>
        </w:rPr>
        <w:t xml:space="preserve"> </w:t>
      </w:r>
      <w:r w:rsidRPr="001F68AC">
        <w:rPr>
          <w:rFonts w:ascii="Times New Roman" w:hAnsi="Times New Roman" w:cs="Times New Roman"/>
          <w:lang w:val="ka-GE"/>
        </w:rPr>
        <w:t>in national emissions, including introduction of renewable energy use in several hospitals within the framework of the pilot project by 2022;</w:t>
      </w:r>
    </w:p>
    <w:p w:rsidR="00A74BAC" w:rsidRPr="00C92F21" w:rsidRDefault="00CB456A" w:rsidP="00E062A2">
      <w:pPr>
        <w:jc w:val="both"/>
        <w:rPr>
          <w:rFonts w:ascii="Sylfaen" w:hAnsi="Sylfaen" w:cs="Times New Roman"/>
          <w:lang w:val="ka-GE"/>
        </w:rPr>
      </w:pPr>
      <w:r w:rsidRPr="001F68AC">
        <w:rPr>
          <w:rFonts w:ascii="Times New Roman" w:hAnsi="Times New Roman" w:cs="Times New Roman"/>
          <w:b/>
        </w:rPr>
        <w:t>MTO</w:t>
      </w:r>
      <w:r w:rsidRPr="001F68AC">
        <w:rPr>
          <w:rFonts w:ascii="Times New Roman" w:hAnsi="Times New Roman" w:cs="Times New Roman"/>
          <w:b/>
          <w:lang w:val="ka-GE"/>
        </w:rPr>
        <w:t xml:space="preserve"> 5.5 - </w:t>
      </w:r>
      <w:r w:rsidRPr="001F68AC">
        <w:rPr>
          <w:rFonts w:ascii="Times New Roman" w:hAnsi="Times New Roman" w:cs="Times New Roman"/>
          <w:lang w:val="ka-GE"/>
        </w:rPr>
        <w:t>Education / preparation of population and preparedness for emergencies caused by natural disasters such as earthquakes, floods and other extreme weather events as well as Technological disasters by 2020.</w:t>
      </w:r>
      <w:bookmarkEnd w:id="1"/>
    </w:p>
    <w:p w:rsidR="00D472D8" w:rsidRPr="00A74BAC" w:rsidRDefault="00A74BAC" w:rsidP="00E062A2">
      <w:pPr>
        <w:jc w:val="both"/>
        <w:rPr>
          <w:rFonts w:ascii="Times New Roman" w:hAnsi="Times New Roman" w:cs="Times New Roman"/>
          <w:b/>
          <w:color w:val="FF0000"/>
          <w:lang w:val="en-GB"/>
        </w:rPr>
      </w:pPr>
      <w:r w:rsidRPr="00A74BAC">
        <w:rPr>
          <w:rFonts w:ascii="Times New Roman" w:hAnsi="Times New Roman" w:cs="Times New Roman"/>
          <w:b/>
          <w:color w:val="FF0000"/>
          <w:lang w:val="en-GB"/>
        </w:rPr>
        <w:t xml:space="preserve">4. </w:t>
      </w:r>
      <w:r w:rsidR="00D472D8" w:rsidRPr="00A74BAC">
        <w:rPr>
          <w:rFonts w:ascii="Times New Roman" w:hAnsi="Times New Roman" w:cs="Times New Roman"/>
          <w:b/>
          <w:color w:val="FF0000"/>
          <w:lang w:val="en-GB"/>
        </w:rPr>
        <w:t>Further steps</w:t>
      </w:r>
    </w:p>
    <w:p w:rsidR="00D472D8" w:rsidRPr="001F68AC" w:rsidRDefault="00D472D8" w:rsidP="00D472D8">
      <w:pPr>
        <w:pStyle w:val="ListParagraph"/>
        <w:numPr>
          <w:ilvl w:val="0"/>
          <w:numId w:val="4"/>
        </w:numPr>
        <w:jc w:val="both"/>
        <w:rPr>
          <w:rFonts w:ascii="Times New Roman" w:hAnsi="Times New Roman" w:cs="Times New Roman"/>
        </w:rPr>
      </w:pPr>
      <w:r w:rsidRPr="001F68AC">
        <w:rPr>
          <w:rFonts w:ascii="Times New Roman" w:hAnsi="Times New Roman" w:cs="Times New Roman"/>
          <w:b/>
          <w:bCs/>
        </w:rPr>
        <w:t>Primary prevention: to scale up action on health determinants for health protection and improvement in the 2030 Agenda for Sustainable Development</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Engagement for massively expanded primary prevention.</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rPr>
        <w:t xml:space="preserve">Integration of action on primary prevention in disease </w:t>
      </w:r>
      <w:proofErr w:type="spellStart"/>
      <w:r w:rsidRPr="001F68AC">
        <w:rPr>
          <w:rFonts w:ascii="Times New Roman" w:hAnsi="Times New Roman" w:cs="Times New Roman"/>
          <w:b/>
        </w:rPr>
        <w:t>programmes</w:t>
      </w:r>
      <w:proofErr w:type="spellEnd"/>
      <w:r w:rsidRPr="001F68AC">
        <w:rPr>
          <w:rFonts w:ascii="Times New Roman" w:hAnsi="Times New Roman" w:cs="Times New Roman"/>
        </w:rPr>
        <w:t>.</w:t>
      </w:r>
    </w:p>
    <w:p w:rsidR="00D472D8" w:rsidRPr="001F68AC" w:rsidRDefault="00D472D8" w:rsidP="00D472D8">
      <w:pPr>
        <w:pStyle w:val="ListParagraph"/>
        <w:ind w:left="1440"/>
        <w:jc w:val="both"/>
        <w:rPr>
          <w:rFonts w:ascii="Times New Roman" w:hAnsi="Times New Roman" w:cs="Times New Roman"/>
        </w:rPr>
      </w:pPr>
    </w:p>
    <w:p w:rsidR="00D472D8" w:rsidRPr="001F68AC" w:rsidRDefault="00D472D8" w:rsidP="00D472D8">
      <w:pPr>
        <w:pStyle w:val="ListParagraph"/>
        <w:numPr>
          <w:ilvl w:val="0"/>
          <w:numId w:val="4"/>
        </w:numPr>
        <w:jc w:val="both"/>
        <w:rPr>
          <w:rFonts w:ascii="Times New Roman" w:hAnsi="Times New Roman" w:cs="Times New Roman"/>
        </w:rPr>
      </w:pPr>
      <w:r w:rsidRPr="001F68AC">
        <w:rPr>
          <w:rFonts w:ascii="Times New Roman" w:hAnsi="Times New Roman" w:cs="Times New Roman"/>
          <w:b/>
          <w:bCs/>
        </w:rPr>
        <w:t>Cross-sectoral action: to act on determinants of health in all policies and in all sectors</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Systematic consideration of health in the development of health-relevant policies beyond the health sector</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Gaining the health co-benefits of more sustainable policy choices.</w:t>
      </w:r>
    </w:p>
    <w:p w:rsidR="00D472D8" w:rsidRPr="001F68AC" w:rsidRDefault="00D472D8" w:rsidP="00D472D8">
      <w:pPr>
        <w:pStyle w:val="ListParagraph"/>
        <w:numPr>
          <w:ilvl w:val="0"/>
          <w:numId w:val="4"/>
        </w:numPr>
        <w:jc w:val="both"/>
        <w:rPr>
          <w:rFonts w:ascii="Times New Roman" w:hAnsi="Times New Roman" w:cs="Times New Roman"/>
        </w:rPr>
      </w:pPr>
      <w:r w:rsidRPr="001F68AC">
        <w:rPr>
          <w:rFonts w:ascii="Times New Roman" w:hAnsi="Times New Roman" w:cs="Times New Roman"/>
          <w:b/>
          <w:bCs/>
        </w:rPr>
        <w:t>Strengthened health sector: to strengthen health sector leadership, governance and coordination roles</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Developing the capacity of the health sector to engage in policies with other sectors.</w:t>
      </w:r>
    </w:p>
    <w:p w:rsidR="00D472D8" w:rsidRPr="001F68AC" w:rsidRDefault="00D472D8"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rPr>
        <w:t>Stepping up health sector efforts to reach out to other sectors for health protection.</w:t>
      </w:r>
    </w:p>
    <w:p w:rsidR="00D472D8" w:rsidRPr="001F68AC" w:rsidRDefault="00D472D8"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bCs/>
        </w:rPr>
        <w:t>Ensuring essential environmental services and healthy workplaces in health care facilities, and greening the health sector.</w:t>
      </w:r>
    </w:p>
    <w:p w:rsidR="00D472D8" w:rsidRPr="001F68AC" w:rsidRDefault="00D472D8" w:rsidP="00D472D8">
      <w:pPr>
        <w:pStyle w:val="ListParagraph"/>
        <w:numPr>
          <w:ilvl w:val="0"/>
          <w:numId w:val="4"/>
        </w:numPr>
        <w:jc w:val="both"/>
        <w:rPr>
          <w:rFonts w:ascii="Times New Roman" w:hAnsi="Times New Roman" w:cs="Times New Roman"/>
        </w:rPr>
      </w:pPr>
      <w:r w:rsidRPr="001F68AC">
        <w:rPr>
          <w:rFonts w:ascii="Times New Roman" w:hAnsi="Times New Roman" w:cs="Times New Roman"/>
          <w:b/>
          <w:bCs/>
        </w:rPr>
        <w:t>Building support: to build mechanisms for governance, and political and social support</w:t>
      </w:r>
    </w:p>
    <w:p w:rsidR="00D472D8" w:rsidRPr="001F68AC" w:rsidRDefault="00D472D8"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Strengthening of governance mechanisms to allow sustainable health-protective action.</w:t>
      </w:r>
    </w:p>
    <w:p w:rsidR="00D472D8" w:rsidRPr="001F68AC" w:rsidRDefault="00D472D8"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rPr>
        <w:t>Stepping up demand and leadership for health.</w:t>
      </w:r>
    </w:p>
    <w:p w:rsidR="00D472D8" w:rsidRPr="001F68AC" w:rsidRDefault="00D472D8" w:rsidP="005D57DF">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Building high-level political movements and agreements.</w:t>
      </w:r>
    </w:p>
    <w:p w:rsidR="00D472D8" w:rsidRPr="001F68AC" w:rsidRDefault="00D472D8" w:rsidP="00D472D8">
      <w:pPr>
        <w:pStyle w:val="ListParagraph"/>
        <w:numPr>
          <w:ilvl w:val="0"/>
          <w:numId w:val="4"/>
        </w:numPr>
        <w:jc w:val="both"/>
        <w:rPr>
          <w:rFonts w:ascii="Times New Roman" w:hAnsi="Times New Roman" w:cs="Times New Roman"/>
        </w:rPr>
      </w:pPr>
      <w:r w:rsidRPr="001F68AC">
        <w:rPr>
          <w:rFonts w:ascii="Times New Roman" w:hAnsi="Times New Roman" w:cs="Times New Roman"/>
          <w:b/>
          <w:bCs/>
        </w:rPr>
        <w:t>Enhanced evidence and communication: to generate the evidence base on risks and solutions, and to efficiently communicate that information to guide choices and investments</w:t>
      </w:r>
    </w:p>
    <w:p w:rsidR="00D472D8" w:rsidRPr="001F68AC" w:rsidRDefault="005D57DF"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Integration of environmental monitoring and health surveillance in order to evaluate the health impacts from environmental risks and services.</w:t>
      </w:r>
    </w:p>
    <w:p w:rsidR="005D57DF" w:rsidRPr="001F68AC" w:rsidRDefault="005D57DF" w:rsidP="00D472D8">
      <w:pPr>
        <w:pStyle w:val="ListParagraph"/>
        <w:numPr>
          <w:ilvl w:val="1"/>
          <w:numId w:val="4"/>
        </w:numPr>
        <w:jc w:val="both"/>
        <w:rPr>
          <w:rFonts w:ascii="Times New Roman" w:hAnsi="Times New Roman" w:cs="Times New Roman"/>
        </w:rPr>
      </w:pPr>
      <w:r w:rsidRPr="001F68AC">
        <w:rPr>
          <w:rFonts w:ascii="Times New Roman" w:hAnsi="Times New Roman" w:cs="Times New Roman"/>
          <w:b/>
          <w:bCs/>
        </w:rPr>
        <w:t>Development of evidence-based guidance to support effective action at the national and subnational levels.</w:t>
      </w:r>
    </w:p>
    <w:p w:rsidR="005D57DF" w:rsidRPr="001F68AC" w:rsidRDefault="005D57DF"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rPr>
        <w:t>Interpretation and targeted communication of evidence.</w:t>
      </w:r>
    </w:p>
    <w:p w:rsidR="005D57DF" w:rsidRPr="001F68AC" w:rsidRDefault="005D57DF"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bCs/>
        </w:rPr>
        <w:t>Mechanisms and capacity for early identification of and response to emerging threats to health.</w:t>
      </w:r>
    </w:p>
    <w:p w:rsidR="005D57DF" w:rsidRPr="001F68AC" w:rsidRDefault="005D57DF" w:rsidP="00D472D8">
      <w:pPr>
        <w:pStyle w:val="ListParagraph"/>
        <w:numPr>
          <w:ilvl w:val="1"/>
          <w:numId w:val="4"/>
        </w:numPr>
        <w:jc w:val="both"/>
        <w:rPr>
          <w:rFonts w:ascii="Times New Roman" w:hAnsi="Times New Roman" w:cs="Times New Roman"/>
          <w:b/>
        </w:rPr>
      </w:pPr>
      <w:r w:rsidRPr="001F68AC">
        <w:rPr>
          <w:rFonts w:ascii="Times New Roman" w:hAnsi="Times New Roman" w:cs="Times New Roman"/>
          <w:b/>
          <w:bCs/>
        </w:rPr>
        <w:t>Building the case for adequate funding allocation and influencing investments.</w:t>
      </w:r>
    </w:p>
    <w:p w:rsidR="005D57DF" w:rsidRPr="001F68AC" w:rsidRDefault="005D57DF" w:rsidP="005D57DF">
      <w:pPr>
        <w:pStyle w:val="ListParagraph"/>
        <w:numPr>
          <w:ilvl w:val="0"/>
          <w:numId w:val="4"/>
        </w:numPr>
        <w:jc w:val="both"/>
        <w:rPr>
          <w:rFonts w:ascii="Times New Roman" w:hAnsi="Times New Roman" w:cs="Times New Roman"/>
          <w:b/>
        </w:rPr>
      </w:pPr>
      <w:r w:rsidRPr="001F68AC">
        <w:rPr>
          <w:rFonts w:ascii="Times New Roman" w:hAnsi="Times New Roman" w:cs="Times New Roman"/>
          <w:b/>
          <w:bCs/>
        </w:rPr>
        <w:t>Monitoring: to guide actions by monitoring progress towards the Sustainable Development Goals</w:t>
      </w:r>
    </w:p>
    <w:sectPr w:rsidR="005D57DF" w:rsidRPr="001F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29A"/>
    <w:multiLevelType w:val="hybridMultilevel"/>
    <w:tmpl w:val="0C1E5B04"/>
    <w:lvl w:ilvl="0" w:tplc="0436E32C">
      <w:start w:val="1"/>
      <w:numFmt w:val="bullet"/>
      <w:lvlText w:val="•"/>
      <w:lvlJc w:val="left"/>
      <w:pPr>
        <w:tabs>
          <w:tab w:val="num" w:pos="720"/>
        </w:tabs>
        <w:ind w:left="720" w:hanging="360"/>
      </w:pPr>
      <w:rPr>
        <w:rFonts w:ascii="Arial" w:hAnsi="Arial" w:hint="default"/>
      </w:rPr>
    </w:lvl>
    <w:lvl w:ilvl="1" w:tplc="8D08DE06" w:tentative="1">
      <w:start w:val="1"/>
      <w:numFmt w:val="bullet"/>
      <w:lvlText w:val="•"/>
      <w:lvlJc w:val="left"/>
      <w:pPr>
        <w:tabs>
          <w:tab w:val="num" w:pos="1440"/>
        </w:tabs>
        <w:ind w:left="1440" w:hanging="360"/>
      </w:pPr>
      <w:rPr>
        <w:rFonts w:ascii="Arial" w:hAnsi="Arial" w:hint="default"/>
      </w:rPr>
    </w:lvl>
    <w:lvl w:ilvl="2" w:tplc="4B5EE600" w:tentative="1">
      <w:start w:val="1"/>
      <w:numFmt w:val="bullet"/>
      <w:lvlText w:val="•"/>
      <w:lvlJc w:val="left"/>
      <w:pPr>
        <w:tabs>
          <w:tab w:val="num" w:pos="2160"/>
        </w:tabs>
        <w:ind w:left="2160" w:hanging="360"/>
      </w:pPr>
      <w:rPr>
        <w:rFonts w:ascii="Arial" w:hAnsi="Arial" w:hint="default"/>
      </w:rPr>
    </w:lvl>
    <w:lvl w:ilvl="3" w:tplc="09A67912" w:tentative="1">
      <w:start w:val="1"/>
      <w:numFmt w:val="bullet"/>
      <w:lvlText w:val="•"/>
      <w:lvlJc w:val="left"/>
      <w:pPr>
        <w:tabs>
          <w:tab w:val="num" w:pos="2880"/>
        </w:tabs>
        <w:ind w:left="2880" w:hanging="360"/>
      </w:pPr>
      <w:rPr>
        <w:rFonts w:ascii="Arial" w:hAnsi="Arial" w:hint="default"/>
      </w:rPr>
    </w:lvl>
    <w:lvl w:ilvl="4" w:tplc="3E5CC56A" w:tentative="1">
      <w:start w:val="1"/>
      <w:numFmt w:val="bullet"/>
      <w:lvlText w:val="•"/>
      <w:lvlJc w:val="left"/>
      <w:pPr>
        <w:tabs>
          <w:tab w:val="num" w:pos="3600"/>
        </w:tabs>
        <w:ind w:left="3600" w:hanging="360"/>
      </w:pPr>
      <w:rPr>
        <w:rFonts w:ascii="Arial" w:hAnsi="Arial" w:hint="default"/>
      </w:rPr>
    </w:lvl>
    <w:lvl w:ilvl="5" w:tplc="F4AC1278" w:tentative="1">
      <w:start w:val="1"/>
      <w:numFmt w:val="bullet"/>
      <w:lvlText w:val="•"/>
      <w:lvlJc w:val="left"/>
      <w:pPr>
        <w:tabs>
          <w:tab w:val="num" w:pos="4320"/>
        </w:tabs>
        <w:ind w:left="4320" w:hanging="360"/>
      </w:pPr>
      <w:rPr>
        <w:rFonts w:ascii="Arial" w:hAnsi="Arial" w:hint="default"/>
      </w:rPr>
    </w:lvl>
    <w:lvl w:ilvl="6" w:tplc="0D3E5BC2" w:tentative="1">
      <w:start w:val="1"/>
      <w:numFmt w:val="bullet"/>
      <w:lvlText w:val="•"/>
      <w:lvlJc w:val="left"/>
      <w:pPr>
        <w:tabs>
          <w:tab w:val="num" w:pos="5040"/>
        </w:tabs>
        <w:ind w:left="5040" w:hanging="360"/>
      </w:pPr>
      <w:rPr>
        <w:rFonts w:ascii="Arial" w:hAnsi="Arial" w:hint="default"/>
      </w:rPr>
    </w:lvl>
    <w:lvl w:ilvl="7" w:tplc="9D122F18" w:tentative="1">
      <w:start w:val="1"/>
      <w:numFmt w:val="bullet"/>
      <w:lvlText w:val="•"/>
      <w:lvlJc w:val="left"/>
      <w:pPr>
        <w:tabs>
          <w:tab w:val="num" w:pos="5760"/>
        </w:tabs>
        <w:ind w:left="5760" w:hanging="360"/>
      </w:pPr>
      <w:rPr>
        <w:rFonts w:ascii="Arial" w:hAnsi="Arial" w:hint="default"/>
      </w:rPr>
    </w:lvl>
    <w:lvl w:ilvl="8" w:tplc="F52678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4C63AC"/>
    <w:multiLevelType w:val="hybridMultilevel"/>
    <w:tmpl w:val="A9746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A2CAA"/>
    <w:multiLevelType w:val="hybridMultilevel"/>
    <w:tmpl w:val="46A8236C"/>
    <w:lvl w:ilvl="0" w:tplc="34BA0F30">
      <w:start w:val="1"/>
      <w:numFmt w:val="bullet"/>
      <w:lvlText w:val="•"/>
      <w:lvlJc w:val="left"/>
      <w:pPr>
        <w:tabs>
          <w:tab w:val="num" w:pos="720"/>
        </w:tabs>
        <w:ind w:left="720" w:hanging="360"/>
      </w:pPr>
      <w:rPr>
        <w:rFonts w:ascii="Arial" w:hAnsi="Arial" w:hint="default"/>
      </w:rPr>
    </w:lvl>
    <w:lvl w:ilvl="1" w:tplc="198EC6C8" w:tentative="1">
      <w:start w:val="1"/>
      <w:numFmt w:val="bullet"/>
      <w:lvlText w:val="•"/>
      <w:lvlJc w:val="left"/>
      <w:pPr>
        <w:tabs>
          <w:tab w:val="num" w:pos="1440"/>
        </w:tabs>
        <w:ind w:left="1440" w:hanging="360"/>
      </w:pPr>
      <w:rPr>
        <w:rFonts w:ascii="Arial" w:hAnsi="Arial" w:hint="default"/>
      </w:rPr>
    </w:lvl>
    <w:lvl w:ilvl="2" w:tplc="94A4BC08" w:tentative="1">
      <w:start w:val="1"/>
      <w:numFmt w:val="bullet"/>
      <w:lvlText w:val="•"/>
      <w:lvlJc w:val="left"/>
      <w:pPr>
        <w:tabs>
          <w:tab w:val="num" w:pos="2160"/>
        </w:tabs>
        <w:ind w:left="2160" w:hanging="360"/>
      </w:pPr>
      <w:rPr>
        <w:rFonts w:ascii="Arial" w:hAnsi="Arial" w:hint="default"/>
      </w:rPr>
    </w:lvl>
    <w:lvl w:ilvl="3" w:tplc="FBBCE336" w:tentative="1">
      <w:start w:val="1"/>
      <w:numFmt w:val="bullet"/>
      <w:lvlText w:val="•"/>
      <w:lvlJc w:val="left"/>
      <w:pPr>
        <w:tabs>
          <w:tab w:val="num" w:pos="2880"/>
        </w:tabs>
        <w:ind w:left="2880" w:hanging="360"/>
      </w:pPr>
      <w:rPr>
        <w:rFonts w:ascii="Arial" w:hAnsi="Arial" w:hint="default"/>
      </w:rPr>
    </w:lvl>
    <w:lvl w:ilvl="4" w:tplc="51A0E5C6" w:tentative="1">
      <w:start w:val="1"/>
      <w:numFmt w:val="bullet"/>
      <w:lvlText w:val="•"/>
      <w:lvlJc w:val="left"/>
      <w:pPr>
        <w:tabs>
          <w:tab w:val="num" w:pos="3600"/>
        </w:tabs>
        <w:ind w:left="3600" w:hanging="360"/>
      </w:pPr>
      <w:rPr>
        <w:rFonts w:ascii="Arial" w:hAnsi="Arial" w:hint="default"/>
      </w:rPr>
    </w:lvl>
    <w:lvl w:ilvl="5" w:tplc="5A585E58" w:tentative="1">
      <w:start w:val="1"/>
      <w:numFmt w:val="bullet"/>
      <w:lvlText w:val="•"/>
      <w:lvlJc w:val="left"/>
      <w:pPr>
        <w:tabs>
          <w:tab w:val="num" w:pos="4320"/>
        </w:tabs>
        <w:ind w:left="4320" w:hanging="360"/>
      </w:pPr>
      <w:rPr>
        <w:rFonts w:ascii="Arial" w:hAnsi="Arial" w:hint="default"/>
      </w:rPr>
    </w:lvl>
    <w:lvl w:ilvl="6" w:tplc="EDAC6928" w:tentative="1">
      <w:start w:val="1"/>
      <w:numFmt w:val="bullet"/>
      <w:lvlText w:val="•"/>
      <w:lvlJc w:val="left"/>
      <w:pPr>
        <w:tabs>
          <w:tab w:val="num" w:pos="5040"/>
        </w:tabs>
        <w:ind w:left="5040" w:hanging="360"/>
      </w:pPr>
      <w:rPr>
        <w:rFonts w:ascii="Arial" w:hAnsi="Arial" w:hint="default"/>
      </w:rPr>
    </w:lvl>
    <w:lvl w:ilvl="7" w:tplc="7FDEC67E" w:tentative="1">
      <w:start w:val="1"/>
      <w:numFmt w:val="bullet"/>
      <w:lvlText w:val="•"/>
      <w:lvlJc w:val="left"/>
      <w:pPr>
        <w:tabs>
          <w:tab w:val="num" w:pos="5760"/>
        </w:tabs>
        <w:ind w:left="5760" w:hanging="360"/>
      </w:pPr>
      <w:rPr>
        <w:rFonts w:ascii="Arial" w:hAnsi="Arial" w:hint="default"/>
      </w:rPr>
    </w:lvl>
    <w:lvl w:ilvl="8" w:tplc="4CDABC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8419B8"/>
    <w:multiLevelType w:val="hybridMultilevel"/>
    <w:tmpl w:val="DD6E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47"/>
    <w:rsid w:val="001F68AC"/>
    <w:rsid w:val="005D57DF"/>
    <w:rsid w:val="006D6747"/>
    <w:rsid w:val="009E0D7C"/>
    <w:rsid w:val="00A74BAC"/>
    <w:rsid w:val="00C92F21"/>
    <w:rsid w:val="00CB456A"/>
    <w:rsid w:val="00D472D8"/>
    <w:rsid w:val="00E0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9B69"/>
  <w15:chartTrackingRefBased/>
  <w15:docId w15:val="{6057A00E-570C-44AC-B9B0-2D0F1AA7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Giuashvili, Nia</cp:lastModifiedBy>
  <cp:revision>2</cp:revision>
  <dcterms:created xsi:type="dcterms:W3CDTF">2019-09-06T08:49:00Z</dcterms:created>
  <dcterms:modified xsi:type="dcterms:W3CDTF">2019-09-06T08:49:00Z</dcterms:modified>
</cp:coreProperties>
</file>