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8E1173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8E1173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8E117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8E1173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800" w:type="dxa"/>
        <w:tblInd w:w="-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9"/>
        <w:gridCol w:w="1985"/>
        <w:gridCol w:w="1344"/>
        <w:gridCol w:w="640"/>
        <w:gridCol w:w="2232"/>
      </w:tblGrid>
      <w:tr w:rsidR="0074698E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E117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E1173" w:rsidRDefault="008E117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4A1533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4A153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4A1533" w:rsidP="004A734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თბილისი, აკ. წერეთლის გამზ. 144</w:t>
            </w:r>
          </w:p>
        </w:tc>
      </w:tr>
      <w:tr w:rsidR="004A1533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4A153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8E117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</w:rPr>
              <w:t>01</w:t>
            </w:r>
            <w:r w:rsidRPr="008E1173">
              <w:rPr>
                <w:rFonts w:ascii="Sylfaen" w:hAnsi="Sylfaen"/>
                <w:b/>
                <w:lang w:val="ka-GE"/>
              </w:rPr>
              <w:t>19</w:t>
            </w:r>
          </w:p>
        </w:tc>
      </w:tr>
      <w:tr w:rsidR="004A1533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4A1533" w:rsidP="004A734C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4A1533" w:rsidRPr="008E1173" w:rsidRDefault="004A1533" w:rsidP="004A734C">
            <w:pPr>
              <w:spacing w:line="360" w:lineRule="auto"/>
              <w:rPr>
                <w:rFonts w:ascii="Sylfaen" w:hAnsi="Sylfaen"/>
                <w:b/>
              </w:rPr>
            </w:pPr>
          </w:p>
        </w:tc>
      </w:tr>
      <w:tr w:rsidR="004A1533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4A153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4A1533" w:rsidRPr="008E1173" w:rsidTr="00F66539">
        <w:trPr>
          <w:trHeight w:val="450"/>
        </w:trPr>
        <w:tc>
          <w:tcPr>
            <w:tcW w:w="10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A1533" w:rsidRPr="008E1173" w:rsidTr="00F66539">
        <w:trPr>
          <w:trHeight w:val="45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8E1173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A1533" w:rsidRPr="008E1173" w:rsidTr="00F66539">
        <w:trPr>
          <w:trHeight w:val="56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2379B8" w:rsidRDefault="00F66539" w:rsidP="008E117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მთავარი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1E24DC" w:rsidRPr="008E1173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8E117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მეორე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920D93" w:rsidRDefault="00920D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III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A1533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5F269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4A1533" w:rsidRPr="008E1173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4A1533" w:rsidRPr="008E1173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4A153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საქმისწარმოების სამმართველოს უფროსo</w:t>
            </w:r>
          </w:p>
        </w:tc>
      </w:tr>
      <w:tr w:rsidR="004A1533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8E1173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4A153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4A1533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1533" w:rsidRPr="008E1173" w:rsidRDefault="004A153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533" w:rsidRPr="008E1173" w:rsidRDefault="004A153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1E24DC" w:rsidRPr="008E1173" w:rsidTr="00F66539">
        <w:trPr>
          <w:trHeight w:val="79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4DC" w:rsidRPr="008E1173" w:rsidRDefault="001E24D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4DC" w:rsidRPr="008E1173" w:rsidRDefault="001E24DC" w:rsidP="00A751DB">
            <w:pPr>
              <w:jc w:val="center"/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</w:pP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8E117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სპეციალისტი </w:t>
            </w:r>
            <w:r w:rsidR="008E117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, მთავარი სპეციალისტი</w:t>
            </w:r>
          </w:p>
        </w:tc>
      </w:tr>
      <w:tr w:rsidR="001E24DC" w:rsidRPr="008E1173" w:rsidTr="00F66539"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8E117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5F269D">
              <w:rPr>
                <w:rFonts w:ascii="MS Gothic" w:eastAsia="MS Gothic" w:hAnsi="Wingdings" w:hint="eastAsia"/>
                <w:b/>
              </w:rPr>
            </w:r>
            <w:r w:rsidR="005F269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8E1173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8E1173">
              <w:rPr>
                <w:rFonts w:ascii="MS Gothic" w:eastAsia="MS Gothic" w:hAnsi="Wingdings"/>
                <w:b/>
              </w:rPr>
              <w:t xml:space="preserve">  </w:t>
            </w:r>
            <w:r w:rsidRPr="008E1173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1E24DC" w:rsidRPr="008E1173" w:rsidRDefault="001E24DC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  <w:p w:rsidR="001E24DC" w:rsidRPr="008E1173" w:rsidRDefault="001E24DC" w:rsidP="004A1533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სამუშაო საათები 09:00 – 18:00</w:t>
            </w:r>
          </w:p>
          <w:p w:rsidR="001E24DC" w:rsidRPr="008E1173" w:rsidRDefault="001E24DC" w:rsidP="004A1533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შესვენება 13:00 დან 14:00 მდე</w:t>
            </w:r>
          </w:p>
          <w:p w:rsidR="001E24DC" w:rsidRPr="008E1173" w:rsidRDefault="001E24DC" w:rsidP="004A1533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ორშაბათიდან-პარასკევის ჩათვლით</w:t>
            </w:r>
          </w:p>
          <w:p w:rsidR="001E24DC" w:rsidRPr="008E1173" w:rsidRDefault="001E24DC" w:rsidP="004A1533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lastRenderedPageBreak/>
              <w:t xml:space="preserve"> საჭიროების შემთხვევებში  ზეგანაკვეთური    სამუშაო გრაფიკი</w:t>
            </w:r>
            <w:r w:rsidRPr="008E1173">
              <w:rPr>
                <w:rFonts w:ascii="Sylfaen" w:eastAsia="MS Gothic" w:hAnsi="Sylfaen"/>
                <w:b/>
              </w:rPr>
              <w:t xml:space="preserve"> </w:t>
            </w:r>
            <w:r w:rsidRPr="008E1173">
              <w:rPr>
                <w:rFonts w:ascii="Sylfaen" w:hAnsi="Sylfaen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 xml:space="preserve"> </w:t>
            </w:r>
            <w:r w:rsidRPr="008E1173">
              <w:rPr>
                <w:rFonts w:ascii="Sylfaen" w:hAnsi="Sylfaen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 xml:space="preserve">   </w:t>
            </w:r>
          </w:p>
          <w:p w:rsidR="001E24DC" w:rsidRPr="008E1173" w:rsidRDefault="001E24DC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</w:p>
        </w:tc>
      </w:tr>
      <w:tr w:rsidR="001E24DC" w:rsidRPr="008E1173" w:rsidTr="00F66539">
        <w:trPr>
          <w:trHeight w:val="3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620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/>
                <w:b/>
                <w:sz w:val="22"/>
                <w:szCs w:val="22"/>
              </w:rPr>
              <w:t>1</w:t>
            </w:r>
            <w:r w:rsidRPr="008E1173">
              <w:rPr>
                <w:rFonts w:ascii="Sylfaen" w:hAnsi="Sylfaen"/>
                <w:b/>
                <w:sz w:val="22"/>
                <w:szCs w:val="22"/>
                <w:lang w:val="ka-GE"/>
              </w:rPr>
              <w:t>3</w:t>
            </w:r>
            <w:r w:rsidRPr="008E1173">
              <w:rPr>
                <w:rFonts w:ascii="Sylfaen" w:hAnsi="Sylfaen"/>
                <w:b/>
                <w:sz w:val="22"/>
                <w:szCs w:val="22"/>
              </w:rPr>
              <w:t>00</w:t>
            </w:r>
            <w:r w:rsidRPr="008E11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1E24DC" w:rsidRPr="008E1173" w:rsidTr="00F66539">
        <w:trPr>
          <w:trHeight w:val="340"/>
        </w:trPr>
        <w:tc>
          <w:tcPr>
            <w:tcW w:w="10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1E24DC" w:rsidRPr="008E1173" w:rsidTr="00F66539">
        <w:trPr>
          <w:trHeight w:val="340"/>
        </w:trPr>
        <w:tc>
          <w:tcPr>
            <w:tcW w:w="10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8C5578">
            <w:pPr>
              <w:spacing w:after="0"/>
              <w:rPr>
                <w:rFonts w:ascii="Sylfaen" w:hAnsi="Sylfaen"/>
                <w:b/>
              </w:rPr>
            </w:pPr>
            <w:r w:rsidRPr="008E117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საქმისწარმოების უზრუნველყოფა</w:t>
            </w:r>
          </w:p>
          <w:p w:rsidR="001E24DC" w:rsidRPr="008E1173" w:rsidRDefault="001E24DC" w:rsidP="008C5578">
            <w:pPr>
              <w:spacing w:after="0"/>
              <w:rPr>
                <w:rFonts w:ascii="Sylfaen" w:hAnsi="Sylfaen"/>
                <w:b/>
              </w:rPr>
            </w:pPr>
          </w:p>
          <w:p w:rsidR="001E24DC" w:rsidRPr="008E1173" w:rsidRDefault="001E24DC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1E24DC" w:rsidRPr="008E1173" w:rsidTr="00F66539">
        <w:trPr>
          <w:trHeight w:val="3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E24DC" w:rsidRPr="008E1173" w:rsidTr="00F66539">
        <w:trPr>
          <w:trHeight w:val="3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4DC" w:rsidRPr="008E1173" w:rsidRDefault="001E24DC" w:rsidP="004A1533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მატარებლებით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8E1173">
              <w:rPr>
                <w:rFonts w:asciiTheme="minorHAnsi" w:hAnsiTheme="minorHAnsi"/>
                <w:b/>
                <w:bCs/>
                <w:sz w:val="20"/>
                <w:lang w:val="ka-GE"/>
              </w:rPr>
              <w:t>CD, DVD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8E1173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Theme="minorHAnsi" w:hAnsiTheme="minorHAnsi"/>
                <w:b/>
                <w:bCs/>
                <w:sz w:val="20"/>
                <w:lang w:val="ka-GE"/>
              </w:rPr>
              <w:t>my.gov.ge)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სამინისტროს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საფოსტო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მისამართზე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8E1173">
              <w:fldChar w:fldCharType="begin"/>
            </w:r>
            <w:r w:rsidRPr="008E1173">
              <w:rPr>
                <w:rFonts w:asciiTheme="minorHAnsi" w:hAnsiTheme="minorHAnsi"/>
                <w:b/>
              </w:rPr>
              <w:instrText xml:space="preserve"> HYPERLINK "mailto:info@moh.gov.ge" </w:instrText>
            </w:r>
            <w:r w:rsidRPr="008E1173">
              <w:fldChar w:fldCharType="separate"/>
            </w:r>
            <w:r w:rsidRPr="008E1173">
              <w:rPr>
                <w:rStyle w:val="Hyperlink"/>
                <w:rFonts w:asciiTheme="minorHAnsi" w:hAnsiTheme="minorHAnsi"/>
                <w:b/>
                <w:bCs/>
                <w:sz w:val="20"/>
                <w:lang w:val="ka-GE"/>
              </w:rPr>
              <w:t>info@moh.gov.ge</w:t>
            </w:r>
            <w:r w:rsidRPr="008E1173">
              <w:rPr>
                <w:rStyle w:val="Hyperlink"/>
                <w:rFonts w:asciiTheme="minorHAnsi" w:hAnsiTheme="minorHAnsi"/>
                <w:b/>
                <w:bCs/>
                <w:sz w:val="20"/>
                <w:lang w:val="ka-GE"/>
              </w:rPr>
              <w:fldChar w:fldCharType="end"/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ადრესატისათვის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4A734C">
            <w:pPr>
              <w:rPr>
                <w:rFonts w:ascii="Verdana" w:hAnsi="Verdana"/>
                <w:b/>
              </w:rPr>
            </w:pPr>
            <w:r w:rsidRPr="008E117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5F269D">
              <w:rPr>
                <w:rFonts w:ascii="MS Gothic" w:eastAsia="MS Gothic" w:hAnsi="Wingdings" w:hint="eastAsia"/>
                <w:b/>
              </w:rPr>
            </w:r>
            <w:r w:rsidR="005F269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8E1173">
              <w:rPr>
                <w:rFonts w:ascii="MS Gothic" w:eastAsia="MS Gothic" w:hAnsi="Wingdings" w:hint="eastAsia"/>
                <w:b/>
              </w:rPr>
              <w:fldChar w:fldCharType="end"/>
            </w:r>
            <w:r w:rsidRPr="008E1173">
              <w:rPr>
                <w:rFonts w:ascii="MS Gothic" w:eastAsia="MS Gothic" w:hAnsi="Wingdings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1E24DC" w:rsidRPr="008E1173" w:rsidTr="00F66539">
        <w:trPr>
          <w:trHeight w:val="3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სამინისტროში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რუსეთის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ფედერაციიდან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შვეიცარიის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საელჩოს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გვერდის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ავლით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საგარეო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საქმეთა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სამინისტროში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გასაგზავნი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წერილების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მომზადების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4A734C">
            <w:pPr>
              <w:rPr>
                <w:rFonts w:ascii="Verdana" w:hAnsi="Verdana"/>
                <w:b/>
              </w:rPr>
            </w:pPr>
            <w:r w:rsidRPr="008E117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5F269D">
              <w:rPr>
                <w:rFonts w:ascii="MS Gothic" w:eastAsia="MS Gothic" w:hAnsi="Wingdings" w:hint="eastAsia"/>
                <w:b/>
              </w:rPr>
            </w:r>
            <w:r w:rsidR="005F269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8E1173">
              <w:rPr>
                <w:rFonts w:ascii="MS Gothic" w:eastAsia="MS Gothic" w:hAnsi="Wingdings" w:hint="eastAsia"/>
                <w:b/>
              </w:rPr>
              <w:fldChar w:fldCharType="end"/>
            </w:r>
            <w:r w:rsidRPr="008E1173">
              <w:rPr>
                <w:rFonts w:ascii="MS Gothic" w:eastAsia="MS Gothic" w:hAnsi="Wingdings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1E24DC" w:rsidRPr="008E1173" w:rsidTr="00F66539">
        <w:trPr>
          <w:trHeight w:val="3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8E1173">
              <w:rPr>
                <w:rFonts w:ascii="Sylfaen" w:hAnsi="Sylfaen" w:cs="Sylfaen"/>
                <w:b/>
                <w:bCs/>
                <w:sz w:val="20"/>
              </w:rPr>
              <w:t>შემოსული</w:t>
            </w:r>
            <w:proofErr w:type="spellEnd"/>
            <w:r w:rsidRPr="008E1173">
              <w:rPr>
                <w:rFonts w:ascii="AcadNusx" w:hAnsi="AcadNusx"/>
                <w:b/>
                <w:bCs/>
                <w:sz w:val="20"/>
              </w:rPr>
              <w:t xml:space="preserve">  </w:t>
            </w:r>
            <w:proofErr w:type="spellStart"/>
            <w:r w:rsidRPr="008E1173">
              <w:rPr>
                <w:rFonts w:ascii="Sylfaen" w:hAnsi="Sylfaen" w:cs="Sylfaen"/>
                <w:b/>
                <w:bCs/>
                <w:sz w:val="20"/>
              </w:rPr>
              <w:t>გაზეთების</w:t>
            </w:r>
            <w:proofErr w:type="spellEnd"/>
            <w:proofErr w:type="gramEnd"/>
            <w:r w:rsidRPr="008E1173">
              <w:rPr>
                <w:rFonts w:ascii="AcadNusx" w:hAnsi="AcadNusx"/>
                <w:b/>
                <w:bCs/>
                <w:sz w:val="20"/>
              </w:rPr>
              <w:t xml:space="preserve">, </w:t>
            </w:r>
            <w:proofErr w:type="spellStart"/>
            <w:r w:rsidRPr="008E1173">
              <w:rPr>
                <w:rFonts w:ascii="Sylfaen" w:hAnsi="Sylfaen" w:cs="Sylfaen"/>
                <w:b/>
                <w:bCs/>
                <w:sz w:val="20"/>
              </w:rPr>
              <w:t>წიგნების</w:t>
            </w:r>
            <w:proofErr w:type="spellEnd"/>
            <w:r w:rsidRPr="008E1173">
              <w:rPr>
                <w:rFonts w:ascii="AcadNusx" w:hAnsi="AcadNusx"/>
                <w:b/>
                <w:bCs/>
                <w:sz w:val="20"/>
              </w:rPr>
              <w:t xml:space="preserve">, </w:t>
            </w:r>
            <w:proofErr w:type="spellStart"/>
            <w:r w:rsidRPr="008E1173">
              <w:rPr>
                <w:rFonts w:ascii="Sylfaen" w:hAnsi="Sylfaen" w:cs="Sylfaen"/>
                <w:b/>
                <w:bCs/>
                <w:sz w:val="20"/>
              </w:rPr>
              <w:t>ბროშურების</w:t>
            </w:r>
            <w:proofErr w:type="spellEnd"/>
            <w:r w:rsidRPr="008E1173">
              <w:rPr>
                <w:rFonts w:ascii="AcadNusx" w:hAnsi="AcadNusx"/>
                <w:b/>
                <w:bCs/>
                <w:sz w:val="20"/>
              </w:rPr>
              <w:t xml:space="preserve"> </w:t>
            </w:r>
            <w:proofErr w:type="spellStart"/>
            <w:r w:rsidRPr="008E1173">
              <w:rPr>
                <w:rFonts w:ascii="Sylfaen" w:hAnsi="Sylfaen" w:cs="Sylfaen"/>
                <w:b/>
                <w:bCs/>
                <w:sz w:val="20"/>
              </w:rPr>
              <w:t>და</w:t>
            </w:r>
            <w:proofErr w:type="spellEnd"/>
            <w:r w:rsidRPr="008E1173">
              <w:rPr>
                <w:rFonts w:ascii="AcadNusx" w:hAnsi="AcadNusx"/>
                <w:b/>
                <w:bCs/>
                <w:sz w:val="20"/>
              </w:rPr>
              <w:t xml:space="preserve"> </w:t>
            </w:r>
            <w:proofErr w:type="spellStart"/>
            <w:r w:rsidRPr="008E1173">
              <w:rPr>
                <w:rFonts w:ascii="Sylfaen" w:hAnsi="Sylfaen" w:cs="Sylfaen"/>
                <w:b/>
                <w:bCs/>
                <w:sz w:val="20"/>
              </w:rPr>
              <w:t>მოსაწვევი</w:t>
            </w:r>
            <w:proofErr w:type="spellEnd"/>
            <w:r w:rsidRPr="008E1173">
              <w:rPr>
                <w:rFonts w:ascii="AcadNusx" w:hAnsi="AcadNusx"/>
                <w:b/>
                <w:bCs/>
                <w:sz w:val="20"/>
              </w:rPr>
              <w:t xml:space="preserve"> </w:t>
            </w:r>
            <w:proofErr w:type="spellStart"/>
            <w:r w:rsidRPr="008E1173">
              <w:rPr>
                <w:rFonts w:ascii="Sylfaen" w:hAnsi="Sylfaen" w:cs="Sylfaen"/>
                <w:b/>
                <w:bCs/>
                <w:sz w:val="20"/>
              </w:rPr>
              <w:t>ბარათების</w:t>
            </w:r>
            <w:proofErr w:type="spellEnd"/>
            <w:r w:rsidRPr="008E1173">
              <w:rPr>
                <w:rFonts w:ascii="AcadNusx" w:hAnsi="AcadNusx"/>
                <w:b/>
                <w:bCs/>
                <w:sz w:val="20"/>
              </w:rPr>
              <w:t xml:space="preserve">   </w:t>
            </w:r>
            <w:proofErr w:type="spellStart"/>
            <w:r w:rsidRPr="008E1173">
              <w:rPr>
                <w:rFonts w:ascii="Sylfaen" w:hAnsi="Sylfaen" w:cs="Sylfaen"/>
                <w:b/>
                <w:bCs/>
                <w:sz w:val="20"/>
              </w:rPr>
              <w:t>რეესტრის</w:t>
            </w:r>
            <w:proofErr w:type="spellEnd"/>
            <w:r w:rsidRPr="008E1173">
              <w:rPr>
                <w:rFonts w:ascii="AcadNusx" w:hAnsi="AcadNusx"/>
                <w:b/>
                <w:bCs/>
                <w:sz w:val="20"/>
              </w:rPr>
              <w:t xml:space="preserve"> </w:t>
            </w:r>
            <w:proofErr w:type="spellStart"/>
            <w:r w:rsidRPr="008E1173">
              <w:rPr>
                <w:rFonts w:ascii="Sylfaen" w:hAnsi="Sylfaen" w:cs="Sylfaen"/>
                <w:b/>
                <w:bCs/>
                <w:sz w:val="20"/>
              </w:rPr>
              <w:t>წარმოება</w:t>
            </w:r>
            <w:proofErr w:type="spellEnd"/>
            <w:r w:rsidRPr="008E1173">
              <w:rPr>
                <w:rFonts w:ascii="AcadNusx" w:hAnsi="AcadNusx"/>
                <w:b/>
                <w:bCs/>
                <w:sz w:val="20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4A734C">
            <w:pPr>
              <w:rPr>
                <w:rFonts w:ascii="Verdana" w:hAnsi="Verdana"/>
                <w:b/>
              </w:rPr>
            </w:pPr>
            <w:r w:rsidRPr="008E117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5F269D">
              <w:rPr>
                <w:rFonts w:ascii="MS Gothic" w:eastAsia="MS Gothic" w:hAnsi="Wingdings" w:hint="eastAsia"/>
                <w:b/>
              </w:rPr>
            </w:r>
            <w:r w:rsidR="005F269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8E1173">
              <w:rPr>
                <w:rFonts w:ascii="MS Gothic" w:eastAsia="MS Gothic" w:hAnsi="Wingdings" w:hint="eastAsia"/>
                <w:b/>
              </w:rPr>
              <w:fldChar w:fldCharType="end"/>
            </w:r>
            <w:r w:rsidRPr="008E1173">
              <w:rPr>
                <w:rFonts w:ascii="MS Gothic" w:eastAsia="MS Gothic" w:hAnsi="Wingdings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1E24DC" w:rsidRPr="008E1173" w:rsidTr="00F66539">
        <w:trPr>
          <w:trHeight w:val="3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სამმართველოს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კომპეტენციას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მიკუთვნებული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შესრულების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8E1173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8E1173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E117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5F269D">
              <w:rPr>
                <w:rFonts w:ascii="MS Gothic" w:eastAsia="MS Gothic" w:hAnsi="Wingdings" w:hint="eastAsia"/>
                <w:b/>
              </w:rPr>
            </w:r>
            <w:r w:rsidR="005F269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8E1173">
              <w:rPr>
                <w:rFonts w:ascii="MS Gothic" w:eastAsia="MS Gothic" w:hAnsi="Wingdings" w:hint="eastAsia"/>
                <w:b/>
              </w:rPr>
              <w:fldChar w:fldCharType="end"/>
            </w:r>
            <w:r w:rsidRPr="008E1173">
              <w:rPr>
                <w:rFonts w:ascii="MS Gothic" w:eastAsia="MS Gothic" w:hAnsi="Wingdings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1E24DC" w:rsidRPr="008E1173" w:rsidTr="00F66539">
        <w:trPr>
          <w:trHeight w:val="340"/>
        </w:trPr>
        <w:tc>
          <w:tcPr>
            <w:tcW w:w="10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E24DC" w:rsidRPr="008E1173" w:rsidTr="00F66539">
        <w:trPr>
          <w:trHeight w:val="340"/>
        </w:trPr>
        <w:tc>
          <w:tcPr>
            <w:tcW w:w="10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4A734C">
            <w:pPr>
              <w:ind w:left="567" w:hanging="567"/>
              <w:rPr>
                <w:rFonts w:ascii="Times New Roman Bold"/>
                <w:b/>
                <w:sz w:val="24"/>
                <w:szCs w:val="24"/>
              </w:rPr>
            </w:pPr>
            <w:r w:rsidRPr="008E1173">
              <w:rPr>
                <w:rFonts w:ascii="Times New Roman Bold"/>
                <w:b/>
                <w:sz w:val="24"/>
                <w:szCs w:val="24"/>
              </w:rPr>
              <w:t xml:space="preserve"> </w:t>
            </w:r>
          </w:p>
          <w:p w:rsidR="001E24DC" w:rsidRPr="008E1173" w:rsidRDefault="001E24DC" w:rsidP="004A734C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</w:rPr>
            </w:pPr>
            <w:r w:rsidRPr="008E1173">
              <w:rPr>
                <w:rFonts w:ascii="Times New Roman Bold"/>
                <w:b/>
                <w:color w:val="auto"/>
                <w:sz w:val="24"/>
                <w:szCs w:val="24"/>
              </w:rPr>
              <w:t xml:space="preserve"> </w:t>
            </w:r>
            <w:r w:rsidRPr="008E1173">
              <w:rPr>
                <w:rFonts w:ascii="Sylfaen" w:hAnsi="Sylfaen" w:cs="Sylfaen"/>
                <w:b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</w:p>
          <w:p w:rsidR="001E24DC" w:rsidRPr="008E1173" w:rsidRDefault="001E24DC" w:rsidP="004A734C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</w:rPr>
            </w:pPr>
          </w:p>
        </w:tc>
      </w:tr>
      <w:tr w:rsidR="001E24DC" w:rsidRPr="008E1173" w:rsidTr="00F66539">
        <w:trPr>
          <w:trHeight w:val="340"/>
        </w:trPr>
        <w:tc>
          <w:tcPr>
            <w:tcW w:w="10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E11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E24DC" w:rsidRPr="008E1173" w:rsidTr="00F66539">
        <w:trPr>
          <w:trHeight w:val="340"/>
        </w:trPr>
        <w:tc>
          <w:tcPr>
            <w:tcW w:w="10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4DC" w:rsidRPr="008E1173" w:rsidRDefault="001E24D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E24DC" w:rsidRPr="008E1173" w:rsidRDefault="001E24D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8E1173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8E1173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8E1173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8E1173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8E1173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E117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8E1173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E117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8E1173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8E1173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E117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8E1173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lastRenderedPageBreak/>
              <w:t>პროფესიული განათლების დონე :</w:t>
            </w:r>
            <w:r w:rsidRPr="008E1173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E1173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8E1173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8E1173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CE471F" w:rsidRPr="008E1173" w:rsidRDefault="00CE471F" w:rsidP="00CE471F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8E1173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eastAsia="MS Gothic"/>
                <w:b/>
              </w:rPr>
              <w:instrText xml:space="preserve"> FORMCHECKBOX </w:instrText>
            </w:r>
            <w:r w:rsidR="005F269D">
              <w:rPr>
                <w:rFonts w:eastAsia="MS Gothic"/>
                <w:b/>
              </w:rPr>
            </w:r>
            <w:r w:rsidR="005F269D">
              <w:rPr>
                <w:rFonts w:eastAsia="MS Gothic"/>
                <w:b/>
              </w:rPr>
              <w:fldChar w:fldCharType="separate"/>
            </w:r>
            <w:r w:rsidRPr="008E1173">
              <w:rPr>
                <w:rFonts w:eastAsia="MS Gothic"/>
                <w:b/>
              </w:rPr>
              <w:fldChar w:fldCharType="end"/>
            </w:r>
            <w:r w:rsidRPr="008E1173">
              <w:rPr>
                <w:rFonts w:eastAsia="MS Gothic"/>
                <w:b/>
              </w:rPr>
              <w:t xml:space="preserve">        </w:t>
            </w:r>
            <w:r w:rsidRPr="008E1173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8E1173">
              <w:rPr>
                <w:rFonts w:eastAsia="MS Gothic"/>
                <w:b/>
              </w:rPr>
              <w:t xml:space="preserve">                      </w:t>
            </w:r>
          </w:p>
          <w:p w:rsidR="005D776B" w:rsidRPr="008E117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8E1173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E1173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8E1173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8E117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8E1173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E117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8E1173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E1173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8E1173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8E1173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8E1173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E117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8E1173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E117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E117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სასურველი:</w:t>
            </w:r>
            <w:r w:rsidRPr="008E1173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8E1173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8E1173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D776B" w:rsidRPr="008E1173" w:rsidRDefault="00CE471F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8E1173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E1173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7238C" w:rsidRPr="008E1173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დოკუმენტბრუნვის ელექტრონული სისტემა</w:t>
            </w:r>
          </w:p>
          <w:p w:rsidR="0047238C" w:rsidRPr="008E1173" w:rsidRDefault="0047238C" w:rsidP="0047238C">
            <w:pPr>
              <w:spacing w:before="120"/>
              <w:rPr>
                <w:b/>
                <w:sz w:val="24"/>
                <w:szCs w:val="24"/>
              </w:rPr>
            </w:pPr>
            <w:r w:rsidRPr="008E117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7238C" w:rsidRPr="008E1173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7238C" w:rsidRPr="008E1173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8E1173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5F269D">
              <w:rPr>
                <w:rFonts w:eastAsia="MS Gothic"/>
                <w:b/>
                <w:sz w:val="24"/>
                <w:szCs w:val="24"/>
              </w:rPr>
            </w:r>
            <w:r w:rsidR="005F269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8E1173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8E1173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47238C" w:rsidRPr="008E1173" w:rsidRDefault="0047238C" w:rsidP="0047238C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8E1173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8E1173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5F269D">
              <w:rPr>
                <w:rFonts w:eastAsia="MS Gothic"/>
                <w:b/>
                <w:sz w:val="24"/>
                <w:szCs w:val="24"/>
              </w:rPr>
            </w:r>
            <w:r w:rsidR="005F269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8E1173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8E1173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47238C" w:rsidRPr="008E1173" w:rsidRDefault="0047238C" w:rsidP="0047238C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8E1173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8E1173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5F269D">
              <w:rPr>
                <w:rFonts w:eastAsia="MS Gothic"/>
                <w:b/>
                <w:sz w:val="24"/>
                <w:szCs w:val="24"/>
              </w:rPr>
            </w:r>
            <w:r w:rsidR="005F269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8E1173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8E1173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47238C" w:rsidRPr="008E1173" w:rsidRDefault="0047238C" w:rsidP="0047238C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8E1173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8E1173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8E117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47238C" w:rsidRPr="008E1173" w:rsidRDefault="0047238C" w:rsidP="0047238C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    </w:t>
            </w:r>
            <w:r w:rsidRPr="008E1173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47238C" w:rsidRPr="008E1173" w:rsidRDefault="0047238C" w:rsidP="0047238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47238C" w:rsidRPr="008E1173" w:rsidRDefault="0047238C" w:rsidP="0047238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7238C" w:rsidRPr="008E1173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7238C" w:rsidRPr="008E1173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8E11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1173" w:rsidRPr="008E1173" w:rsidRDefault="008E1173" w:rsidP="008E11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 xml:space="preserve">ინგლისური </w:t>
            </w:r>
            <w:r w:rsidRPr="008E117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5F269D">
              <w:rPr>
                <w:rFonts w:ascii="MS Gothic" w:eastAsia="MS Gothic" w:hAnsi="Wingdings" w:hint="eastAsia"/>
                <w:b/>
              </w:rPr>
            </w:r>
            <w:r w:rsidR="005F269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8E1173">
              <w:rPr>
                <w:rFonts w:ascii="MS Gothic" w:eastAsia="MS Gothic" w:hAnsi="Wingdings" w:hint="eastAsia"/>
                <w:b/>
              </w:rPr>
              <w:fldChar w:fldCharType="end"/>
            </w:r>
            <w:r w:rsidRPr="008E1173">
              <w:rPr>
                <w:rFonts w:ascii="MS Gothic" w:eastAsia="MS Gothic" w:hAnsi="Wingdings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8E1173" w:rsidRPr="008E1173" w:rsidRDefault="008E1173" w:rsidP="008E11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 xml:space="preserve">რუსული  </w:t>
            </w:r>
            <w:r w:rsidRPr="008E117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5F269D">
              <w:rPr>
                <w:rFonts w:ascii="MS Gothic" w:eastAsia="MS Gothic" w:hAnsi="Wingdings" w:hint="eastAsia"/>
                <w:b/>
              </w:rPr>
            </w:r>
            <w:r w:rsidR="005F269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8E1173">
              <w:rPr>
                <w:rFonts w:ascii="MS Gothic" w:eastAsia="MS Gothic" w:hAnsi="Wingdings" w:hint="eastAsia"/>
                <w:b/>
              </w:rPr>
              <w:fldChar w:fldCharType="end"/>
            </w:r>
            <w:r w:rsidRPr="008E1173">
              <w:rPr>
                <w:rFonts w:ascii="MS Gothic" w:eastAsia="MS Gothic" w:hAnsi="Wingdings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47238C" w:rsidRPr="008E1173" w:rsidRDefault="0047238C" w:rsidP="0047238C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7238C" w:rsidRPr="008E1173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47238C" w:rsidRPr="008E1173" w:rsidRDefault="0047238C" w:rsidP="0047238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47238C" w:rsidRPr="008E1173" w:rsidRDefault="0047238C" w:rsidP="0047238C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7238C" w:rsidRPr="008E1173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7238C" w:rsidRPr="008E1173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8E1173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8E1173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8E1173">
              <w:rPr>
                <w:rFonts w:ascii="Sylfaen" w:hAnsi="Sylfaen"/>
                <w:b/>
                <w:lang w:val="ka-GE"/>
              </w:rPr>
              <w:t>სასურველი:</w:t>
            </w:r>
            <w:r w:rsidRPr="008E1173">
              <w:rPr>
                <w:rFonts w:ascii="Sylfaen" w:hAnsi="Sylfaen"/>
                <w:b/>
              </w:rPr>
              <w:t xml:space="preserve"> </w:t>
            </w:r>
          </w:p>
        </w:tc>
      </w:tr>
      <w:tr w:rsidR="0047238C" w:rsidRPr="008E1173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8E1173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8E1173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7238C" w:rsidRPr="008E1173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E1173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5F269D">
              <w:rPr>
                <w:rFonts w:eastAsia="MS Gothic"/>
                <w:b/>
                <w:sz w:val="24"/>
                <w:szCs w:val="24"/>
              </w:rPr>
            </w:r>
            <w:r w:rsidR="005F269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8E1173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8E1173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8E1173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8E1173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47238C" w:rsidRPr="008E1173" w:rsidRDefault="0047238C" w:rsidP="0047238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47238C" w:rsidRPr="008E1173" w:rsidRDefault="0047238C" w:rsidP="0047238C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7238C" w:rsidRPr="008E1173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8E1173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8E1173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47238C" w:rsidRPr="008E1173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47238C" w:rsidRPr="008E1173" w:rsidRDefault="0047238C" w:rsidP="0047238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7238C" w:rsidRPr="008E1173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8E1173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8E1173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8E1173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8E1173">
              <w:rPr>
                <w:rFonts w:ascii="Sylfaen" w:hAnsi="Sylfaen"/>
                <w:b/>
              </w:rPr>
              <w:t>:</w:t>
            </w:r>
          </w:p>
        </w:tc>
      </w:tr>
      <w:tr w:rsidR="0047238C" w:rsidRPr="008E1173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47238C" w:rsidRPr="008E1173" w:rsidRDefault="0047238C" w:rsidP="0047238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7238C" w:rsidRPr="008E1173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E1173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8E1173">
              <w:rPr>
                <w:rFonts w:ascii="Sylfaen" w:hAnsi="Sylfaen"/>
                <w:b/>
              </w:rPr>
              <w:t xml:space="preserve"> </w:t>
            </w:r>
            <w:r w:rsidRPr="008E117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7238C" w:rsidRPr="008E1173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ეფექტიანად მართავს დროს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47238C" w:rsidRPr="008E1173" w:rsidRDefault="0047238C" w:rsidP="0047238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117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47238C" w:rsidRPr="008E1173" w:rsidRDefault="0047238C" w:rsidP="0047238C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7238C" w:rsidRPr="008E1173" w:rsidRDefault="0047238C" w:rsidP="0047238C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8E117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8E117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8E1173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8E1173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8E1173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8E1173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8E1173">
        <w:rPr>
          <w:rFonts w:ascii="Sylfaen" w:hAnsi="Sylfaen"/>
          <w:b/>
          <w:lang w:val="ka-GE"/>
        </w:rPr>
        <w:t>თარიღი  _________________________</w:t>
      </w:r>
    </w:p>
    <w:p w:rsidR="002379B8" w:rsidRPr="002379B8" w:rsidRDefault="002379B8" w:rsidP="00FE1C08">
      <w:pPr>
        <w:spacing w:before="240" w:after="0"/>
        <w:rPr>
          <w:rFonts w:ascii="Sylfaen" w:hAnsi="Sylfaen"/>
          <w:b/>
        </w:rPr>
      </w:pPr>
    </w:p>
    <w:p w:rsidR="002379B8" w:rsidRDefault="002379B8" w:rsidP="002379B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8E1173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თანამდებობა)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მზია თოფურია</w:t>
      </w:r>
    </w:p>
    <w:p w:rsidR="005F269D" w:rsidRPr="005F269D" w:rsidRDefault="005F269D" w:rsidP="002379B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  <w:bookmarkStart w:id="1" w:name="_GoBack"/>
      <w:bookmarkEnd w:id="1"/>
    </w:p>
    <w:p w:rsidR="002379B8" w:rsidRPr="008E1173" w:rsidRDefault="002379B8" w:rsidP="002379B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8E1173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2379B8" w:rsidRPr="008E1173" w:rsidRDefault="002379B8" w:rsidP="002379B8">
      <w:pPr>
        <w:spacing w:before="240" w:after="0"/>
        <w:rPr>
          <w:b/>
        </w:rPr>
      </w:pPr>
      <w:r w:rsidRPr="008E1173">
        <w:rPr>
          <w:rFonts w:ascii="Sylfaen" w:hAnsi="Sylfaen"/>
          <w:b/>
          <w:lang w:val="ka-GE"/>
        </w:rPr>
        <w:t>თარიღი  _________________________</w:t>
      </w:r>
    </w:p>
    <w:p w:rsidR="002379B8" w:rsidRPr="002379B8" w:rsidRDefault="002379B8" w:rsidP="00FE1C08">
      <w:pPr>
        <w:spacing w:before="240" w:after="0"/>
        <w:rPr>
          <w:b/>
        </w:rPr>
      </w:pPr>
    </w:p>
    <w:sectPr w:rsidR="002379B8" w:rsidRPr="002379B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E24DC"/>
    <w:rsid w:val="002041EC"/>
    <w:rsid w:val="002379B8"/>
    <w:rsid w:val="003050A0"/>
    <w:rsid w:val="00332E5E"/>
    <w:rsid w:val="00340A2C"/>
    <w:rsid w:val="00341D75"/>
    <w:rsid w:val="003A5F01"/>
    <w:rsid w:val="003B257E"/>
    <w:rsid w:val="003C05E0"/>
    <w:rsid w:val="004666A2"/>
    <w:rsid w:val="0047238C"/>
    <w:rsid w:val="004A1533"/>
    <w:rsid w:val="005D35CF"/>
    <w:rsid w:val="005D776B"/>
    <w:rsid w:val="005F269D"/>
    <w:rsid w:val="006C54B7"/>
    <w:rsid w:val="007275E6"/>
    <w:rsid w:val="0074698E"/>
    <w:rsid w:val="00765DB6"/>
    <w:rsid w:val="00776486"/>
    <w:rsid w:val="00790C3C"/>
    <w:rsid w:val="008D2B69"/>
    <w:rsid w:val="008E1173"/>
    <w:rsid w:val="009110BB"/>
    <w:rsid w:val="00920D93"/>
    <w:rsid w:val="00962D44"/>
    <w:rsid w:val="009722EE"/>
    <w:rsid w:val="009856E3"/>
    <w:rsid w:val="009E42F5"/>
    <w:rsid w:val="00A246A4"/>
    <w:rsid w:val="00AB3BB4"/>
    <w:rsid w:val="00B02604"/>
    <w:rsid w:val="00B313DF"/>
    <w:rsid w:val="00CE471F"/>
    <w:rsid w:val="00DB3C17"/>
    <w:rsid w:val="00E035B4"/>
    <w:rsid w:val="00E05CF9"/>
    <w:rsid w:val="00E73C5C"/>
    <w:rsid w:val="00E8550E"/>
    <w:rsid w:val="00EA3706"/>
    <w:rsid w:val="00F025FD"/>
    <w:rsid w:val="00F330D3"/>
    <w:rsid w:val="00F66539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4A15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4A15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24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47</cp:revision>
  <cp:lastPrinted>2019-07-01T06:12:00Z</cp:lastPrinted>
  <dcterms:created xsi:type="dcterms:W3CDTF">2015-05-22T17:38:00Z</dcterms:created>
  <dcterms:modified xsi:type="dcterms:W3CDTF">2019-07-01T10:40:00Z</dcterms:modified>
</cp:coreProperties>
</file>