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CE" w:rsidRDefault="007403D0" w:rsidP="007403D0">
      <w:pPr>
        <w:jc w:val="center"/>
        <w:rPr>
          <w:rFonts w:ascii="Sylfaen" w:hAnsi="Sylfaen"/>
          <w:lang w:val="ka-GE"/>
        </w:rPr>
      </w:pPr>
      <w:r>
        <w:rPr>
          <w:rFonts w:ascii="Sylfaen" w:hAnsi="Sylfaen"/>
          <w:lang w:val="ka-GE"/>
        </w:rPr>
        <w:t>ცოფი</w:t>
      </w:r>
    </w:p>
    <w:p w:rsidR="007403D0" w:rsidRDefault="007403D0" w:rsidP="007403D0">
      <w:pPr>
        <w:jc w:val="center"/>
        <w:rPr>
          <w:rFonts w:ascii="Sylfaen" w:hAnsi="Sylfaen"/>
          <w:lang w:val="ka-GE"/>
        </w:rPr>
      </w:pPr>
    </w:p>
    <w:p w:rsidR="002436F0" w:rsidRPr="007403D0" w:rsidRDefault="005D00EF" w:rsidP="002436F0">
      <w:pPr>
        <w:ind w:left="720"/>
        <w:jc w:val="both"/>
        <w:rPr>
          <w:rFonts w:ascii="Sylfaen" w:hAnsi="Sylfaen"/>
        </w:rPr>
      </w:pPr>
      <w:r w:rsidRPr="007403D0">
        <w:rPr>
          <w:rFonts w:ascii="Sylfaen" w:hAnsi="Sylfaen"/>
          <w:lang w:val="ka-GE"/>
        </w:rPr>
        <w:t xml:space="preserve">მონაცემები ადამიანთა ცოფით დაავადების შემთხვევების შესახებ  საქართველოში არსებობს 1930 წლიდან; </w:t>
      </w:r>
      <w:r w:rsidR="002436F0">
        <w:rPr>
          <w:rFonts w:ascii="Sylfaen" w:hAnsi="Sylfaen"/>
          <w:lang w:val="ka-GE"/>
        </w:rPr>
        <w:t xml:space="preserve">1999-2000 წლებიდან აღინიშნება შემთხვევების თანდათანობით კლება. 2014 წელს აღირიცხა 4 შემთხვევა, ხოლო 2015 წელს და 2016 წლის ექვს თვეში </w:t>
      </w:r>
      <w:r w:rsidR="002436F0" w:rsidRPr="007403D0">
        <w:rPr>
          <w:rFonts w:ascii="Sylfaen" w:hAnsi="Sylfaen"/>
          <w:lang w:val="ka-GE"/>
        </w:rPr>
        <w:t>ნულოვანი შემთხვევაა რეგისტრირებული</w:t>
      </w:r>
      <w:r w:rsidR="002436F0">
        <w:rPr>
          <w:rFonts w:ascii="Sylfaen" w:hAnsi="Sylfaen"/>
          <w:lang w:val="ka-GE"/>
        </w:rPr>
        <w:t>.</w:t>
      </w:r>
    </w:p>
    <w:p w:rsidR="00AD1A4E" w:rsidRDefault="00417D78" w:rsidP="002436F0">
      <w:pPr>
        <w:ind w:left="720"/>
        <w:jc w:val="both"/>
        <w:rPr>
          <w:rFonts w:ascii="Sylfaen" w:hAnsi="Sylfaen"/>
          <w:lang w:val="ka-GE"/>
        </w:rPr>
      </w:pPr>
      <w:r>
        <w:rPr>
          <w:rFonts w:ascii="Sylfaen" w:hAnsi="Sylfaen"/>
          <w:lang w:val="ka-GE"/>
        </w:rPr>
        <w:t xml:space="preserve">ჰიდროფობიის </w:t>
      </w:r>
      <w:r w:rsidR="002436F0">
        <w:rPr>
          <w:rFonts w:ascii="Sylfaen" w:hAnsi="Sylfaen"/>
          <w:lang w:val="ka-GE"/>
        </w:rPr>
        <w:t xml:space="preserve">შემთხვევათა კლებასთან ერთად, 2015 </w:t>
      </w:r>
      <w:r w:rsidR="002436F0" w:rsidRPr="002436F0">
        <w:rPr>
          <w:rFonts w:ascii="Sylfaen" w:hAnsi="Sylfaen"/>
          <w:lang w:val="ka-GE"/>
        </w:rPr>
        <w:t>წელს 2014 წელთან შედა</w:t>
      </w:r>
      <w:r w:rsidR="002436F0" w:rsidRPr="002436F0">
        <w:rPr>
          <w:rFonts w:ascii="Sylfaen" w:hAnsi="Sylfaen"/>
          <w:lang w:val="ka-GE"/>
        </w:rPr>
        <w:softHyphen/>
        <w:t xml:space="preserve">რებით </w:t>
      </w:r>
      <w:r w:rsidR="002436F0">
        <w:rPr>
          <w:rFonts w:ascii="Sylfaen" w:hAnsi="Sylfaen"/>
          <w:lang w:val="ka-GE"/>
        </w:rPr>
        <w:t xml:space="preserve">დაფიქსირებულია </w:t>
      </w:r>
      <w:r w:rsidR="002436F0" w:rsidRPr="002436F0">
        <w:rPr>
          <w:rFonts w:ascii="Sylfaen" w:hAnsi="Sylfaen"/>
          <w:lang w:val="ka-GE"/>
        </w:rPr>
        <w:t>სამედიცინო დაწესებულებებში დაკბენილ, დადორბლილ, დაკაწრულ (დაზარა</w:t>
      </w:r>
      <w:r w:rsidR="002436F0" w:rsidRPr="002436F0">
        <w:rPr>
          <w:rFonts w:ascii="Sylfaen" w:hAnsi="Sylfaen"/>
          <w:lang w:val="ka-GE"/>
        </w:rPr>
        <w:softHyphen/>
        <w:t xml:space="preserve">ლებულ) მოქალაქეთა </w:t>
      </w:r>
      <w:r w:rsidR="002436F0">
        <w:rPr>
          <w:rFonts w:ascii="Sylfaen" w:hAnsi="Sylfaen"/>
          <w:lang w:val="ka-GE"/>
        </w:rPr>
        <w:t xml:space="preserve">მიმართვიანობის მატება </w:t>
      </w:r>
      <w:r w:rsidR="002436F0" w:rsidRPr="002436F0">
        <w:rPr>
          <w:rFonts w:ascii="Sylfaen" w:hAnsi="Sylfaen"/>
          <w:lang w:val="ka-GE"/>
        </w:rPr>
        <w:t>7,6%-ით</w:t>
      </w:r>
      <w:r w:rsidR="002436F0">
        <w:rPr>
          <w:rFonts w:ascii="Sylfaen" w:hAnsi="Sylfaen"/>
          <w:lang w:val="ka-GE"/>
        </w:rPr>
        <w:t xml:space="preserve">. მათ შორის მატება ფიქსირდება </w:t>
      </w:r>
      <w:r w:rsidR="002436F0" w:rsidRPr="002436F0">
        <w:rPr>
          <w:rFonts w:ascii="Sylfaen" w:hAnsi="Sylfaen"/>
          <w:lang w:val="ka-GE"/>
        </w:rPr>
        <w:t>გურიის (29%-ით), ქვემო ქართლის (15,9%-ით), რაჭა-ლეჩხუმის (14,3%-ით), მცხეთა-მთიანეთის (12,8%-ით), სამეგრელოს (11,5%-ით), თბილისისა (10,6%-ით) და იმერეთის (9,5%-ით) რეგიონებში. შემცირებულია აჭარის (11,4%-ით), შიდა ქართლის (6,2%-ით), კახეთისა (4,3%-ით) და სამცხე-ჯავახეთის (2,3%-ით) რეგიონებში.</w:t>
      </w:r>
    </w:p>
    <w:p w:rsidR="004B266A" w:rsidRDefault="004B266A" w:rsidP="002436F0">
      <w:pPr>
        <w:ind w:left="720"/>
        <w:jc w:val="both"/>
        <w:rPr>
          <w:rFonts w:ascii="Sylfaen" w:hAnsi="Sylfaen"/>
          <w:lang w:val="ka-GE"/>
        </w:rPr>
      </w:pPr>
      <w:r>
        <w:rPr>
          <w:rFonts w:ascii="Sylfaen" w:hAnsi="Sylfaen"/>
          <w:lang w:val="ka-GE"/>
        </w:rPr>
        <w:t xml:space="preserve">აღნიშნული მონაცემები დაახლოებით  შეესაბამება </w:t>
      </w:r>
      <w:r w:rsidRPr="00CE6EB8">
        <w:rPr>
          <w:rFonts w:ascii="Sylfaen" w:hAnsi="Sylfaen"/>
          <w:lang w:val="ka-GE"/>
        </w:rPr>
        <w:t>ცხოველებში ცოფის შემ</w:t>
      </w:r>
      <w:r>
        <w:rPr>
          <w:rFonts w:ascii="Sylfaen" w:hAnsi="Sylfaen"/>
          <w:lang w:val="ka-GE"/>
        </w:rPr>
        <w:t>თ</w:t>
      </w:r>
      <w:r w:rsidRPr="00CE6EB8">
        <w:rPr>
          <w:rFonts w:ascii="Sylfaen" w:hAnsi="Sylfaen"/>
          <w:lang w:val="ka-GE"/>
        </w:rPr>
        <w:t xml:space="preserve">ხვევების </w:t>
      </w:r>
      <w:r>
        <w:rPr>
          <w:rFonts w:ascii="Sylfaen" w:hAnsi="Sylfaen"/>
          <w:lang w:val="ka-GE"/>
        </w:rPr>
        <w:t xml:space="preserve">მაჩვენებლებს. კერძოდ, სტატისტიკური მონაცემებით 2013-2015 წლებში </w:t>
      </w:r>
      <w:proofErr w:type="spellStart"/>
      <w:r w:rsidRPr="0011076B">
        <w:rPr>
          <w:rFonts w:ascii="Sylfaen" w:hAnsi="Sylfaen" w:cs="Sylfaen"/>
        </w:rPr>
        <w:t>ცხოველებში</w:t>
      </w:r>
      <w:proofErr w:type="spellEnd"/>
      <w:r w:rsidRPr="0011076B">
        <w:rPr>
          <w:rFonts w:ascii="Sylfaen" w:hAnsi="Sylfaen" w:cs="Sylfaen"/>
        </w:rPr>
        <w:t xml:space="preserve"> </w:t>
      </w:r>
      <w:proofErr w:type="spellStart"/>
      <w:r w:rsidRPr="0011076B">
        <w:rPr>
          <w:rFonts w:ascii="Sylfaen" w:hAnsi="Sylfaen" w:cs="Sylfaen"/>
        </w:rPr>
        <w:t>ცოფის</w:t>
      </w:r>
      <w:proofErr w:type="spellEnd"/>
      <w:r w:rsidRPr="0011076B">
        <w:rPr>
          <w:rFonts w:ascii="Sylfaen" w:hAnsi="Sylfaen" w:cs="Sylfaen"/>
        </w:rPr>
        <w:t xml:space="preserve"> </w:t>
      </w:r>
      <w:proofErr w:type="spellStart"/>
      <w:r w:rsidRPr="0011076B">
        <w:rPr>
          <w:rFonts w:ascii="Sylfaen" w:hAnsi="Sylfaen" w:cs="Sylfaen"/>
        </w:rPr>
        <w:t>შემთხვევების</w:t>
      </w:r>
      <w:proofErr w:type="spellEnd"/>
      <w:r w:rsidRPr="0011076B">
        <w:rPr>
          <w:rFonts w:ascii="Sylfaen" w:hAnsi="Sylfaen" w:cs="Sylfaen"/>
        </w:rPr>
        <w:t xml:space="preserve"> </w:t>
      </w:r>
      <w:proofErr w:type="spellStart"/>
      <w:r w:rsidRPr="0011076B">
        <w:rPr>
          <w:rFonts w:ascii="Sylfaen" w:hAnsi="Sylfaen" w:cs="Sylfaen"/>
        </w:rPr>
        <w:t>დადასტურება</w:t>
      </w:r>
      <w:proofErr w:type="spellEnd"/>
      <w:r w:rsidRPr="0011076B">
        <w:rPr>
          <w:rFonts w:ascii="Sylfaen" w:hAnsi="Sylfaen" w:cs="Sylfaen"/>
        </w:rPr>
        <w:t xml:space="preserve"> </w:t>
      </w:r>
      <w:proofErr w:type="spellStart"/>
      <w:r w:rsidRPr="0011076B">
        <w:rPr>
          <w:rFonts w:ascii="Sylfaen" w:hAnsi="Sylfaen" w:cs="Sylfaen"/>
        </w:rPr>
        <w:t>მომატებულია</w:t>
      </w:r>
      <w:proofErr w:type="spellEnd"/>
      <w:r w:rsidRPr="0011076B">
        <w:rPr>
          <w:rFonts w:ascii="Sylfaen" w:hAnsi="Sylfaen" w:cs="Sylfaen"/>
        </w:rPr>
        <w:t xml:space="preserve"> </w:t>
      </w:r>
      <w:proofErr w:type="spellStart"/>
      <w:r w:rsidRPr="0011076B">
        <w:rPr>
          <w:rFonts w:ascii="Sylfaen" w:hAnsi="Sylfaen" w:cs="Sylfaen"/>
        </w:rPr>
        <w:t>გურიასა</w:t>
      </w:r>
      <w:proofErr w:type="spellEnd"/>
      <w:r w:rsidRPr="0011076B">
        <w:rPr>
          <w:rFonts w:ascii="Sylfaen" w:hAnsi="Sylfaen" w:cs="Sylfaen"/>
        </w:rPr>
        <w:t xml:space="preserve"> </w:t>
      </w:r>
      <w:proofErr w:type="spellStart"/>
      <w:r w:rsidRPr="0011076B">
        <w:rPr>
          <w:rFonts w:ascii="Sylfaen" w:hAnsi="Sylfaen" w:cs="Sylfaen"/>
        </w:rPr>
        <w:t>და</w:t>
      </w:r>
      <w:proofErr w:type="spellEnd"/>
      <w:r w:rsidRPr="0011076B">
        <w:rPr>
          <w:rFonts w:ascii="Sylfaen" w:hAnsi="Sylfaen" w:cs="Sylfaen"/>
        </w:rPr>
        <w:t xml:space="preserve"> </w:t>
      </w:r>
      <w:proofErr w:type="spellStart"/>
      <w:r w:rsidRPr="0011076B">
        <w:rPr>
          <w:rFonts w:ascii="Sylfaen" w:hAnsi="Sylfaen" w:cs="Sylfaen"/>
        </w:rPr>
        <w:t>სამეგრელოში</w:t>
      </w:r>
      <w:proofErr w:type="spellEnd"/>
      <w:r w:rsidRPr="0011076B">
        <w:rPr>
          <w:rFonts w:ascii="Sylfaen" w:hAnsi="Sylfaen" w:cs="Sylfaen"/>
        </w:rPr>
        <w:t xml:space="preserve">, </w:t>
      </w:r>
      <w:proofErr w:type="spellStart"/>
      <w:r w:rsidRPr="0011076B">
        <w:rPr>
          <w:rFonts w:ascii="Sylfaen" w:hAnsi="Sylfaen" w:cs="Sylfaen"/>
        </w:rPr>
        <w:t>თითო</w:t>
      </w:r>
      <w:proofErr w:type="spellEnd"/>
      <w:r w:rsidRPr="0011076B">
        <w:rPr>
          <w:rFonts w:ascii="Sylfaen" w:hAnsi="Sylfaen" w:cs="Sylfaen"/>
        </w:rPr>
        <w:t xml:space="preserve"> </w:t>
      </w:r>
      <w:proofErr w:type="spellStart"/>
      <w:r w:rsidRPr="0011076B">
        <w:rPr>
          <w:rFonts w:ascii="Sylfaen" w:hAnsi="Sylfaen" w:cs="Sylfaen"/>
        </w:rPr>
        <w:t>ერთეულით</w:t>
      </w:r>
      <w:proofErr w:type="spellEnd"/>
      <w:r w:rsidRPr="0011076B">
        <w:rPr>
          <w:rFonts w:ascii="Sylfaen" w:hAnsi="Sylfaen" w:cs="Sylfaen"/>
        </w:rPr>
        <w:t xml:space="preserve"> </w:t>
      </w:r>
      <w:proofErr w:type="spellStart"/>
      <w:r w:rsidRPr="0011076B">
        <w:rPr>
          <w:rFonts w:ascii="Sylfaen" w:hAnsi="Sylfaen" w:cs="Sylfaen"/>
        </w:rPr>
        <w:t>მატება</w:t>
      </w:r>
      <w:proofErr w:type="spellEnd"/>
      <w:r w:rsidRPr="0011076B">
        <w:rPr>
          <w:rFonts w:ascii="Sylfaen" w:hAnsi="Sylfaen" w:cs="Sylfaen"/>
        </w:rPr>
        <w:t xml:space="preserve"> </w:t>
      </w:r>
      <w:proofErr w:type="spellStart"/>
      <w:r w:rsidRPr="0011076B">
        <w:rPr>
          <w:rFonts w:ascii="Sylfaen" w:hAnsi="Sylfaen" w:cs="Sylfaen"/>
        </w:rPr>
        <w:t>აღინიშნება</w:t>
      </w:r>
      <w:proofErr w:type="spellEnd"/>
      <w:r w:rsidRPr="0011076B">
        <w:rPr>
          <w:rFonts w:ascii="Sylfaen" w:hAnsi="Sylfaen" w:cs="Sylfaen"/>
        </w:rPr>
        <w:t xml:space="preserve"> </w:t>
      </w:r>
      <w:proofErr w:type="spellStart"/>
      <w:r w:rsidRPr="0011076B">
        <w:rPr>
          <w:rFonts w:ascii="Sylfaen" w:hAnsi="Sylfaen" w:cs="Sylfaen"/>
        </w:rPr>
        <w:t>თბილისსა</w:t>
      </w:r>
      <w:proofErr w:type="spellEnd"/>
      <w:r w:rsidRPr="0011076B">
        <w:rPr>
          <w:rFonts w:ascii="Sylfaen" w:hAnsi="Sylfaen" w:cs="Sylfaen"/>
        </w:rPr>
        <w:t xml:space="preserve"> </w:t>
      </w:r>
      <w:proofErr w:type="spellStart"/>
      <w:r w:rsidRPr="0011076B">
        <w:rPr>
          <w:rFonts w:ascii="Sylfaen" w:hAnsi="Sylfaen" w:cs="Sylfaen"/>
        </w:rPr>
        <w:t>და</w:t>
      </w:r>
      <w:proofErr w:type="spellEnd"/>
      <w:r w:rsidRPr="0011076B">
        <w:rPr>
          <w:rFonts w:ascii="Sylfaen" w:hAnsi="Sylfaen" w:cs="Sylfaen"/>
        </w:rPr>
        <w:t xml:space="preserve"> </w:t>
      </w:r>
      <w:proofErr w:type="spellStart"/>
      <w:r w:rsidRPr="0011076B">
        <w:rPr>
          <w:rFonts w:ascii="Sylfaen" w:hAnsi="Sylfaen" w:cs="Sylfaen"/>
        </w:rPr>
        <w:t>სამცხე-ჯავახეთში</w:t>
      </w:r>
      <w:proofErr w:type="spellEnd"/>
      <w:r w:rsidRPr="0011076B">
        <w:rPr>
          <w:rFonts w:ascii="Sylfaen" w:hAnsi="Sylfaen" w:cs="Sylfaen"/>
        </w:rPr>
        <w:t xml:space="preserve">; </w:t>
      </w:r>
      <w:proofErr w:type="spellStart"/>
      <w:r w:rsidRPr="0011076B">
        <w:rPr>
          <w:rFonts w:ascii="Sylfaen" w:hAnsi="Sylfaen" w:cs="Sylfaen"/>
        </w:rPr>
        <w:t>აჭარაში</w:t>
      </w:r>
      <w:proofErr w:type="spellEnd"/>
      <w:r w:rsidRPr="0011076B">
        <w:rPr>
          <w:rFonts w:ascii="Sylfaen" w:hAnsi="Sylfaen" w:cs="Sylfaen"/>
        </w:rPr>
        <w:t xml:space="preserve">, </w:t>
      </w:r>
      <w:proofErr w:type="spellStart"/>
      <w:r w:rsidRPr="0011076B">
        <w:rPr>
          <w:rFonts w:ascii="Sylfaen" w:hAnsi="Sylfaen" w:cs="Sylfaen"/>
        </w:rPr>
        <w:t>იმერეთში</w:t>
      </w:r>
      <w:proofErr w:type="spellEnd"/>
      <w:r w:rsidRPr="0011076B">
        <w:rPr>
          <w:rFonts w:ascii="Sylfaen" w:hAnsi="Sylfaen" w:cs="Sylfaen"/>
        </w:rPr>
        <w:t xml:space="preserve">, </w:t>
      </w:r>
      <w:proofErr w:type="spellStart"/>
      <w:r w:rsidRPr="0011076B">
        <w:rPr>
          <w:rFonts w:ascii="Sylfaen" w:hAnsi="Sylfaen" w:cs="Sylfaen"/>
        </w:rPr>
        <w:t>შიდა</w:t>
      </w:r>
      <w:proofErr w:type="spellEnd"/>
      <w:r w:rsidRPr="0011076B">
        <w:rPr>
          <w:rFonts w:ascii="Sylfaen" w:hAnsi="Sylfaen" w:cs="Sylfaen"/>
        </w:rPr>
        <w:t xml:space="preserve"> </w:t>
      </w:r>
      <w:proofErr w:type="spellStart"/>
      <w:r w:rsidRPr="0011076B">
        <w:rPr>
          <w:rFonts w:ascii="Sylfaen" w:hAnsi="Sylfaen" w:cs="Sylfaen"/>
        </w:rPr>
        <w:t>ქართლში</w:t>
      </w:r>
      <w:proofErr w:type="spellEnd"/>
      <w:r w:rsidRPr="0011076B">
        <w:rPr>
          <w:rFonts w:ascii="Sylfaen" w:hAnsi="Sylfaen" w:cs="Sylfaen"/>
        </w:rPr>
        <w:t xml:space="preserve">, </w:t>
      </w:r>
      <w:proofErr w:type="spellStart"/>
      <w:r w:rsidRPr="0011076B">
        <w:rPr>
          <w:rFonts w:ascii="Sylfaen" w:hAnsi="Sylfaen" w:cs="Sylfaen"/>
        </w:rPr>
        <w:t>ქვემო</w:t>
      </w:r>
      <w:proofErr w:type="spellEnd"/>
      <w:r w:rsidRPr="0011076B">
        <w:rPr>
          <w:rFonts w:ascii="Sylfaen" w:hAnsi="Sylfaen" w:cs="Sylfaen"/>
        </w:rPr>
        <w:t xml:space="preserve"> </w:t>
      </w:r>
      <w:proofErr w:type="spellStart"/>
      <w:r w:rsidRPr="0011076B">
        <w:rPr>
          <w:rFonts w:ascii="Sylfaen" w:hAnsi="Sylfaen" w:cs="Sylfaen"/>
        </w:rPr>
        <w:t>ქართლსა</w:t>
      </w:r>
      <w:proofErr w:type="spellEnd"/>
      <w:r w:rsidRPr="0011076B">
        <w:rPr>
          <w:rFonts w:ascii="Sylfaen" w:hAnsi="Sylfaen" w:cs="Sylfaen"/>
        </w:rPr>
        <w:t xml:space="preserve"> </w:t>
      </w:r>
      <w:proofErr w:type="spellStart"/>
      <w:r w:rsidRPr="0011076B">
        <w:rPr>
          <w:rFonts w:ascii="Sylfaen" w:hAnsi="Sylfaen" w:cs="Sylfaen"/>
        </w:rPr>
        <w:t>და</w:t>
      </w:r>
      <w:proofErr w:type="spellEnd"/>
      <w:r w:rsidRPr="0011076B">
        <w:rPr>
          <w:rFonts w:ascii="Sylfaen" w:hAnsi="Sylfaen" w:cs="Sylfaen"/>
        </w:rPr>
        <w:t xml:space="preserve"> </w:t>
      </w:r>
      <w:proofErr w:type="spellStart"/>
      <w:r w:rsidRPr="0011076B">
        <w:rPr>
          <w:rFonts w:ascii="Sylfaen" w:hAnsi="Sylfaen" w:cs="Sylfaen"/>
        </w:rPr>
        <w:t>მცხეთა-მთიანეთში</w:t>
      </w:r>
      <w:proofErr w:type="spellEnd"/>
      <w:r w:rsidRPr="0011076B">
        <w:rPr>
          <w:rFonts w:ascii="Sylfaen" w:hAnsi="Sylfaen" w:cs="Sylfaen"/>
        </w:rPr>
        <w:t xml:space="preserve"> </w:t>
      </w:r>
      <w:proofErr w:type="spellStart"/>
      <w:r w:rsidRPr="0011076B">
        <w:rPr>
          <w:rFonts w:ascii="Sylfaen" w:hAnsi="Sylfaen" w:cs="Sylfaen"/>
        </w:rPr>
        <w:t>აღინიშნება</w:t>
      </w:r>
      <w:proofErr w:type="spellEnd"/>
      <w:r w:rsidRPr="0011076B">
        <w:rPr>
          <w:rFonts w:ascii="Sylfaen" w:hAnsi="Sylfaen" w:cs="Sylfaen"/>
        </w:rPr>
        <w:t xml:space="preserve"> </w:t>
      </w:r>
      <w:proofErr w:type="spellStart"/>
      <w:r w:rsidRPr="0011076B">
        <w:rPr>
          <w:rFonts w:ascii="Sylfaen" w:hAnsi="Sylfaen" w:cs="Sylfaen"/>
        </w:rPr>
        <w:t>ცხოველებში</w:t>
      </w:r>
      <w:proofErr w:type="spellEnd"/>
      <w:r w:rsidRPr="0011076B">
        <w:rPr>
          <w:rFonts w:ascii="Sylfaen" w:hAnsi="Sylfaen" w:cs="Sylfaen"/>
        </w:rPr>
        <w:t xml:space="preserve"> </w:t>
      </w:r>
      <w:proofErr w:type="spellStart"/>
      <w:r w:rsidRPr="0011076B">
        <w:rPr>
          <w:rFonts w:ascii="Sylfaen" w:hAnsi="Sylfaen" w:cs="Sylfaen"/>
        </w:rPr>
        <w:t>დადასტურებული</w:t>
      </w:r>
      <w:proofErr w:type="spellEnd"/>
      <w:r w:rsidRPr="0011076B">
        <w:rPr>
          <w:rFonts w:ascii="Sylfaen" w:hAnsi="Sylfaen" w:cs="Sylfaen"/>
        </w:rPr>
        <w:t xml:space="preserve"> </w:t>
      </w:r>
      <w:proofErr w:type="spellStart"/>
      <w:r w:rsidRPr="0011076B">
        <w:rPr>
          <w:rFonts w:ascii="Sylfaen" w:hAnsi="Sylfaen" w:cs="Sylfaen"/>
        </w:rPr>
        <w:t>ცოფის</w:t>
      </w:r>
      <w:proofErr w:type="spellEnd"/>
      <w:r w:rsidRPr="0011076B">
        <w:rPr>
          <w:rFonts w:ascii="Sylfaen" w:hAnsi="Sylfaen" w:cs="Sylfaen"/>
        </w:rPr>
        <w:t xml:space="preserve"> </w:t>
      </w:r>
      <w:proofErr w:type="spellStart"/>
      <w:r w:rsidRPr="0011076B">
        <w:rPr>
          <w:rFonts w:ascii="Sylfaen" w:hAnsi="Sylfaen" w:cs="Sylfaen"/>
        </w:rPr>
        <w:t>შემთხვევათა</w:t>
      </w:r>
      <w:proofErr w:type="spellEnd"/>
      <w:r w:rsidRPr="0011076B">
        <w:rPr>
          <w:rFonts w:ascii="Sylfaen" w:hAnsi="Sylfaen" w:cs="Sylfaen"/>
        </w:rPr>
        <w:t xml:space="preserve"> </w:t>
      </w:r>
      <w:proofErr w:type="spellStart"/>
      <w:r w:rsidRPr="0011076B">
        <w:rPr>
          <w:rFonts w:ascii="Sylfaen" w:hAnsi="Sylfaen" w:cs="Sylfaen"/>
        </w:rPr>
        <w:t>კლება</w:t>
      </w:r>
      <w:proofErr w:type="spellEnd"/>
      <w:r w:rsidRPr="0011076B">
        <w:rPr>
          <w:rFonts w:ascii="Sylfaen" w:hAnsi="Sylfaen" w:cs="Sylfaen"/>
        </w:rPr>
        <w:t xml:space="preserve">, </w:t>
      </w:r>
      <w:proofErr w:type="spellStart"/>
      <w:r w:rsidRPr="0011076B">
        <w:rPr>
          <w:rFonts w:ascii="Sylfaen" w:hAnsi="Sylfaen" w:cs="Sylfaen"/>
        </w:rPr>
        <w:t>ხოლო</w:t>
      </w:r>
      <w:proofErr w:type="spellEnd"/>
      <w:r w:rsidRPr="0011076B">
        <w:rPr>
          <w:rFonts w:ascii="Sylfaen" w:hAnsi="Sylfaen" w:cs="Sylfaen"/>
        </w:rPr>
        <w:t xml:space="preserve"> </w:t>
      </w:r>
      <w:proofErr w:type="spellStart"/>
      <w:r w:rsidRPr="0011076B">
        <w:rPr>
          <w:rFonts w:ascii="Sylfaen" w:hAnsi="Sylfaen" w:cs="Sylfaen"/>
        </w:rPr>
        <w:t>რაჭა-ლეჩხუმში</w:t>
      </w:r>
      <w:proofErr w:type="spellEnd"/>
      <w:r>
        <w:rPr>
          <w:rFonts w:ascii="Sylfaen" w:hAnsi="Sylfaen" w:cs="Sylfaen"/>
          <w:lang w:val="ka-GE"/>
        </w:rPr>
        <w:t xml:space="preserve"> </w:t>
      </w:r>
      <w:proofErr w:type="spellStart"/>
      <w:r w:rsidRPr="0011076B">
        <w:rPr>
          <w:rFonts w:ascii="Sylfaen" w:hAnsi="Sylfaen" w:cs="Sylfaen"/>
        </w:rPr>
        <w:t>სამივე</w:t>
      </w:r>
      <w:proofErr w:type="spellEnd"/>
      <w:r w:rsidRPr="0011076B">
        <w:rPr>
          <w:rFonts w:ascii="Sylfaen" w:hAnsi="Sylfaen" w:cs="Sylfaen"/>
        </w:rPr>
        <w:t xml:space="preserve"> </w:t>
      </w:r>
      <w:proofErr w:type="spellStart"/>
      <w:r w:rsidRPr="0011076B">
        <w:rPr>
          <w:rFonts w:ascii="Sylfaen" w:hAnsi="Sylfaen" w:cs="Sylfaen"/>
        </w:rPr>
        <w:t>საანგარიშო</w:t>
      </w:r>
      <w:proofErr w:type="spellEnd"/>
      <w:r w:rsidRPr="0011076B">
        <w:rPr>
          <w:rFonts w:ascii="Sylfaen" w:hAnsi="Sylfaen" w:cs="Sylfaen"/>
        </w:rPr>
        <w:t xml:space="preserve"> </w:t>
      </w:r>
      <w:proofErr w:type="spellStart"/>
      <w:r w:rsidRPr="0011076B">
        <w:rPr>
          <w:rFonts w:ascii="Sylfaen" w:hAnsi="Sylfaen" w:cs="Sylfaen"/>
        </w:rPr>
        <w:t>წელს</w:t>
      </w:r>
      <w:proofErr w:type="spellEnd"/>
      <w:r w:rsidRPr="0011076B">
        <w:rPr>
          <w:rFonts w:ascii="Sylfaen" w:hAnsi="Sylfaen" w:cs="Sylfaen"/>
        </w:rPr>
        <w:t xml:space="preserve">  </w:t>
      </w:r>
      <w:proofErr w:type="spellStart"/>
      <w:r w:rsidRPr="0011076B">
        <w:rPr>
          <w:rFonts w:ascii="Sylfaen" w:hAnsi="Sylfaen" w:cs="Sylfaen"/>
        </w:rPr>
        <w:t>ცხოველებში</w:t>
      </w:r>
      <w:proofErr w:type="spellEnd"/>
      <w:r w:rsidRPr="0011076B">
        <w:rPr>
          <w:rFonts w:ascii="Sylfaen" w:hAnsi="Sylfaen" w:cs="Sylfaen"/>
        </w:rPr>
        <w:t xml:space="preserve"> </w:t>
      </w:r>
      <w:proofErr w:type="spellStart"/>
      <w:r w:rsidRPr="0011076B">
        <w:rPr>
          <w:rFonts w:ascii="Sylfaen" w:hAnsi="Sylfaen" w:cs="Sylfaen"/>
        </w:rPr>
        <w:t>ცოფის</w:t>
      </w:r>
      <w:proofErr w:type="spellEnd"/>
      <w:r w:rsidRPr="0011076B">
        <w:rPr>
          <w:rFonts w:ascii="Sylfaen" w:hAnsi="Sylfaen" w:cs="Sylfaen"/>
        </w:rPr>
        <w:t xml:space="preserve"> </w:t>
      </w:r>
      <w:proofErr w:type="spellStart"/>
      <w:r w:rsidRPr="0011076B">
        <w:rPr>
          <w:rFonts w:ascii="Sylfaen" w:hAnsi="Sylfaen" w:cs="Sylfaen"/>
        </w:rPr>
        <w:t>ლაბორატორიული</w:t>
      </w:r>
      <w:proofErr w:type="spellEnd"/>
      <w:r w:rsidRPr="0011076B">
        <w:rPr>
          <w:rFonts w:ascii="Sylfaen" w:hAnsi="Sylfaen" w:cs="Sylfaen"/>
        </w:rPr>
        <w:t xml:space="preserve"> </w:t>
      </w:r>
      <w:proofErr w:type="spellStart"/>
      <w:r w:rsidRPr="0011076B">
        <w:rPr>
          <w:rFonts w:ascii="Sylfaen" w:hAnsi="Sylfaen" w:cs="Sylfaen"/>
        </w:rPr>
        <w:t>დადასტურება</w:t>
      </w:r>
      <w:proofErr w:type="spellEnd"/>
      <w:r w:rsidRPr="0011076B">
        <w:rPr>
          <w:rFonts w:ascii="Sylfaen" w:hAnsi="Sylfaen" w:cs="Sylfaen"/>
        </w:rPr>
        <w:t xml:space="preserve"> </w:t>
      </w:r>
      <w:proofErr w:type="spellStart"/>
      <w:r w:rsidRPr="0011076B">
        <w:rPr>
          <w:rFonts w:ascii="Sylfaen" w:hAnsi="Sylfaen" w:cs="Sylfaen"/>
        </w:rPr>
        <w:t>არ</w:t>
      </w:r>
      <w:proofErr w:type="spellEnd"/>
      <w:r w:rsidRPr="0011076B">
        <w:rPr>
          <w:rFonts w:ascii="Sylfaen" w:hAnsi="Sylfaen" w:cs="Sylfaen"/>
        </w:rPr>
        <w:t xml:space="preserve"> </w:t>
      </w:r>
      <w:proofErr w:type="spellStart"/>
      <w:r w:rsidRPr="0011076B">
        <w:rPr>
          <w:rFonts w:ascii="Sylfaen" w:hAnsi="Sylfaen" w:cs="Sylfaen"/>
        </w:rPr>
        <w:t>დაფიქსირებულა</w:t>
      </w:r>
      <w:proofErr w:type="spellEnd"/>
      <w:r w:rsidRPr="0011076B">
        <w:rPr>
          <w:rFonts w:ascii="Sylfaen" w:hAnsi="Sylfaen" w:cs="Sylfaen"/>
        </w:rPr>
        <w:t>.</w:t>
      </w:r>
    </w:p>
    <w:p w:rsidR="00417D78" w:rsidRDefault="004B266A" w:rsidP="00417D78">
      <w:pPr>
        <w:ind w:left="720"/>
        <w:jc w:val="both"/>
        <w:rPr>
          <w:rFonts w:ascii="Sylfaen" w:hAnsi="Sylfaen"/>
          <w:lang w:val="ka-GE"/>
        </w:rPr>
      </w:pPr>
      <w:r>
        <w:rPr>
          <w:rFonts w:ascii="Sylfaen" w:hAnsi="Sylfaen"/>
          <w:lang w:val="ka-GE"/>
        </w:rPr>
        <w:t xml:space="preserve">პაციენტთა </w:t>
      </w:r>
      <w:r w:rsidR="00417D78">
        <w:rPr>
          <w:rFonts w:ascii="Sylfaen" w:hAnsi="Sylfaen"/>
          <w:lang w:val="ka-GE"/>
        </w:rPr>
        <w:t xml:space="preserve">მიმართვიანობასთან ერთად, </w:t>
      </w:r>
      <w:r w:rsidR="00417D78" w:rsidRPr="00417D78">
        <w:rPr>
          <w:rFonts w:ascii="Sylfaen" w:hAnsi="Sylfaen"/>
          <w:lang w:val="ka-GE"/>
        </w:rPr>
        <w:t xml:space="preserve">დანიშნული ანტირაბიული აცრების რაოდენობა მომატებულია გურიის, მცხეთა-მთიანეთის, იმერეთის, სამეგრელოს, ქვემო ქართლისა და რაჭა-ლეჩხუმის რეგიონებში. შემცირებულია აჭარისა და კახეთის რეგიონებში. </w:t>
      </w:r>
    </w:p>
    <w:p w:rsidR="00417D78" w:rsidRPr="00417D78" w:rsidRDefault="00222019" w:rsidP="00417D78">
      <w:pPr>
        <w:ind w:left="720"/>
        <w:jc w:val="both"/>
        <w:rPr>
          <w:rFonts w:ascii="Sylfaen" w:hAnsi="Sylfaen"/>
          <w:lang w:val="ka-GE"/>
        </w:rPr>
      </w:pPr>
      <w:r>
        <w:rPr>
          <w:rFonts w:ascii="Sylfaen" w:hAnsi="Sylfaen"/>
          <w:lang w:val="ka-GE"/>
        </w:rPr>
        <w:t xml:space="preserve">2015 წელს </w:t>
      </w:r>
      <w:r w:rsidR="00417D78" w:rsidRPr="00417D78">
        <w:rPr>
          <w:rFonts w:ascii="Sylfaen" w:hAnsi="Sylfaen"/>
          <w:lang w:val="ka-GE"/>
        </w:rPr>
        <w:t>პოსტექსპოზიციური ანტირაბიული ვაქცინაციის სრული კურსი დაინი</w:t>
      </w:r>
      <w:r w:rsidR="00417D78" w:rsidRPr="00417D78">
        <w:rPr>
          <w:rFonts w:ascii="Sylfaen" w:hAnsi="Sylfaen"/>
          <w:lang w:val="ka-GE"/>
        </w:rPr>
        <w:softHyphen/>
        <w:t xml:space="preserve">შნა 7,7%-ით მეტ შემთხვევაში,  </w:t>
      </w:r>
      <w:r>
        <w:rPr>
          <w:rFonts w:ascii="Sylfaen" w:hAnsi="Sylfaen"/>
          <w:lang w:val="ka-GE"/>
        </w:rPr>
        <w:t xml:space="preserve">ხოლო </w:t>
      </w:r>
      <w:r w:rsidR="00417D78" w:rsidRPr="00417D78">
        <w:rPr>
          <w:rFonts w:ascii="Sylfaen" w:hAnsi="Sylfaen"/>
          <w:lang w:val="ka-GE"/>
        </w:rPr>
        <w:t>აცრების პირობითი კურსი</w:t>
      </w:r>
      <w:r>
        <w:rPr>
          <w:rFonts w:ascii="Sylfaen" w:hAnsi="Sylfaen"/>
          <w:lang w:val="ka-GE"/>
        </w:rPr>
        <w:t>-</w:t>
      </w:r>
      <w:r w:rsidR="00417D78" w:rsidRPr="00417D78">
        <w:rPr>
          <w:rFonts w:ascii="Sylfaen" w:hAnsi="Sylfaen"/>
          <w:lang w:val="ka-GE"/>
        </w:rPr>
        <w:t xml:space="preserve">12,9%-ით მეტ შემთხვევაში, ვიდრე </w:t>
      </w:r>
      <w:r w:rsidR="00417D78">
        <w:rPr>
          <w:rFonts w:ascii="Sylfaen" w:hAnsi="Sylfaen"/>
          <w:lang w:val="ka-GE"/>
        </w:rPr>
        <w:t xml:space="preserve"> </w:t>
      </w:r>
      <w:r w:rsidR="00417D78" w:rsidRPr="00417D78">
        <w:rPr>
          <w:rFonts w:ascii="Sylfaen" w:hAnsi="Sylfaen"/>
          <w:lang w:val="ka-GE"/>
        </w:rPr>
        <w:t xml:space="preserve">2014 წელს. ანტირაბიული პროფილაქტიკა </w:t>
      </w:r>
      <w:r>
        <w:rPr>
          <w:rFonts w:ascii="Sylfaen" w:hAnsi="Sylfaen"/>
          <w:lang w:val="ka-GE"/>
        </w:rPr>
        <w:t xml:space="preserve">2015 წელს </w:t>
      </w:r>
      <w:r w:rsidR="00417D78" w:rsidRPr="00417D78">
        <w:rPr>
          <w:rFonts w:ascii="Sylfaen" w:hAnsi="Sylfaen"/>
          <w:lang w:val="ka-GE"/>
        </w:rPr>
        <w:t>სულ დაინიშნა 52738 შე</w:t>
      </w:r>
      <w:r w:rsidR="00417D78" w:rsidRPr="00417D78">
        <w:rPr>
          <w:rFonts w:ascii="Sylfaen" w:hAnsi="Sylfaen"/>
          <w:lang w:val="ka-GE"/>
        </w:rPr>
        <w:softHyphen/>
      </w:r>
      <w:r w:rsidR="00417D78" w:rsidRPr="00417D78">
        <w:rPr>
          <w:rFonts w:ascii="Sylfaen" w:hAnsi="Sylfaen"/>
          <w:lang w:val="ka-GE"/>
        </w:rPr>
        <w:softHyphen/>
        <w:t>მ</w:t>
      </w:r>
      <w:r w:rsidR="00417D78" w:rsidRPr="00417D78">
        <w:rPr>
          <w:rFonts w:ascii="Sylfaen" w:hAnsi="Sylfaen"/>
          <w:lang w:val="ka-GE"/>
        </w:rPr>
        <w:softHyphen/>
        <w:t>თხვევაში</w:t>
      </w:r>
      <w:r>
        <w:rPr>
          <w:rFonts w:ascii="Sylfaen" w:hAnsi="Sylfaen"/>
          <w:lang w:val="ka-GE"/>
        </w:rPr>
        <w:t>-</w:t>
      </w:r>
      <w:r w:rsidR="00417D78" w:rsidRPr="00417D78">
        <w:rPr>
          <w:rFonts w:ascii="Sylfaen" w:hAnsi="Sylfaen"/>
          <w:lang w:val="ka-GE"/>
        </w:rPr>
        <w:t>დაზარალებულთა 92,3%; კომბინირებული ანტირაბიული პროფილაქტიკა (ვაქცინა+იმუნოგლობულინი) დაენიშნა დაზარალებულთა</w:t>
      </w:r>
      <w:r w:rsidR="00417D78">
        <w:rPr>
          <w:rFonts w:ascii="Sylfaen" w:hAnsi="Sylfaen"/>
          <w:lang w:val="ka-GE"/>
        </w:rPr>
        <w:t xml:space="preserve"> </w:t>
      </w:r>
      <w:r w:rsidR="00417D78" w:rsidRPr="00417D78">
        <w:rPr>
          <w:rFonts w:ascii="Sylfaen" w:hAnsi="Sylfaen"/>
          <w:lang w:val="ka-GE"/>
        </w:rPr>
        <w:t>20,3%-ს.</w:t>
      </w:r>
    </w:p>
    <w:p w:rsidR="00417D78" w:rsidRDefault="00417D78" w:rsidP="00417D78">
      <w:pPr>
        <w:jc w:val="both"/>
        <w:rPr>
          <w:rFonts w:ascii="Sylfaen" w:hAnsi="Sylfaen"/>
          <w:color w:val="FF0000"/>
          <w:lang w:val="ka-GE"/>
        </w:rPr>
      </w:pPr>
    </w:p>
    <w:p w:rsidR="00417D78" w:rsidRPr="0011076B" w:rsidRDefault="00417D78" w:rsidP="00417D78">
      <w:pPr>
        <w:ind w:firstLine="720"/>
        <w:jc w:val="both"/>
        <w:rPr>
          <w:rFonts w:ascii="Sylfaen" w:hAnsi="Sylfaen"/>
          <w:color w:val="FF0000"/>
        </w:rPr>
      </w:pPr>
    </w:p>
    <w:p w:rsidR="005D1EC9" w:rsidRDefault="005D1EC9" w:rsidP="005D1EC9">
      <w:pPr>
        <w:ind w:left="720"/>
        <w:jc w:val="both"/>
        <w:rPr>
          <w:rFonts w:ascii="Sylfaen" w:hAnsi="Sylfaen"/>
          <w:lang w:val="ka-GE"/>
        </w:rPr>
      </w:pPr>
      <w:r>
        <w:rPr>
          <w:rFonts w:ascii="Sylfaen" w:hAnsi="Sylfaen"/>
          <w:lang w:val="ka-GE"/>
        </w:rPr>
        <w:lastRenderedPageBreak/>
        <w:t>ცოფის პრევენციის მიზნით სახელმწიფოს მხრ</w:t>
      </w:r>
      <w:r w:rsidR="006A2D5D">
        <w:rPr>
          <w:rFonts w:ascii="Sylfaen" w:hAnsi="Sylfaen"/>
          <w:lang w:val="ka-GE"/>
        </w:rPr>
        <w:t>ი</w:t>
      </w:r>
      <w:r>
        <w:rPr>
          <w:rFonts w:ascii="Sylfaen" w:hAnsi="Sylfaen"/>
          <w:lang w:val="ka-GE"/>
        </w:rPr>
        <w:t>დან განხორციელებული აქტივობები:</w:t>
      </w:r>
    </w:p>
    <w:p w:rsidR="005D1EC9" w:rsidRPr="004B174A" w:rsidRDefault="005D1EC9" w:rsidP="004B174A">
      <w:pPr>
        <w:pStyle w:val="ListParagraph"/>
        <w:numPr>
          <w:ilvl w:val="0"/>
          <w:numId w:val="5"/>
        </w:numPr>
        <w:jc w:val="both"/>
        <w:rPr>
          <w:rFonts w:ascii="Sylfaen" w:hAnsi="Sylfaen"/>
          <w:lang w:val="ka-GE"/>
        </w:rPr>
      </w:pPr>
      <w:r w:rsidRPr="004B174A">
        <w:rPr>
          <w:rFonts w:ascii="Sylfaen" w:hAnsi="Sylfaen"/>
          <w:lang w:val="ka-GE"/>
        </w:rPr>
        <w:t>2014 წლის 14 აპრილს დამტკიცდა საქართველოს მთავრობის განკარგულება ,,ცოფის პრევენციის მიზნით 2014-2018 წლებში გასატარებელი ღონისძიებების შესახებ“.</w:t>
      </w:r>
    </w:p>
    <w:p w:rsidR="005D1EC9" w:rsidRDefault="005D1EC9" w:rsidP="005D1EC9">
      <w:pPr>
        <w:ind w:left="720"/>
        <w:jc w:val="both"/>
        <w:rPr>
          <w:rFonts w:ascii="Sylfaen" w:hAnsi="Sylfaen"/>
          <w:lang w:val="ka-GE"/>
        </w:rPr>
      </w:pPr>
      <w:r>
        <w:rPr>
          <w:rFonts w:ascii="Sylfaen" w:hAnsi="Sylfaen"/>
          <w:lang w:val="ka-GE"/>
        </w:rPr>
        <w:t>განკარგულების ფარგლებში განისაზღვრა საქართველოს მთავრობის, მათ შორის სოფლის მეურნეობის სამინისტროს, გარემოსა და ბუნებრივი რესურსების დაცვის სამინისტროს, შრომის, ჯანმრთელობისა და სოციალური დაცვის სამინისტროს, რეგიონული განვითარებისა და ინფრასტრუქტურის სამინისტროს, ავტონომიური რესპუბლიკების ხელისუფლებისა და ადგილობრივი თვითმმართველობის ორგანოების ვალდებულებები და 2014-2018 წლებში განსახორციელებელი ღონისძიებები.</w:t>
      </w:r>
    </w:p>
    <w:p w:rsidR="005D1EC9" w:rsidRDefault="005D1EC9" w:rsidP="004B174A">
      <w:pPr>
        <w:pStyle w:val="ListParagraph"/>
        <w:numPr>
          <w:ilvl w:val="0"/>
          <w:numId w:val="5"/>
        </w:numPr>
        <w:jc w:val="both"/>
        <w:rPr>
          <w:rFonts w:ascii="Sylfaen" w:hAnsi="Sylfaen"/>
          <w:lang w:val="ka-GE"/>
        </w:rPr>
      </w:pPr>
      <w:r w:rsidRPr="004B174A">
        <w:rPr>
          <w:rFonts w:ascii="Sylfaen" w:hAnsi="Sylfaen" w:cs="Sylfaen"/>
          <w:lang w:val="ka-GE"/>
        </w:rPr>
        <w:t>ზემოაღნიშნული</w:t>
      </w:r>
      <w:r w:rsidRPr="004B174A">
        <w:rPr>
          <w:rFonts w:ascii="Sylfaen" w:hAnsi="Sylfaen"/>
          <w:lang w:val="ka-GE"/>
        </w:rPr>
        <w:t xml:space="preserve"> განკარგულების შესაბამისად, საქართველოს შრომის, ჯანმრთელობისა და სოციალური დაცვის მინისტრის </w:t>
      </w:r>
      <w:r w:rsidR="00E87572" w:rsidRPr="004B174A">
        <w:rPr>
          <w:rFonts w:ascii="Sylfaen" w:hAnsi="Sylfaen"/>
          <w:lang w:val="ka-GE"/>
        </w:rPr>
        <w:t>01.12.2014წ N01-310/ო და 22.01.2015წ N01-14/ო ბრძანებებით დამტკიცდა შესაბამისად, ანტირაბიული სამედიცინო დახმარების პროტოკოლი და ანტირაბიული სამედიცინო დახმარების გაიდლაინი.</w:t>
      </w:r>
    </w:p>
    <w:p w:rsidR="004B174A" w:rsidRPr="004B174A" w:rsidRDefault="004B174A" w:rsidP="004B174A">
      <w:pPr>
        <w:pStyle w:val="ListParagraph"/>
        <w:ind w:left="1170"/>
        <w:jc w:val="both"/>
        <w:rPr>
          <w:rFonts w:ascii="Sylfaen" w:hAnsi="Sylfaen"/>
          <w:lang w:val="ka-GE"/>
        </w:rPr>
      </w:pPr>
    </w:p>
    <w:p w:rsidR="004B174A" w:rsidRDefault="004B174A" w:rsidP="004B174A">
      <w:pPr>
        <w:pStyle w:val="ListParagraph"/>
        <w:jc w:val="both"/>
        <w:rPr>
          <w:rFonts w:ascii="Sylfaen" w:hAnsi="Sylfaen"/>
          <w:lang w:val="ka-GE"/>
        </w:rPr>
      </w:pPr>
      <w:r>
        <w:rPr>
          <w:rFonts w:ascii="Sylfaen" w:hAnsi="Sylfaen"/>
          <w:lang w:val="ka-GE"/>
        </w:rPr>
        <w:t xml:space="preserve">აღნიშნული გაიდლაინისა და პროტოკოლის მიხედვით </w:t>
      </w:r>
      <w:r w:rsidRPr="00EE54C8">
        <w:rPr>
          <w:rFonts w:ascii="Sylfaen" w:hAnsi="Sylfaen"/>
          <w:lang w:val="ka-GE"/>
        </w:rPr>
        <w:t>პროფილაქტიკური  ვაქცინაცია  (PEP)  და საჭიროების შემთხვევაში, იმუნოგლობულინით მკურნალობა</w:t>
      </w:r>
      <w:r>
        <w:rPr>
          <w:rFonts w:ascii="Sylfaen" w:hAnsi="Sylfaen"/>
          <w:lang w:val="ka-GE"/>
        </w:rPr>
        <w:t xml:space="preserve"> </w:t>
      </w:r>
      <w:r w:rsidRPr="00EE54C8">
        <w:rPr>
          <w:rFonts w:ascii="Sylfaen" w:hAnsi="Sylfaen"/>
          <w:lang w:val="ka-GE"/>
        </w:rPr>
        <w:t>უნდა დაიწყოს</w:t>
      </w:r>
      <w:r>
        <w:rPr>
          <w:rFonts w:ascii="Sylfaen" w:hAnsi="Sylfaen"/>
          <w:lang w:val="ka-GE"/>
        </w:rPr>
        <w:t xml:space="preserve"> </w:t>
      </w:r>
      <w:r w:rsidRPr="00EE54C8">
        <w:rPr>
          <w:rFonts w:ascii="Sylfaen" w:hAnsi="Sylfaen"/>
          <w:lang w:val="ka-GE"/>
        </w:rPr>
        <w:t xml:space="preserve">დაუყოვნებლივ  </w:t>
      </w:r>
      <w:r>
        <w:rPr>
          <w:rFonts w:ascii="Sylfaen" w:hAnsi="Sylfaen"/>
          <w:lang w:val="ka-GE"/>
        </w:rPr>
        <w:t>(უკუჩვენება არ გააჩნია)</w:t>
      </w:r>
      <w:r w:rsidRPr="00EE54C8">
        <w:rPr>
          <w:rFonts w:ascii="Sylfaen" w:hAnsi="Sylfaen"/>
          <w:lang w:val="ka-GE"/>
        </w:rPr>
        <w:t>.  არ  შეიძლება  მისი  დაყოვნება  ან  გადადება</w:t>
      </w:r>
      <w:r>
        <w:rPr>
          <w:rFonts w:ascii="Sylfaen" w:hAnsi="Sylfaen"/>
          <w:lang w:val="ka-GE"/>
        </w:rPr>
        <w:t xml:space="preserve"> (ცხოველზე დაკვირვების მიზნით)</w:t>
      </w:r>
      <w:r w:rsidRPr="00EE54C8">
        <w:rPr>
          <w:rFonts w:ascii="Sylfaen" w:hAnsi="Sylfaen"/>
          <w:lang w:val="ka-GE"/>
        </w:rPr>
        <w:t xml:space="preserve">.  </w:t>
      </w:r>
    </w:p>
    <w:p w:rsidR="004B174A" w:rsidRDefault="004B174A">
      <w:pPr>
        <w:rPr>
          <w:rFonts w:ascii="Sylfaen" w:hAnsi="Sylfaen"/>
        </w:rPr>
      </w:pPr>
    </w:p>
    <w:tbl>
      <w:tblPr>
        <w:tblStyle w:val="TableGrid"/>
        <w:tblW w:w="0" w:type="auto"/>
        <w:tblLook w:val="04A0" w:firstRow="1" w:lastRow="0" w:firstColumn="1" w:lastColumn="0" w:noHBand="0" w:noVBand="1"/>
      </w:tblPr>
      <w:tblGrid>
        <w:gridCol w:w="1559"/>
        <w:gridCol w:w="4825"/>
        <w:gridCol w:w="3192"/>
      </w:tblGrid>
      <w:tr w:rsidR="004B174A" w:rsidTr="004B23D3">
        <w:tc>
          <w:tcPr>
            <w:tcW w:w="1559" w:type="dxa"/>
          </w:tcPr>
          <w:p w:rsidR="004B174A" w:rsidRPr="00A5032C" w:rsidRDefault="004B174A" w:rsidP="004B23D3">
            <w:pPr>
              <w:jc w:val="center"/>
              <w:rPr>
                <w:rFonts w:ascii="Sylfaen" w:hAnsi="Sylfaen"/>
                <w:b/>
                <w:sz w:val="20"/>
                <w:szCs w:val="20"/>
                <w:lang w:val="ka-GE"/>
              </w:rPr>
            </w:pPr>
            <w:r w:rsidRPr="00A5032C">
              <w:rPr>
                <w:rFonts w:ascii="Sylfaen" w:hAnsi="Sylfaen"/>
                <w:b/>
                <w:sz w:val="20"/>
                <w:szCs w:val="20"/>
                <w:lang w:val="ka-GE"/>
              </w:rPr>
              <w:t>ექსპოზიციის  კატეგორია</w:t>
            </w:r>
          </w:p>
        </w:tc>
        <w:tc>
          <w:tcPr>
            <w:tcW w:w="4825" w:type="dxa"/>
          </w:tcPr>
          <w:p w:rsidR="004B174A" w:rsidRPr="00A5032C" w:rsidRDefault="004B174A" w:rsidP="004B23D3">
            <w:pPr>
              <w:jc w:val="center"/>
              <w:rPr>
                <w:rFonts w:ascii="Sylfaen" w:hAnsi="Sylfaen"/>
                <w:b/>
                <w:sz w:val="20"/>
                <w:szCs w:val="20"/>
                <w:lang w:val="ka-GE"/>
              </w:rPr>
            </w:pPr>
            <w:r w:rsidRPr="00A5032C">
              <w:rPr>
                <w:rFonts w:ascii="Sylfaen" w:hAnsi="Sylfaen"/>
                <w:b/>
                <w:sz w:val="20"/>
                <w:szCs w:val="20"/>
                <w:lang w:val="ka-GE"/>
              </w:rPr>
              <w:t>ცოფზე საეჭვო ცხოველთან ექსპოზიციის ტიპი</w:t>
            </w:r>
          </w:p>
        </w:tc>
        <w:tc>
          <w:tcPr>
            <w:tcW w:w="3192" w:type="dxa"/>
          </w:tcPr>
          <w:p w:rsidR="004B174A" w:rsidRPr="00A5032C" w:rsidRDefault="004B174A" w:rsidP="004B23D3">
            <w:pPr>
              <w:jc w:val="center"/>
              <w:rPr>
                <w:rFonts w:ascii="Sylfaen" w:hAnsi="Sylfaen"/>
                <w:b/>
                <w:sz w:val="20"/>
                <w:szCs w:val="20"/>
                <w:lang w:val="ka-GE"/>
              </w:rPr>
            </w:pPr>
            <w:r w:rsidRPr="00A5032C">
              <w:rPr>
                <w:rFonts w:ascii="Sylfaen" w:hAnsi="Sylfaen"/>
                <w:b/>
                <w:sz w:val="20"/>
                <w:szCs w:val="20"/>
                <w:lang w:val="ka-GE"/>
              </w:rPr>
              <w:t>ექსპოზიციის შემდგომი</w:t>
            </w:r>
          </w:p>
          <w:p w:rsidR="004B174A" w:rsidRPr="00A5032C" w:rsidRDefault="004B174A" w:rsidP="004B23D3">
            <w:pPr>
              <w:jc w:val="center"/>
              <w:rPr>
                <w:rFonts w:ascii="Sylfaen" w:hAnsi="Sylfaen"/>
                <w:b/>
                <w:sz w:val="20"/>
                <w:szCs w:val="20"/>
                <w:lang w:val="ka-GE"/>
              </w:rPr>
            </w:pPr>
            <w:r w:rsidRPr="00A5032C">
              <w:rPr>
                <w:rFonts w:ascii="Sylfaen" w:hAnsi="Sylfaen"/>
                <w:b/>
                <w:sz w:val="20"/>
                <w:szCs w:val="20"/>
                <w:lang w:val="ka-GE"/>
              </w:rPr>
              <w:t>ღონისძიებები</w:t>
            </w:r>
          </w:p>
        </w:tc>
      </w:tr>
      <w:tr w:rsidR="004B174A" w:rsidTr="004B23D3">
        <w:tc>
          <w:tcPr>
            <w:tcW w:w="1559" w:type="dxa"/>
            <w:vAlign w:val="center"/>
          </w:tcPr>
          <w:p w:rsidR="004B174A" w:rsidRPr="00EE54C8" w:rsidRDefault="004B174A" w:rsidP="004B23D3">
            <w:pPr>
              <w:jc w:val="center"/>
              <w:rPr>
                <w:rFonts w:ascii="Sylfaen" w:hAnsi="Sylfaen"/>
                <w:lang w:val="ka-GE"/>
              </w:rPr>
            </w:pPr>
            <w:r w:rsidRPr="00EE54C8">
              <w:rPr>
                <w:rFonts w:ascii="Sylfaen" w:hAnsi="Sylfaen"/>
                <w:lang w:val="ka-GE"/>
              </w:rPr>
              <w:t>I</w:t>
            </w:r>
          </w:p>
          <w:p w:rsidR="004B174A" w:rsidRDefault="004B174A" w:rsidP="004B23D3">
            <w:pPr>
              <w:jc w:val="center"/>
              <w:rPr>
                <w:rFonts w:ascii="Sylfaen" w:hAnsi="Sylfaen"/>
                <w:lang w:val="ka-GE"/>
              </w:rPr>
            </w:pPr>
          </w:p>
        </w:tc>
        <w:tc>
          <w:tcPr>
            <w:tcW w:w="4825" w:type="dxa"/>
          </w:tcPr>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 xml:space="preserve">ცხოველთან  შეხება  ან  მისი  კვება/  მოვლა, </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დაუზიანებელი  კანის  ალოკვა,  დაუზიანებელი  კანის</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კონტამინაცია  ცოფით  დაავადებული  ცხოველის  ან</w:t>
            </w:r>
          </w:p>
          <w:p w:rsidR="004B174A" w:rsidRDefault="004B174A" w:rsidP="004B23D3">
            <w:pPr>
              <w:jc w:val="both"/>
              <w:rPr>
                <w:rFonts w:ascii="Sylfaen" w:hAnsi="Sylfaen"/>
                <w:lang w:val="ka-GE"/>
              </w:rPr>
            </w:pPr>
            <w:r w:rsidRPr="00A5032C">
              <w:rPr>
                <w:rFonts w:ascii="Sylfaen" w:hAnsi="Sylfaen"/>
                <w:sz w:val="18"/>
                <w:szCs w:val="18"/>
                <w:lang w:val="ka-GE"/>
              </w:rPr>
              <w:t>ადამიანის სეკრეტებით/ ექსკრეტებით</w:t>
            </w:r>
          </w:p>
        </w:tc>
        <w:tc>
          <w:tcPr>
            <w:tcW w:w="3192" w:type="dxa"/>
          </w:tcPr>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სრულყოფილი  ანამნეზის</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შემთხვევაში</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პროფილაქტიკური</w:t>
            </w:r>
          </w:p>
          <w:p w:rsidR="004B174A" w:rsidRDefault="004B174A" w:rsidP="004B23D3">
            <w:pPr>
              <w:jc w:val="both"/>
              <w:rPr>
                <w:rFonts w:ascii="Sylfaen" w:hAnsi="Sylfaen"/>
                <w:lang w:val="ka-GE"/>
              </w:rPr>
            </w:pPr>
            <w:r w:rsidRPr="00A5032C">
              <w:rPr>
                <w:rFonts w:ascii="Sylfaen" w:hAnsi="Sylfaen"/>
                <w:sz w:val="18"/>
                <w:szCs w:val="18"/>
                <w:lang w:val="ka-GE"/>
              </w:rPr>
              <w:t>ღონისძიებები არ ტარდება</w:t>
            </w:r>
          </w:p>
        </w:tc>
      </w:tr>
      <w:tr w:rsidR="004B174A" w:rsidTr="004B23D3">
        <w:tc>
          <w:tcPr>
            <w:tcW w:w="1559" w:type="dxa"/>
            <w:vAlign w:val="center"/>
          </w:tcPr>
          <w:p w:rsidR="004B174A" w:rsidRPr="00EE54C8" w:rsidRDefault="004B174A" w:rsidP="004B23D3">
            <w:pPr>
              <w:jc w:val="center"/>
              <w:rPr>
                <w:rFonts w:ascii="Sylfaen" w:hAnsi="Sylfaen"/>
                <w:lang w:val="ka-GE"/>
              </w:rPr>
            </w:pPr>
            <w:r w:rsidRPr="00EE54C8">
              <w:rPr>
                <w:rFonts w:ascii="Sylfaen" w:hAnsi="Sylfaen"/>
                <w:lang w:val="ka-GE"/>
              </w:rPr>
              <w:t>II</w:t>
            </w:r>
          </w:p>
          <w:p w:rsidR="004B174A" w:rsidRDefault="004B174A" w:rsidP="004B23D3">
            <w:pPr>
              <w:jc w:val="center"/>
              <w:rPr>
                <w:rFonts w:ascii="Sylfaen" w:hAnsi="Sylfaen"/>
                <w:lang w:val="ka-GE"/>
              </w:rPr>
            </w:pPr>
          </w:p>
        </w:tc>
        <w:tc>
          <w:tcPr>
            <w:tcW w:w="4825" w:type="dxa"/>
          </w:tcPr>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ზედაპირული  ნაკაწრები  ან  ექსკორიაციები  სისხლდენის</w:t>
            </w:r>
            <w:r>
              <w:rPr>
                <w:rFonts w:ascii="Sylfaen" w:hAnsi="Sylfaen"/>
                <w:sz w:val="18"/>
                <w:szCs w:val="18"/>
                <w:lang w:val="ka-GE"/>
              </w:rPr>
              <w:t xml:space="preserve"> </w:t>
            </w:r>
            <w:r w:rsidRPr="00A5032C">
              <w:rPr>
                <w:rFonts w:ascii="Sylfaen" w:hAnsi="Sylfaen"/>
                <w:sz w:val="18"/>
                <w:szCs w:val="18"/>
                <w:lang w:val="ka-GE"/>
              </w:rPr>
              <w:t>გარეშე,  ტანსაცმლისგან  თავისუფალი  დაზიანებული</w:t>
            </w:r>
            <w:r>
              <w:rPr>
                <w:rFonts w:ascii="Sylfaen" w:hAnsi="Sylfaen"/>
                <w:sz w:val="18"/>
                <w:szCs w:val="18"/>
                <w:lang w:val="ka-GE"/>
              </w:rPr>
              <w:t xml:space="preserve"> </w:t>
            </w:r>
            <w:r w:rsidRPr="00A5032C">
              <w:rPr>
                <w:rFonts w:ascii="Sylfaen" w:hAnsi="Sylfaen"/>
                <w:sz w:val="18"/>
                <w:szCs w:val="18"/>
                <w:lang w:val="ka-GE"/>
              </w:rPr>
              <w:t>კანის დანერწყვა</w:t>
            </w:r>
          </w:p>
        </w:tc>
        <w:tc>
          <w:tcPr>
            <w:tcW w:w="3192" w:type="dxa"/>
          </w:tcPr>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დაუყოვნებელი</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ვაქცინაცია</w:t>
            </w:r>
          </w:p>
          <w:p w:rsidR="004B174A" w:rsidRPr="00A5032C" w:rsidRDefault="004B174A" w:rsidP="004B23D3">
            <w:pPr>
              <w:rPr>
                <w:rFonts w:ascii="Sylfaen" w:hAnsi="Sylfaen"/>
                <w:sz w:val="18"/>
                <w:szCs w:val="18"/>
                <w:lang w:val="ka-GE"/>
              </w:rPr>
            </w:pPr>
          </w:p>
        </w:tc>
      </w:tr>
      <w:tr w:rsidR="004B174A" w:rsidTr="004B23D3">
        <w:tc>
          <w:tcPr>
            <w:tcW w:w="1559" w:type="dxa"/>
            <w:vAlign w:val="center"/>
          </w:tcPr>
          <w:p w:rsidR="004B174A" w:rsidRPr="00EE54C8" w:rsidRDefault="004B174A" w:rsidP="004B23D3">
            <w:pPr>
              <w:jc w:val="center"/>
              <w:rPr>
                <w:rFonts w:ascii="Sylfaen" w:hAnsi="Sylfaen"/>
                <w:lang w:val="ka-GE"/>
              </w:rPr>
            </w:pPr>
            <w:r w:rsidRPr="00EE54C8">
              <w:rPr>
                <w:rFonts w:ascii="Sylfaen" w:hAnsi="Sylfaen"/>
                <w:lang w:val="ka-GE"/>
              </w:rPr>
              <w:t>III</w:t>
            </w:r>
          </w:p>
          <w:p w:rsidR="004B174A" w:rsidRPr="00EE54C8" w:rsidRDefault="004B174A" w:rsidP="004B23D3">
            <w:pPr>
              <w:jc w:val="center"/>
              <w:rPr>
                <w:rFonts w:ascii="Sylfaen" w:hAnsi="Sylfaen"/>
                <w:lang w:val="ka-GE"/>
              </w:rPr>
            </w:pPr>
          </w:p>
        </w:tc>
        <w:tc>
          <w:tcPr>
            <w:tcW w:w="4825" w:type="dxa"/>
          </w:tcPr>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სისხლმდენი  ერთეული</w:t>
            </w:r>
            <w:r>
              <w:rPr>
                <w:rFonts w:ascii="Sylfaen" w:hAnsi="Sylfaen"/>
                <w:sz w:val="18"/>
                <w:szCs w:val="18"/>
                <w:lang w:val="ka-GE"/>
              </w:rPr>
              <w:t>/</w:t>
            </w:r>
            <w:r w:rsidRPr="00A5032C">
              <w:rPr>
                <w:rFonts w:ascii="Sylfaen" w:hAnsi="Sylfaen"/>
                <w:sz w:val="18"/>
                <w:szCs w:val="18"/>
                <w:lang w:val="ka-GE"/>
              </w:rPr>
              <w:t>მრავლობითი</w:t>
            </w:r>
            <w:r>
              <w:rPr>
                <w:rFonts w:ascii="Sylfaen" w:hAnsi="Sylfaen"/>
                <w:sz w:val="18"/>
                <w:szCs w:val="18"/>
                <w:lang w:val="ka-GE"/>
              </w:rPr>
              <w:t xml:space="preserve"> </w:t>
            </w:r>
            <w:r w:rsidRPr="00A5032C">
              <w:rPr>
                <w:rFonts w:ascii="Sylfaen" w:hAnsi="Sylfaen"/>
                <w:sz w:val="18"/>
                <w:szCs w:val="18"/>
                <w:lang w:val="ka-GE"/>
              </w:rPr>
              <w:t>ტრანსდერმული  ნაკბენი</w:t>
            </w:r>
            <w:r>
              <w:rPr>
                <w:rFonts w:ascii="Sylfaen" w:hAnsi="Sylfaen"/>
                <w:sz w:val="18"/>
                <w:szCs w:val="18"/>
                <w:lang w:val="ka-GE"/>
              </w:rPr>
              <w:t>/</w:t>
            </w:r>
            <w:r w:rsidRPr="00A5032C">
              <w:rPr>
                <w:rFonts w:ascii="Sylfaen" w:hAnsi="Sylfaen"/>
                <w:sz w:val="18"/>
                <w:szCs w:val="18"/>
                <w:lang w:val="ka-GE"/>
              </w:rPr>
              <w:t>ნაკაწრი,  დაზიანებული  კანის</w:t>
            </w:r>
            <w:r>
              <w:rPr>
                <w:rFonts w:ascii="Sylfaen" w:hAnsi="Sylfaen"/>
                <w:sz w:val="18"/>
                <w:szCs w:val="18"/>
                <w:lang w:val="ka-GE"/>
              </w:rPr>
              <w:t xml:space="preserve"> </w:t>
            </w:r>
            <w:r w:rsidRPr="00A5032C">
              <w:rPr>
                <w:rFonts w:ascii="Sylfaen" w:hAnsi="Sylfaen"/>
                <w:sz w:val="18"/>
                <w:szCs w:val="18"/>
                <w:lang w:val="ka-GE"/>
              </w:rPr>
              <w:t>დანერწყვა,  ლორწოვანი  გარსების  დაბინძურება</w:t>
            </w:r>
            <w:r>
              <w:rPr>
                <w:rFonts w:ascii="Sylfaen" w:hAnsi="Sylfaen"/>
                <w:sz w:val="18"/>
                <w:szCs w:val="18"/>
                <w:lang w:val="ka-GE"/>
              </w:rPr>
              <w:t xml:space="preserve"> </w:t>
            </w:r>
            <w:r w:rsidRPr="00A5032C">
              <w:rPr>
                <w:rFonts w:ascii="Sylfaen" w:hAnsi="Sylfaen"/>
                <w:sz w:val="18"/>
                <w:szCs w:val="18"/>
                <w:lang w:val="ka-GE"/>
              </w:rPr>
              <w:t>ნერწყვით,  ღამურასთან  კონტაქტი;  III  კატეგორიის</w:t>
            </w:r>
            <w:r>
              <w:rPr>
                <w:rFonts w:ascii="Sylfaen" w:hAnsi="Sylfaen"/>
                <w:sz w:val="18"/>
                <w:szCs w:val="18"/>
                <w:lang w:val="ka-GE"/>
              </w:rPr>
              <w:t xml:space="preserve"> </w:t>
            </w:r>
            <w:r w:rsidRPr="00A5032C">
              <w:rPr>
                <w:rFonts w:ascii="Sylfaen" w:hAnsi="Sylfaen"/>
                <w:sz w:val="18"/>
                <w:szCs w:val="18"/>
                <w:lang w:val="ka-GE"/>
              </w:rPr>
              <w:t xml:space="preserve">ექსპოზიციას  მიეკუთვნება </w:t>
            </w:r>
            <w:r>
              <w:rPr>
                <w:rFonts w:ascii="Sylfaen" w:hAnsi="Sylfaen"/>
                <w:sz w:val="18"/>
                <w:szCs w:val="18"/>
                <w:lang w:val="ka-GE"/>
              </w:rPr>
              <w:t>ასევე,</w:t>
            </w:r>
            <w:r w:rsidRPr="00A5032C">
              <w:rPr>
                <w:rFonts w:ascii="Sylfaen" w:hAnsi="Sylfaen"/>
                <w:sz w:val="18"/>
                <w:szCs w:val="18"/>
                <w:lang w:val="ka-GE"/>
              </w:rPr>
              <w:t xml:space="preserve"> თავზე,  კისერზე,  სახეზე,  ხელებსა  და</w:t>
            </w:r>
            <w:r>
              <w:rPr>
                <w:rFonts w:ascii="Sylfaen" w:hAnsi="Sylfaen"/>
                <w:sz w:val="18"/>
                <w:szCs w:val="18"/>
                <w:lang w:val="ka-GE"/>
              </w:rPr>
              <w:t xml:space="preserve"> </w:t>
            </w:r>
            <w:r w:rsidRPr="00A5032C">
              <w:rPr>
                <w:rFonts w:ascii="Sylfaen" w:hAnsi="Sylfaen"/>
                <w:sz w:val="18"/>
                <w:szCs w:val="18"/>
                <w:lang w:val="ka-GE"/>
              </w:rPr>
              <w:t>სასქესო  ორგანოებზე  ნაკბენები,  რომლებიც</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განსაკუთრებით  საყურადღებოა</w:t>
            </w:r>
          </w:p>
        </w:tc>
        <w:tc>
          <w:tcPr>
            <w:tcW w:w="3192" w:type="dxa"/>
          </w:tcPr>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დაუყოვნებელი  ვაქცინაცია</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და ჭრილობის</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ინფილტრაცია</w:t>
            </w:r>
          </w:p>
          <w:p w:rsidR="004B174A" w:rsidRPr="00A5032C" w:rsidRDefault="004B174A" w:rsidP="004B23D3">
            <w:pPr>
              <w:jc w:val="both"/>
              <w:rPr>
                <w:rFonts w:ascii="Sylfaen" w:hAnsi="Sylfaen"/>
                <w:sz w:val="18"/>
                <w:szCs w:val="18"/>
                <w:lang w:val="ka-GE"/>
              </w:rPr>
            </w:pPr>
            <w:r w:rsidRPr="00A5032C">
              <w:rPr>
                <w:rFonts w:ascii="Sylfaen" w:hAnsi="Sylfaen"/>
                <w:sz w:val="18"/>
                <w:szCs w:val="18"/>
                <w:lang w:val="ka-GE"/>
              </w:rPr>
              <w:t>იმუგლობულინით.</w:t>
            </w:r>
          </w:p>
          <w:p w:rsidR="004B174A" w:rsidRPr="00EE54C8" w:rsidRDefault="004B174A" w:rsidP="004B23D3">
            <w:pPr>
              <w:jc w:val="both"/>
              <w:rPr>
                <w:rFonts w:ascii="Sylfaen" w:hAnsi="Sylfaen"/>
                <w:lang w:val="ka-GE"/>
              </w:rPr>
            </w:pPr>
          </w:p>
        </w:tc>
      </w:tr>
    </w:tbl>
    <w:p w:rsidR="00222019" w:rsidRDefault="00222019" w:rsidP="004B174A">
      <w:pPr>
        <w:jc w:val="both"/>
        <w:rPr>
          <w:rFonts w:ascii="Sylfaen" w:hAnsi="Sylfaen"/>
          <w:lang w:val="ka-GE"/>
        </w:rPr>
      </w:pPr>
    </w:p>
    <w:p w:rsidR="004B174A" w:rsidRDefault="00222019" w:rsidP="00222019">
      <w:pPr>
        <w:jc w:val="both"/>
        <w:rPr>
          <w:rFonts w:ascii="Sylfaen" w:hAnsi="Sylfaen"/>
          <w:lang w:val="ka-GE"/>
        </w:rPr>
      </w:pPr>
      <w:r>
        <w:rPr>
          <w:rFonts w:ascii="Sylfaen" w:hAnsi="Sylfaen"/>
          <w:lang w:val="ka-GE"/>
        </w:rPr>
        <w:br w:type="page"/>
      </w:r>
      <w:r w:rsidR="004B174A">
        <w:rPr>
          <w:rFonts w:ascii="Sylfaen" w:hAnsi="Sylfaen"/>
          <w:lang w:val="ka-GE"/>
        </w:rPr>
        <w:lastRenderedPageBreak/>
        <w:t>აღნიშნული სქემის გამოყენების პირობებში, გამოიკვეთა ანტირაბიული ვაქცინისა და იმუნოგლობულინის ხარჯვის შემდეგი ტენდენციები:</w:t>
      </w:r>
    </w:p>
    <w:p w:rsidR="004B174A" w:rsidRDefault="004B174A" w:rsidP="004B174A">
      <w:pPr>
        <w:jc w:val="both"/>
        <w:rPr>
          <w:rFonts w:ascii="Sylfaen" w:hAnsi="Sylfaen"/>
          <w:lang w:val="ka-GE"/>
        </w:rPr>
      </w:pPr>
      <w:r>
        <w:rPr>
          <w:rFonts w:ascii="Sylfaen" w:hAnsi="Sylfaen"/>
          <w:lang w:val="ka-GE"/>
        </w:rPr>
        <w:t xml:space="preserve">2014-2015 წლებში </w:t>
      </w:r>
      <w:r w:rsidR="006B6742">
        <w:rPr>
          <w:rFonts w:ascii="Sylfaen" w:hAnsi="Sylfaen"/>
          <w:lang w:val="ka-GE"/>
        </w:rPr>
        <w:t>შესყიდული ვაქცინის რაოდენობა არ გაზრდილა (შესყიდულ იქნა დაახლოებით 195 000 დოზა როგორც 2014, ასევე, 2015 წელს), თუმცა, გაიზარდა ჯამური ფასი დაახლოებით 386 000 ლარით.</w:t>
      </w:r>
    </w:p>
    <w:p w:rsidR="006B6742" w:rsidRDefault="006B6742" w:rsidP="004B174A">
      <w:pPr>
        <w:jc w:val="both"/>
        <w:rPr>
          <w:rFonts w:ascii="Sylfaen" w:hAnsi="Sylfaen"/>
          <w:lang w:val="ka-GE"/>
        </w:rPr>
      </w:pPr>
      <w:r>
        <w:rPr>
          <w:rFonts w:ascii="Sylfaen" w:hAnsi="Sylfaen"/>
          <w:lang w:val="ka-GE"/>
        </w:rPr>
        <w:t>რაც შეეხება, ვაქცინის ხარჯვას, 2014 წელთან შედარებით 2015 წელს დაიხარჯა 10 235 დოზით მეტი ვაქცინა, რაც ფასებთან მიმართებით 444 603 ლარით მეტია 2014 წელს გახარჯული ვაქცინების ფასზე.</w:t>
      </w:r>
    </w:p>
    <w:p w:rsidR="006B6742" w:rsidRDefault="006B6742" w:rsidP="004B174A">
      <w:pPr>
        <w:jc w:val="both"/>
        <w:rPr>
          <w:rFonts w:ascii="Sylfaen" w:hAnsi="Sylfaen"/>
          <w:lang w:val="ka-GE"/>
        </w:rPr>
      </w:pPr>
      <w:r>
        <w:rPr>
          <w:rFonts w:ascii="Sylfaen" w:hAnsi="Sylfaen"/>
          <w:lang w:val="ka-GE"/>
        </w:rPr>
        <w:t>ანტირაბიული იმუნოგლობულინის შემთხვევაში, 2015 წელს 2014 წელთან შედარებით შესყიდულ იქნა დაახლოებით 3170 დოზით მეტი ვაქცინა, ხოლო ფასთა სხვაობამ შეადგინა თითქმის 209 000 ლარი.</w:t>
      </w:r>
    </w:p>
    <w:p w:rsidR="006B6742" w:rsidRDefault="006B6742" w:rsidP="004B174A">
      <w:pPr>
        <w:jc w:val="both"/>
        <w:rPr>
          <w:rFonts w:ascii="Sylfaen" w:hAnsi="Sylfaen"/>
          <w:lang w:val="ka-GE"/>
        </w:rPr>
      </w:pPr>
      <w:r>
        <w:rPr>
          <w:rFonts w:ascii="Sylfaen" w:hAnsi="Sylfaen"/>
          <w:lang w:val="ka-GE"/>
        </w:rPr>
        <w:t xml:space="preserve">რაც შეეხება ხარჯვას, 2015 წელს დაიხარჯა 486 დოზით ნაკლები იმუნოგლობულინი, თუმცა </w:t>
      </w:r>
      <w:r w:rsidR="006A2D5D">
        <w:rPr>
          <w:rFonts w:ascii="Sylfaen" w:hAnsi="Sylfaen"/>
          <w:lang w:val="ka-GE"/>
        </w:rPr>
        <w:t xml:space="preserve">მისი </w:t>
      </w:r>
      <w:r>
        <w:rPr>
          <w:rFonts w:ascii="Sylfaen" w:hAnsi="Sylfaen"/>
          <w:lang w:val="ka-GE"/>
        </w:rPr>
        <w:t>მაღალი ღირებულების გათ</w:t>
      </w:r>
      <w:r w:rsidR="006A2D5D">
        <w:rPr>
          <w:rFonts w:ascii="Sylfaen" w:hAnsi="Sylfaen"/>
          <w:lang w:val="ka-GE"/>
        </w:rPr>
        <w:t>ვა</w:t>
      </w:r>
      <w:r>
        <w:rPr>
          <w:rFonts w:ascii="Sylfaen" w:hAnsi="Sylfaen"/>
          <w:lang w:val="ka-GE"/>
        </w:rPr>
        <w:t xml:space="preserve">ლისწინებით, 2015 წლის ხარჯვის ჯამური ფასი </w:t>
      </w:r>
      <w:r w:rsidR="006A2D5D">
        <w:rPr>
          <w:rFonts w:ascii="Sylfaen" w:hAnsi="Sylfaen"/>
          <w:lang w:val="ka-GE"/>
        </w:rPr>
        <w:t>51 150 ლარით სჭარბობს 2014 წელს გახარჯული იმუნოგლობულინის ჯამურ ღირებულებას.</w:t>
      </w:r>
    </w:p>
    <w:p w:rsidR="006A2D5D" w:rsidRDefault="006A2D5D" w:rsidP="004B174A">
      <w:pPr>
        <w:jc w:val="both"/>
        <w:rPr>
          <w:rFonts w:ascii="Sylfaen" w:hAnsi="Sylfaen"/>
          <w:lang w:val="ka-GE"/>
        </w:rPr>
      </w:pPr>
      <w:r>
        <w:rPr>
          <w:rFonts w:ascii="Sylfaen" w:hAnsi="Sylfaen"/>
          <w:lang w:val="ka-GE"/>
        </w:rPr>
        <w:t xml:space="preserve">ფასის </w:t>
      </w:r>
      <w:r>
        <w:rPr>
          <w:rFonts w:ascii="Sylfaen" w:hAnsi="Sylfaen"/>
          <w:lang w:val="ka-GE"/>
        </w:rPr>
        <w:t>ზრდა</w:t>
      </w:r>
      <w:r>
        <w:rPr>
          <w:rFonts w:ascii="Sylfaen" w:hAnsi="Sylfaen"/>
          <w:lang w:val="ka-GE"/>
        </w:rPr>
        <w:t xml:space="preserve"> განპირობებულია </w:t>
      </w:r>
      <w:r>
        <w:rPr>
          <w:rFonts w:ascii="Sylfaen" w:hAnsi="Sylfaen"/>
        </w:rPr>
        <w:t xml:space="preserve">WHO </w:t>
      </w:r>
      <w:r>
        <w:rPr>
          <w:rFonts w:ascii="Sylfaen" w:hAnsi="Sylfaen"/>
          <w:lang w:val="ka-GE"/>
        </w:rPr>
        <w:t>პრეკვალიფიცირებული ვაქცინისა და იმუნოგლობულინის შესყიდვით.</w:t>
      </w:r>
    </w:p>
    <w:p w:rsidR="006A2D5D" w:rsidRDefault="006A2D5D" w:rsidP="004B174A">
      <w:pPr>
        <w:jc w:val="both"/>
        <w:rPr>
          <w:rFonts w:ascii="Sylfaen" w:hAnsi="Sylfaen"/>
          <w:lang w:val="ka-GE"/>
        </w:rPr>
      </w:pPr>
      <w:r w:rsidRPr="006A2D5D">
        <w:rPr>
          <w:rFonts w:ascii="Sylfaen" w:hAnsi="Sylfaen"/>
          <w:lang w:val="ka-GE"/>
        </w:rPr>
        <w:t xml:space="preserve">2014 </w:t>
      </w:r>
      <w:r>
        <w:rPr>
          <w:rFonts w:ascii="Sylfaen" w:hAnsi="Sylfaen"/>
          <w:lang w:val="ka-GE"/>
        </w:rPr>
        <w:t xml:space="preserve">წლის 18 თებერვლის იმუნიზაციის განხორციელების ხელშემწყობი კომისიის სხდომაზე, მიღებულ იქნა გადაწყვეტილება ანტირაბიული მომსახურების მიზნით, </w:t>
      </w:r>
      <w:r w:rsidRPr="001C5729">
        <w:rPr>
          <w:rFonts w:ascii="Sylfaen" w:hAnsi="Sylfaen"/>
          <w:lang w:val="ka-GE"/>
        </w:rPr>
        <w:t>სახელმწიფოს მიერ შესყიდულ იქნას მხოლოდ ჯანმოს მიერ პრეკვალიფიცირებული ვაქცინები, როგორც ხარისხის და უსაფრთხოების გარანტი და ამასთან, დამატებით, სატენდერო პირობად განისაზღვრ</w:t>
      </w:r>
      <w:r>
        <w:rPr>
          <w:rFonts w:ascii="Sylfaen" w:hAnsi="Sylfaen"/>
          <w:lang w:val="ka-GE"/>
        </w:rPr>
        <w:t>ა</w:t>
      </w:r>
      <w:r w:rsidRPr="001C5729">
        <w:rPr>
          <w:rFonts w:ascii="Sylfaen" w:hAnsi="Sylfaen"/>
          <w:lang w:val="ka-GE"/>
        </w:rPr>
        <w:t xml:space="preserve"> აღიარებითი რეჟიმით დარეგისტრირებული ფარმაცევტული პროდუქტის შესყიდვა.</w:t>
      </w:r>
    </w:p>
    <w:p w:rsidR="00222019" w:rsidRDefault="006A2D5D" w:rsidP="004B174A">
      <w:pPr>
        <w:jc w:val="both"/>
        <w:rPr>
          <w:rFonts w:ascii="Sylfaen" w:hAnsi="Sylfaen"/>
          <w:lang w:val="ka-GE" w:eastAsia="ru-RU"/>
        </w:rPr>
      </w:pPr>
      <w:r w:rsidRPr="001C5729">
        <w:rPr>
          <w:rFonts w:ascii="Sylfaen" w:hAnsi="Sylfaen"/>
          <w:lang w:val="ka-GE" w:eastAsia="ru-RU"/>
        </w:rPr>
        <w:t xml:space="preserve">შესასყიდი პროდუქტის ჯანმო-ს მხრიდან პრეკვალიფიკაციის მოთხოვნას საფუძვლად </w:t>
      </w:r>
      <w:r>
        <w:rPr>
          <w:rFonts w:ascii="Sylfaen" w:hAnsi="Sylfaen"/>
          <w:lang w:val="ka-GE" w:eastAsia="ru-RU"/>
        </w:rPr>
        <w:t>დაედო</w:t>
      </w:r>
      <w:r w:rsidRPr="001C5729">
        <w:rPr>
          <w:rFonts w:ascii="Sylfaen" w:hAnsi="Sylfaen"/>
          <w:lang w:val="ka-GE" w:eastAsia="ru-RU"/>
        </w:rPr>
        <w:t xml:space="preserve"> აგრეთვე ის გარემოება, რომ ტენდერის პირობებში, როცა პრეტენდენტის გამარჯვების პირობას წარმოადგენს უმცირესი ფასი, არსებობს საშიშროება დაბალი ფასით გაიმარჯვოს უხარისხო პროდუქტმა, ვინაიდან ქვეყანას არ გააჩნია ამა თუ იმ პროდუქტის ბაზარზე შემოსვლის შემზღუდავი ხარისხის შეფასების ეფექტური ბერკეტი.</w:t>
      </w:r>
    </w:p>
    <w:p w:rsidR="00222019" w:rsidRDefault="00222019">
      <w:pPr>
        <w:rPr>
          <w:rFonts w:ascii="Sylfaen" w:hAnsi="Sylfaen"/>
          <w:lang w:val="ka-GE" w:eastAsia="ru-RU"/>
        </w:rPr>
      </w:pPr>
      <w:r>
        <w:rPr>
          <w:rFonts w:ascii="Sylfaen" w:hAnsi="Sylfaen"/>
          <w:lang w:val="ka-GE" w:eastAsia="ru-RU"/>
        </w:rPr>
        <w:br w:type="page"/>
      </w:r>
    </w:p>
    <w:p w:rsidR="006A2D5D" w:rsidRPr="006A2D5D" w:rsidRDefault="006A2D5D" w:rsidP="004B174A">
      <w:pPr>
        <w:jc w:val="both"/>
        <w:rPr>
          <w:rFonts w:ascii="Sylfaen" w:hAnsi="Sylfaen"/>
          <w:lang w:val="ka-GE"/>
        </w:rPr>
      </w:pPr>
      <w:bookmarkStart w:id="0" w:name="_GoBack"/>
      <w:bookmarkEnd w:id="0"/>
    </w:p>
    <w:sectPr w:rsidR="006A2D5D" w:rsidRPr="006A2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D44"/>
    <w:multiLevelType w:val="hybridMultilevel"/>
    <w:tmpl w:val="C6704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737194"/>
    <w:multiLevelType w:val="hybridMultilevel"/>
    <w:tmpl w:val="16A4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455BD"/>
    <w:multiLevelType w:val="hybridMultilevel"/>
    <w:tmpl w:val="1842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84A16"/>
    <w:multiLevelType w:val="hybridMultilevel"/>
    <w:tmpl w:val="0446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33099"/>
    <w:multiLevelType w:val="hybridMultilevel"/>
    <w:tmpl w:val="267A68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C6C46BD"/>
    <w:multiLevelType w:val="hybridMultilevel"/>
    <w:tmpl w:val="0B006DA0"/>
    <w:lvl w:ilvl="0" w:tplc="F0FECDFE">
      <w:start w:val="1"/>
      <w:numFmt w:val="bullet"/>
      <w:lvlText w:val="•"/>
      <w:lvlJc w:val="left"/>
      <w:pPr>
        <w:tabs>
          <w:tab w:val="num" w:pos="720"/>
        </w:tabs>
        <w:ind w:left="720" w:hanging="360"/>
      </w:pPr>
      <w:rPr>
        <w:rFonts w:ascii="Arial" w:hAnsi="Arial" w:hint="default"/>
      </w:rPr>
    </w:lvl>
    <w:lvl w:ilvl="1" w:tplc="084E02FE">
      <w:start w:val="2694"/>
      <w:numFmt w:val="bullet"/>
      <w:lvlText w:val="o"/>
      <w:lvlJc w:val="left"/>
      <w:pPr>
        <w:tabs>
          <w:tab w:val="num" w:pos="1440"/>
        </w:tabs>
        <w:ind w:left="1440" w:hanging="360"/>
      </w:pPr>
      <w:rPr>
        <w:rFonts w:ascii="Courier New" w:hAnsi="Courier New" w:hint="default"/>
      </w:rPr>
    </w:lvl>
    <w:lvl w:ilvl="2" w:tplc="27D465C6" w:tentative="1">
      <w:start w:val="1"/>
      <w:numFmt w:val="bullet"/>
      <w:lvlText w:val="•"/>
      <w:lvlJc w:val="left"/>
      <w:pPr>
        <w:tabs>
          <w:tab w:val="num" w:pos="2160"/>
        </w:tabs>
        <w:ind w:left="2160" w:hanging="360"/>
      </w:pPr>
      <w:rPr>
        <w:rFonts w:ascii="Arial" w:hAnsi="Arial" w:hint="default"/>
      </w:rPr>
    </w:lvl>
    <w:lvl w:ilvl="3" w:tplc="D86AF542" w:tentative="1">
      <w:start w:val="1"/>
      <w:numFmt w:val="bullet"/>
      <w:lvlText w:val="•"/>
      <w:lvlJc w:val="left"/>
      <w:pPr>
        <w:tabs>
          <w:tab w:val="num" w:pos="2880"/>
        </w:tabs>
        <w:ind w:left="2880" w:hanging="360"/>
      </w:pPr>
      <w:rPr>
        <w:rFonts w:ascii="Arial" w:hAnsi="Arial" w:hint="default"/>
      </w:rPr>
    </w:lvl>
    <w:lvl w:ilvl="4" w:tplc="A8C04646" w:tentative="1">
      <w:start w:val="1"/>
      <w:numFmt w:val="bullet"/>
      <w:lvlText w:val="•"/>
      <w:lvlJc w:val="left"/>
      <w:pPr>
        <w:tabs>
          <w:tab w:val="num" w:pos="3600"/>
        </w:tabs>
        <w:ind w:left="3600" w:hanging="360"/>
      </w:pPr>
      <w:rPr>
        <w:rFonts w:ascii="Arial" w:hAnsi="Arial" w:hint="default"/>
      </w:rPr>
    </w:lvl>
    <w:lvl w:ilvl="5" w:tplc="54EA2E70" w:tentative="1">
      <w:start w:val="1"/>
      <w:numFmt w:val="bullet"/>
      <w:lvlText w:val="•"/>
      <w:lvlJc w:val="left"/>
      <w:pPr>
        <w:tabs>
          <w:tab w:val="num" w:pos="4320"/>
        </w:tabs>
        <w:ind w:left="4320" w:hanging="360"/>
      </w:pPr>
      <w:rPr>
        <w:rFonts w:ascii="Arial" w:hAnsi="Arial" w:hint="default"/>
      </w:rPr>
    </w:lvl>
    <w:lvl w:ilvl="6" w:tplc="D21AE40A" w:tentative="1">
      <w:start w:val="1"/>
      <w:numFmt w:val="bullet"/>
      <w:lvlText w:val="•"/>
      <w:lvlJc w:val="left"/>
      <w:pPr>
        <w:tabs>
          <w:tab w:val="num" w:pos="5040"/>
        </w:tabs>
        <w:ind w:left="5040" w:hanging="360"/>
      </w:pPr>
      <w:rPr>
        <w:rFonts w:ascii="Arial" w:hAnsi="Arial" w:hint="default"/>
      </w:rPr>
    </w:lvl>
    <w:lvl w:ilvl="7" w:tplc="F992EC8E" w:tentative="1">
      <w:start w:val="1"/>
      <w:numFmt w:val="bullet"/>
      <w:lvlText w:val="•"/>
      <w:lvlJc w:val="left"/>
      <w:pPr>
        <w:tabs>
          <w:tab w:val="num" w:pos="5760"/>
        </w:tabs>
        <w:ind w:left="5760" w:hanging="360"/>
      </w:pPr>
      <w:rPr>
        <w:rFonts w:ascii="Arial" w:hAnsi="Arial" w:hint="default"/>
      </w:rPr>
    </w:lvl>
    <w:lvl w:ilvl="8" w:tplc="956E494A" w:tentative="1">
      <w:start w:val="1"/>
      <w:numFmt w:val="bullet"/>
      <w:lvlText w:val="•"/>
      <w:lvlJc w:val="left"/>
      <w:pPr>
        <w:tabs>
          <w:tab w:val="num" w:pos="6480"/>
        </w:tabs>
        <w:ind w:left="6480" w:hanging="360"/>
      </w:pPr>
      <w:rPr>
        <w:rFonts w:ascii="Arial" w:hAnsi="Arial" w:hint="default"/>
      </w:rPr>
    </w:lvl>
  </w:abstractNum>
  <w:abstractNum w:abstractNumId="6">
    <w:nsid w:val="3DD72FF9"/>
    <w:multiLevelType w:val="hybridMultilevel"/>
    <w:tmpl w:val="AD14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072F7B"/>
    <w:multiLevelType w:val="hybridMultilevel"/>
    <w:tmpl w:val="809E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2D6E71"/>
    <w:multiLevelType w:val="hybridMultilevel"/>
    <w:tmpl w:val="1E62D848"/>
    <w:lvl w:ilvl="0" w:tplc="51D6D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F24AB1"/>
    <w:multiLevelType w:val="hybridMultilevel"/>
    <w:tmpl w:val="EDF08DEE"/>
    <w:lvl w:ilvl="0" w:tplc="21949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9"/>
  </w:num>
  <w:num w:numId="4">
    <w:abstractNumId w:val="8"/>
  </w:num>
  <w:num w:numId="5">
    <w:abstractNumId w:val="4"/>
  </w:num>
  <w:num w:numId="6">
    <w:abstractNumId w:val="0"/>
  </w:num>
  <w:num w:numId="7">
    <w:abstractNumId w:val="2"/>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A5"/>
    <w:rsid w:val="00136BA5"/>
    <w:rsid w:val="00222019"/>
    <w:rsid w:val="002436F0"/>
    <w:rsid w:val="00417D78"/>
    <w:rsid w:val="004B174A"/>
    <w:rsid w:val="004B266A"/>
    <w:rsid w:val="005D00EF"/>
    <w:rsid w:val="005D1EC9"/>
    <w:rsid w:val="006A2D5D"/>
    <w:rsid w:val="006B6742"/>
    <w:rsid w:val="007403D0"/>
    <w:rsid w:val="00AD1A4E"/>
    <w:rsid w:val="00CE6EB8"/>
    <w:rsid w:val="00E244CE"/>
    <w:rsid w:val="00E8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D0"/>
    <w:pPr>
      <w:ind w:left="720"/>
      <w:contextualSpacing/>
    </w:pPr>
  </w:style>
  <w:style w:type="paragraph" w:styleId="NoSpacing">
    <w:name w:val="No Spacing"/>
    <w:basedOn w:val="Normal"/>
    <w:uiPriority w:val="1"/>
    <w:qFormat/>
    <w:rsid w:val="004B17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D0"/>
    <w:pPr>
      <w:ind w:left="720"/>
      <w:contextualSpacing/>
    </w:pPr>
  </w:style>
  <w:style w:type="paragraph" w:styleId="NoSpacing">
    <w:name w:val="No Spacing"/>
    <w:basedOn w:val="Normal"/>
    <w:uiPriority w:val="1"/>
    <w:qFormat/>
    <w:rsid w:val="004B17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300382">
      <w:bodyDiv w:val="1"/>
      <w:marLeft w:val="0"/>
      <w:marRight w:val="0"/>
      <w:marTop w:val="0"/>
      <w:marBottom w:val="0"/>
      <w:divBdr>
        <w:top w:val="none" w:sz="0" w:space="0" w:color="auto"/>
        <w:left w:val="none" w:sz="0" w:space="0" w:color="auto"/>
        <w:bottom w:val="none" w:sz="0" w:space="0" w:color="auto"/>
        <w:right w:val="none" w:sz="0" w:space="0" w:color="auto"/>
      </w:divBdr>
      <w:divsChild>
        <w:div w:id="729034280">
          <w:marLeft w:val="360"/>
          <w:marRight w:val="0"/>
          <w:marTop w:val="200"/>
          <w:marBottom w:val="0"/>
          <w:divBdr>
            <w:top w:val="none" w:sz="0" w:space="0" w:color="auto"/>
            <w:left w:val="none" w:sz="0" w:space="0" w:color="auto"/>
            <w:bottom w:val="none" w:sz="0" w:space="0" w:color="auto"/>
            <w:right w:val="none" w:sz="0" w:space="0" w:color="auto"/>
          </w:divBdr>
        </w:div>
        <w:div w:id="254869701">
          <w:marLeft w:val="360"/>
          <w:marRight w:val="0"/>
          <w:marTop w:val="200"/>
          <w:marBottom w:val="0"/>
          <w:divBdr>
            <w:top w:val="none" w:sz="0" w:space="0" w:color="auto"/>
            <w:left w:val="none" w:sz="0" w:space="0" w:color="auto"/>
            <w:bottom w:val="none" w:sz="0" w:space="0" w:color="auto"/>
            <w:right w:val="none" w:sz="0" w:space="0" w:color="auto"/>
          </w:divBdr>
        </w:div>
        <w:div w:id="693268556">
          <w:marLeft w:val="360"/>
          <w:marRight w:val="0"/>
          <w:marTop w:val="200"/>
          <w:marBottom w:val="0"/>
          <w:divBdr>
            <w:top w:val="none" w:sz="0" w:space="0" w:color="auto"/>
            <w:left w:val="none" w:sz="0" w:space="0" w:color="auto"/>
            <w:bottom w:val="none" w:sz="0" w:space="0" w:color="auto"/>
            <w:right w:val="none" w:sz="0" w:space="0" w:color="auto"/>
          </w:divBdr>
        </w:div>
        <w:div w:id="573003870">
          <w:marLeft w:val="360"/>
          <w:marRight w:val="0"/>
          <w:marTop w:val="200"/>
          <w:marBottom w:val="0"/>
          <w:divBdr>
            <w:top w:val="none" w:sz="0" w:space="0" w:color="auto"/>
            <w:left w:val="none" w:sz="0" w:space="0" w:color="auto"/>
            <w:bottom w:val="none" w:sz="0" w:space="0" w:color="auto"/>
            <w:right w:val="none" w:sz="0" w:space="0" w:color="auto"/>
          </w:divBdr>
        </w:div>
        <w:div w:id="278149266">
          <w:marLeft w:val="1080"/>
          <w:marRight w:val="0"/>
          <w:marTop w:val="100"/>
          <w:marBottom w:val="0"/>
          <w:divBdr>
            <w:top w:val="none" w:sz="0" w:space="0" w:color="auto"/>
            <w:left w:val="none" w:sz="0" w:space="0" w:color="auto"/>
            <w:bottom w:val="none" w:sz="0" w:space="0" w:color="auto"/>
            <w:right w:val="none" w:sz="0" w:space="0" w:color="auto"/>
          </w:divBdr>
        </w:div>
        <w:div w:id="1451322692">
          <w:marLeft w:val="1080"/>
          <w:marRight w:val="0"/>
          <w:marTop w:val="100"/>
          <w:marBottom w:val="0"/>
          <w:divBdr>
            <w:top w:val="none" w:sz="0" w:space="0" w:color="auto"/>
            <w:left w:val="none" w:sz="0" w:space="0" w:color="auto"/>
            <w:bottom w:val="none" w:sz="0" w:space="0" w:color="auto"/>
            <w:right w:val="none" w:sz="0" w:space="0" w:color="auto"/>
          </w:divBdr>
        </w:div>
        <w:div w:id="15684226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dcterms:created xsi:type="dcterms:W3CDTF">2016-09-19T11:58:00Z</dcterms:created>
  <dcterms:modified xsi:type="dcterms:W3CDTF">2016-09-20T08:42:00Z</dcterms:modified>
</cp:coreProperties>
</file>