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rFonts w:eastAsia="Times New Roman"/>
          <w:b/>
          <w:bCs/>
          <w:noProof/>
          <w:sz w:val="24"/>
          <w:szCs w:val="24"/>
          <w:lang w:eastAsia="x-none"/>
        </w:rPr>
        <w:t>დანართი 9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rFonts w:eastAsia="Times New Roman"/>
          <w:b/>
          <w:bCs/>
          <w:noProof/>
          <w:sz w:val="24"/>
          <w:szCs w:val="24"/>
          <w:lang w:eastAsia="x-none"/>
        </w:rPr>
        <w:t>„რადიოლოგია“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rFonts w:eastAsia="Times New Roman"/>
          <w:b/>
          <w:bCs/>
          <w:noProof/>
          <w:sz w:val="24"/>
          <w:szCs w:val="24"/>
          <w:lang w:eastAsia="x-none"/>
        </w:rPr>
        <w:t>1. სპეციალობის დასახელება - „რადიოლოგია”.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rFonts w:eastAsia="Times New Roman"/>
          <w:b/>
          <w:bCs/>
          <w:noProof/>
          <w:sz w:val="24"/>
          <w:szCs w:val="24"/>
          <w:lang w:eastAsia="x-none"/>
        </w:rPr>
        <w:t>2. სპეციალობის შინაარსი: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>„რადიოლოგია“ არის მედიცინის დარგი, რომელიც აერთიანებს სხივური და ულტრაბგერითი დიაგნოსტიკის მეთოდებს და სწავლობს მის შესაძლებლობებს ნორმისა და სხვადასხვა პათოლოგიური პროცესების გამოვლენაში, მათი ჩამოყალიბების სხვადასხვა სტადიებზე.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noProof/>
          <w:sz w:val="24"/>
          <w:szCs w:val="24"/>
          <w:lang w:eastAsia="x-none"/>
        </w:rPr>
      </w:pP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b/>
          <w:bCs/>
          <w:noProof/>
          <w:sz w:val="24"/>
          <w:szCs w:val="24"/>
          <w:lang w:eastAsia="x-none"/>
        </w:rPr>
        <w:t xml:space="preserve">3. </w:t>
      </w:r>
      <w:r>
        <w:rPr>
          <w:rFonts w:eastAsia="Times New Roman"/>
          <w:b/>
          <w:bCs/>
          <w:noProof/>
          <w:sz w:val="24"/>
          <w:szCs w:val="24"/>
          <w:lang w:eastAsia="x-none"/>
        </w:rPr>
        <w:t>ზოგადი ცოდნა: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ა) რადიოლოგიური სამსახურის ორგანიზაციის ზოგადი საკითხები და მათი მოქმედების განმსაზღვრელი დოკუმენტები;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ბ) მაიონებელი გამოსხივების, ულტრაბგერის და მაგნიტური ველის საფუძველზე მომუშავე დიაგნოსტიკური და თერაპიული აპარატურის ფიზიკურ – ტექნიკური მახასიათებლები;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გ) მაიონებელი გამოსხივების ბიოლოგიური ზემოქმედება, დოზიმტერიის საფუძვლები, პაციენტისა და პერსონალის დაცვა რადიაციის მავნე ზემოქმედებისაგან;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დ) გამოსხივების ფორმირების კანონზომიერებები, დაავადებების სხივური სემიოტიკა, სხიური დიაგნოსტიკური მეთოდების შესაძლებლობანი (რენტგენოდიაგნოსტიკა, ულტრაგერითი დიაგნოსტიკა, რადიოიზოტოპური დიაგნოსტიკა, კომპიუტერულ-ტომოგრაფიული დიაგნოსტიკა, მაგნიტურ–რეზონანსული დიაგნოსტიკა და სხვა). რადიოლოგიაში გამოყენებული აპარატურის ფიზიკურ – ტექნიკური საფუძვლები, გამოსახულების ფორმირების პრინციპები, გამოსხივების ფიზიკა, ელექტრონიკა, ინფორმაციის საფუძვლები, გამოთვლითი სისტემები რადიოლოგიაში;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noProof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 xml:space="preserve">ე) ორგანოებისა და სისტემების გამოკვლევის მეთოდიკა, მათი შესაძლებლობანი და გამოყენების თანმიმდევრობა, გამოკვლევის შედეგების ინტერპრეტაცია და კლინიკური შეფასება. 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noProof/>
          <w:color w:val="000000"/>
          <w:sz w:val="24"/>
          <w:szCs w:val="24"/>
          <w:lang w:eastAsia="x-none"/>
        </w:rPr>
      </w:pP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b/>
          <w:bCs/>
          <w:noProof/>
          <w:sz w:val="24"/>
          <w:szCs w:val="24"/>
          <w:lang w:eastAsia="x-none"/>
        </w:rPr>
        <w:t xml:space="preserve">4. </w:t>
      </w:r>
      <w:r>
        <w:rPr>
          <w:rFonts w:eastAsia="Times New Roman"/>
          <w:b/>
          <w:bCs/>
          <w:noProof/>
          <w:sz w:val="24"/>
          <w:szCs w:val="24"/>
          <w:lang w:eastAsia="x-none"/>
        </w:rPr>
        <w:t>პრაქტიკული უნარ-ჩვევები: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ა) ექიმ-რადიოლოგს შეუძლია შემდეგი კვლევების მონაცემების ინტერპრეტაცია: 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ა.ა) რადიოლოგიური კვლევების შედეგების შეფასება/ინტერპრეტაცია, სათანადო დასკვნების გაკეთება, მკურნალობის ან შემდგომი კვლევის სწორი ტაქტიკის განსაზღვრა;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ა.ბ) გულმკერდის, ხერხემლის, კუჭ–ნაწლავის ტრაქტის, შარდ–სასქესო სისტემის, ძვალ–სახსართა სისტემის, ქალას ძვლების და პარანაზალური წიაღების როგორც ნორმალური, ასევე, პათოლოგიური ცვლილებების რენტგენოლოგიური კვლევით მიღებული შედეგების ინტერპრეტაცია;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lastRenderedPageBreak/>
        <w:t xml:space="preserve">ა.გ) </w:t>
      </w:r>
      <w:r>
        <w:rPr>
          <w:rFonts w:eastAsia="Times New Roman"/>
          <w:noProof/>
          <w:sz w:val="24"/>
          <w:szCs w:val="24"/>
          <w:lang w:eastAsia="x-none"/>
        </w:rPr>
        <w:t>რეტროგრადული ქოლანგიოპანკრეატოგრაფიით მიღებული შედეგების ინტერპრეტაცია;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ა.დ)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>მამოგრაფიით, სალპინგოგრაფიით და ფისტულოგრაფიით მიღებული შედეგების ინტერპრეტაცია;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ა.ე) მუცლის ღრუს ორგანოების დაავადებათა და მათი გართულებების ექოსკოპიით მიღებული შედეგების ინეტრპრეტაცია;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 xml:space="preserve">ა.ვ) მცირე მენჯის ორგანოების – შარდის ბუშტის, წინამდებარე ჯირკვლის, საშვილოსნოს, საკვერცხეების ნორმალური ულტრაბგერითი გამოსახულებისა და პათოლოგიათა ულტრაბგერითი კვლევით მიღებული შედეგების ინტერპრეტაცია; 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 xml:space="preserve">ა.ზ) პერიფერიული ორგანოების (სარძევე ჯირკვლის, </w:t>
      </w:r>
      <w:r>
        <w:rPr>
          <w:rFonts w:eastAsia="Times New Roman"/>
          <w:noProof/>
          <w:sz w:val="24"/>
          <w:szCs w:val="24"/>
          <w:lang w:eastAsia="x-none"/>
        </w:rPr>
        <w:t>ფარისებური ჯირკვლის და ლიმფური ჯირკვლების) ნორმალური და პათოლოგიების ულტრაბგერითი კვლევით მიღებული შედეგების ინტერპრეტაცია;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ა.თ)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>მაგისტრალური და პერიფერიული სისხლძარღვების დუპლექსსკენირებით მიღებული შედეგების ინტერპრეტაცია. ნეიროსონოსკოპია. პარკუჭოვანი სისტემის შეფასება და თავის ტვინის ნივთიერების მდგომარეობის შესწავლა ახალშობილებში;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ა.ი) ექოკარდიოგრაფია, გულის და მაგისტრალური სისხლძარღვების ნორმალური გამოსახულების და პათოლოგიების ექოკარდიოგრაფიული მონაცემების ინეტრპრეტაცია;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ბ) ექიმ რადიოლოგს შეუძლია შემდეგი ჩარევების-კვლევების შესრულება: 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ბ.ა)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>გულ-მკერდის, ხერხემლის, კუჭ-ნაწლავის ტრაქტის და მუცლის ღრუს, შარდ–სასქესო სისტემის, ძვალ–სახსართა სისტემის, ქალასა და სახის ძვლების და მიდამოების კვლევების ჩატარება;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 xml:space="preserve">ბ.ბ) </w:t>
      </w:r>
      <w:r>
        <w:rPr>
          <w:rFonts w:eastAsia="Times New Roman"/>
          <w:noProof/>
          <w:sz w:val="24"/>
          <w:szCs w:val="24"/>
          <w:lang w:eastAsia="x-none"/>
        </w:rPr>
        <w:t>რეტროგრადული ქოლანაგიოპანკრეატოგრაფიის ჩატარება;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ბ.გ)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>მამოგრაფიის, სალპინგოგრაფიის, ფისტულოგრაფიის, დუქტოგრაფიის ჩატარება;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 xml:space="preserve">ბ.დ) მუცლის ღრუს ორგანოების დაავადებათა ულტრაბგერითი </w:t>
      </w:r>
      <w:r>
        <w:rPr>
          <w:rFonts w:eastAsia="Times New Roman"/>
          <w:noProof/>
          <w:sz w:val="24"/>
          <w:szCs w:val="24"/>
          <w:lang w:eastAsia="x-none"/>
        </w:rPr>
        <w:t>დიაგნოსტიკის ჩატარება და სადიაგნოსტიკო და სამკურნალო (მადრენირებელი) მანიპულაციების ჩატარება რეტგენოლოგიური და ულტრაბგერითი კვლევის კონტროლით;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ბ.ე)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>თირკმელების მწვავე და ქრონიკული დაავადებების ულტრაბგერითი კვლევის ჩატარება;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ბ.ვ) მცირე მენჯის ორგანოების – შარდის ბუშტის, წინამდებარე ჯირკვლის, საშვილოსნოს, საკვერცხეების ულტრაბგერითი კვლევის ჩატარება;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ბ.ზ) მაგისტრალური და პერიფერიული სისხლძარღვების დუპლექსსკენირების ჩატარება. ნეიროსონოსკოპიის ჩატარება;</w:t>
      </w:r>
    </w:p>
    <w:p w:rsidR="002B11AE" w:rsidRPr="0001194C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color w:val="000000"/>
          <w:sz w:val="24"/>
          <w:szCs w:val="24"/>
          <w:lang w:val="ka-GE" w:eastAsia="x-none"/>
        </w:rPr>
      </w:pPr>
      <w:r>
        <w:rPr>
          <w:rFonts w:eastAsia="Times New Roman"/>
          <w:noProof/>
          <w:color w:val="000000"/>
          <w:sz w:val="24"/>
          <w:szCs w:val="24"/>
          <w:lang w:eastAsia="x-none"/>
        </w:rPr>
        <w:t>ბ.თ) ექოკარდიოგრაფიის ჩატარება</w:t>
      </w:r>
      <w:r w:rsidR="0001194C" w:rsidRPr="00867934">
        <w:rPr>
          <w:rFonts w:eastAsia="Times New Roman"/>
          <w:noProof/>
          <w:color w:val="FF0000"/>
          <w:sz w:val="24"/>
          <w:szCs w:val="24"/>
          <w:lang w:val="ka-GE" w:eastAsia="x-none"/>
        </w:rPr>
        <w:t>;</w:t>
      </w:r>
    </w:p>
    <w:p w:rsidR="002B11AE" w:rsidRPr="008E39EA" w:rsidRDefault="008E39EA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/>
          <w:noProof/>
          <w:color w:val="FF0000"/>
          <w:sz w:val="24"/>
          <w:szCs w:val="24"/>
          <w:lang w:val="ka-GE" w:eastAsia="x-none"/>
        </w:rPr>
      </w:pPr>
      <w:r w:rsidRPr="008E39EA">
        <w:rPr>
          <w:bCs/>
          <w:noProof/>
          <w:color w:val="FF0000"/>
          <w:sz w:val="24"/>
          <w:szCs w:val="24"/>
          <w:lang w:val="ka-GE" w:eastAsia="x-none"/>
        </w:rPr>
        <w:t>ბ.ი) დენსიტომეტრიის ჩატარება</w:t>
      </w:r>
      <w:r w:rsidR="0001194C">
        <w:rPr>
          <w:bCs/>
          <w:noProof/>
          <w:color w:val="FF0000"/>
          <w:sz w:val="24"/>
          <w:szCs w:val="24"/>
          <w:lang w:val="ka-GE" w:eastAsia="x-none"/>
        </w:rPr>
        <w:t>.</w:t>
      </w:r>
      <w:bookmarkStart w:id="0" w:name="_GoBack"/>
      <w:bookmarkEnd w:id="0"/>
    </w:p>
    <w:p w:rsidR="008E39EA" w:rsidRPr="008E39EA" w:rsidRDefault="008E39EA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noProof/>
          <w:color w:val="000000"/>
          <w:sz w:val="24"/>
          <w:szCs w:val="24"/>
          <w:lang w:val="ka-GE" w:eastAsia="x-none"/>
        </w:rPr>
      </w:pP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b/>
          <w:bCs/>
          <w:noProof/>
          <w:sz w:val="24"/>
          <w:szCs w:val="24"/>
          <w:lang w:eastAsia="x-none"/>
        </w:rPr>
      </w:pPr>
      <w:r>
        <w:rPr>
          <w:b/>
          <w:bCs/>
          <w:noProof/>
          <w:sz w:val="24"/>
          <w:szCs w:val="24"/>
          <w:lang w:eastAsia="x-none"/>
        </w:rPr>
        <w:t xml:space="preserve">5. </w:t>
      </w:r>
      <w:r>
        <w:rPr>
          <w:rFonts w:eastAsia="Times New Roman"/>
          <w:b/>
          <w:bCs/>
          <w:noProof/>
          <w:sz w:val="24"/>
          <w:szCs w:val="24"/>
          <w:lang w:eastAsia="x-none"/>
        </w:rPr>
        <w:t>გარდამავალი ეტაპის რეგულირება: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>ა) დამოუკიდებელი საექიმო საქმიანობის სუბიექტს უფლება აქვს, განახორციელოს საექიმო საქმიანობა სახელმწიფო სერტიფიკატით ნებადართული სპეციალობის ფარგლებში;</w:t>
      </w:r>
    </w:p>
    <w:p w:rsidR="002B11AE" w:rsidRDefault="002B11AE" w:rsidP="002B11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ბ) დამოუკიდებელი საექიმო საქმიანობის სუბიექტებს, რომელთაც დასრულებული აქვთ სარეზიდენტო პროგრამა სპეციალობით - „სამედიცინო რადიოლოგია“ (მ.შ., </w:t>
      </w:r>
      <w:r>
        <w:rPr>
          <w:rFonts w:eastAsia="Times New Roman"/>
          <w:noProof/>
          <w:sz w:val="24"/>
          <w:szCs w:val="24"/>
          <w:lang w:eastAsia="x-none"/>
        </w:rPr>
        <w:lastRenderedPageBreak/>
        <w:t xml:space="preserve">რომლებიც ფლობენ სახელმწიფო სერტიფიკატს სპეციალობაში - „რადიოლოგია“), უფლება აქვთ, განახორციელონ „რადიოლოგიის“ კომპეტენციებით განსაზღვრული საქმიანობა, გარდა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 xml:space="preserve">მაგისტრალური და პერიფერიული სისხლძარღვების დუპლექსსკენირების, ნეიროსონოსკოპიისა და ექოკარდიოგრაფიისა. </w:t>
      </w:r>
      <w:r>
        <w:rPr>
          <w:rFonts w:eastAsia="Times New Roman"/>
          <w:noProof/>
          <w:sz w:val="24"/>
          <w:szCs w:val="24"/>
          <w:lang w:eastAsia="x-none"/>
        </w:rPr>
        <w:t>აღნიშნულ სფეროში საქმიანობა შესაძლებელია შესაბამისი სპეციალიზაციის კურს(ებ)ის დასრულების შემთხვევაში. ხსენებული სპეციალიზაციის კურსების დასრულების შემდგომ „სამედიცინო რადიოლოგიაში“ სახელმწიფო სერტიფიკატის მქონე პირს შეუძლია, მოიპოვოს სახელმწიფო სერტიფიკატი საექიმო სპეციალობაში - „რადიოლოგია“ (სახელმწიფო სასერტიფიკაციო გამოცდის ჩაბარების გარეშე).</w:t>
      </w:r>
    </w:p>
    <w:p w:rsidR="002B11AE" w:rsidRDefault="002B11AE" w:rsidP="002B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17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გ) დამოუკიდებელი საექიმო საქმიანობის სუბიექტს, რომელიც ფლობს სახელმწიფო სერტიფიკატს საექიმო სპეციალობაში „სამედიცინო რადიოლოგია“, მზადების სათანადო კურსის დასრულების შემთხვევაში, უფლება აქვს, მიიღოს სუბსპეციალობის მოწმობა - „კომპიუტერულ-ტომოგრაფიული დიაგნოსტიკა“ და „მაგნიტურ-რეზონანასული ტომოგრაფია.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(15.07.2015 N 01-21/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ნ)</w:t>
      </w:r>
    </w:p>
    <w:p w:rsidR="002B11AE" w:rsidRDefault="002B11AE" w:rsidP="002B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17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2B11AE" w:rsidRDefault="002B11AE" w:rsidP="002B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17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6.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ამოღებულია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(11.04.2016 N01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 xml:space="preserve">–15/ნ) </w:t>
      </w:r>
    </w:p>
    <w:p w:rsidR="00E61162" w:rsidRDefault="00E61162"/>
    <w:sectPr w:rsidR="00E6116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AE"/>
    <w:rsid w:val="0001194C"/>
    <w:rsid w:val="002B11AE"/>
    <w:rsid w:val="00461B3D"/>
    <w:rsid w:val="007503A2"/>
    <w:rsid w:val="00867934"/>
    <w:rsid w:val="008E39EA"/>
    <w:rsid w:val="00E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AE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2B11AE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11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11AE"/>
    <w:rPr>
      <w:rFonts w:ascii="Consolas" w:eastAsiaTheme="minorEastAsia" w:hAnsi="Consolas" w:cs="Consolas"/>
      <w:sz w:val="21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AE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2B11AE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11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11AE"/>
    <w:rPr>
      <w:rFonts w:ascii="Consolas" w:eastAsiaTheme="minorEastAsia" w:hAnsi="Consolas" w:cs="Consolas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9</cp:revision>
  <dcterms:created xsi:type="dcterms:W3CDTF">2020-07-20T10:25:00Z</dcterms:created>
  <dcterms:modified xsi:type="dcterms:W3CDTF">2020-07-20T10:59:00Z</dcterms:modified>
</cp:coreProperties>
</file>