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46453" w14:textId="77777777" w:rsidR="00D1789B" w:rsidRPr="00A84D82" w:rsidRDefault="00D1789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</w:p>
    <w:p w14:paraId="5F4716E8" w14:textId="77777777" w:rsidR="006A3FC3" w:rsidRPr="00A84D82" w:rsidRDefault="006A3FC3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</w:p>
    <w:p w14:paraId="4FB3152D" w14:textId="77777777" w:rsidR="006A61C2" w:rsidRPr="00A84D82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r w:rsidRPr="00A84D82">
        <w:rPr>
          <w:rFonts w:ascii="Sylfaen" w:hAnsi="Sylfaen" w:cs="Sylfaen"/>
          <w:b/>
          <w:bCs/>
          <w:sz w:val="24"/>
          <w:szCs w:val="24"/>
        </w:rPr>
        <w:t>საქართველოს მთავრობის</w:t>
      </w:r>
    </w:p>
    <w:p w14:paraId="24404840" w14:textId="77777777" w:rsidR="006A61C2" w:rsidRPr="00A84D82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en-US"/>
        </w:rPr>
      </w:pPr>
      <w:r w:rsidRPr="00A84D82">
        <w:rPr>
          <w:rFonts w:ascii="Sylfaen" w:hAnsi="Sylfaen" w:cs="Sylfaen"/>
          <w:b/>
          <w:bCs/>
          <w:sz w:val="24"/>
          <w:szCs w:val="24"/>
        </w:rPr>
        <w:t>დადგენილება №</w:t>
      </w:r>
      <w:r w:rsidRPr="00A84D82">
        <w:rPr>
          <w:rFonts w:ascii="Sylfaen" w:hAnsi="Sylfaen" w:cs="Sylfaen"/>
          <w:b/>
          <w:bCs/>
          <w:sz w:val="24"/>
          <w:szCs w:val="24"/>
          <w:lang w:val="en-US"/>
        </w:rPr>
        <w:t xml:space="preserve"> ---</w:t>
      </w:r>
    </w:p>
    <w:p w14:paraId="5120951E" w14:textId="20B8DFE2" w:rsidR="006A61C2" w:rsidRPr="00A84D82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r w:rsidRPr="00A84D82">
        <w:rPr>
          <w:rFonts w:ascii="Sylfaen" w:hAnsi="Sylfaen" w:cs="Sylfaen"/>
          <w:b/>
          <w:bCs/>
          <w:sz w:val="24"/>
          <w:szCs w:val="24"/>
        </w:rPr>
        <w:t>201</w:t>
      </w:r>
      <w:r w:rsidR="00A84D82" w:rsidRPr="00A84D82">
        <w:rPr>
          <w:rFonts w:ascii="Sylfaen" w:hAnsi="Sylfaen" w:cs="Sylfaen"/>
          <w:b/>
          <w:bCs/>
          <w:sz w:val="24"/>
          <w:szCs w:val="24"/>
          <w:lang w:val="en-US"/>
        </w:rPr>
        <w:t>7</w:t>
      </w:r>
      <w:r w:rsidRPr="00A84D82">
        <w:rPr>
          <w:rFonts w:ascii="Sylfaen" w:hAnsi="Sylfaen" w:cs="Sylfaen"/>
          <w:b/>
          <w:bCs/>
          <w:sz w:val="24"/>
          <w:szCs w:val="24"/>
        </w:rPr>
        <w:t xml:space="preserve"> წლის </w:t>
      </w:r>
      <w:r w:rsidRPr="00A84D82">
        <w:rPr>
          <w:rFonts w:ascii="Sylfaen" w:hAnsi="Sylfaen" w:cs="Sylfaen"/>
          <w:b/>
          <w:bCs/>
          <w:sz w:val="24"/>
          <w:szCs w:val="24"/>
          <w:lang w:val="en-US"/>
        </w:rPr>
        <w:t>“---“</w:t>
      </w:r>
      <w:r w:rsidRPr="00A84D82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A84D82">
        <w:rPr>
          <w:rFonts w:ascii="Sylfaen" w:hAnsi="Sylfaen" w:cs="Sylfaen"/>
          <w:b/>
          <w:bCs/>
          <w:sz w:val="24"/>
          <w:szCs w:val="24"/>
          <w:lang w:val="en-US"/>
        </w:rPr>
        <w:t>“----“</w:t>
      </w:r>
      <w:r w:rsidRPr="00A84D82">
        <w:rPr>
          <w:rFonts w:ascii="Sylfaen" w:hAnsi="Sylfaen" w:cs="Sylfaen"/>
          <w:b/>
          <w:bCs/>
          <w:sz w:val="24"/>
          <w:szCs w:val="24"/>
        </w:rPr>
        <w:t xml:space="preserve">  ქ. თბილისი</w:t>
      </w:r>
    </w:p>
    <w:p w14:paraId="6A057FE1" w14:textId="77777777" w:rsidR="006A61C2" w:rsidRPr="00A84D82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</w:p>
    <w:p w14:paraId="772F2151" w14:textId="77777777" w:rsidR="00A84D82" w:rsidRPr="00A84D82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</w:p>
    <w:p w14:paraId="661E172F" w14:textId="77777777" w:rsidR="00A84D82" w:rsidRPr="00A84D82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A84D82">
        <w:rPr>
          <w:rFonts w:ascii="Sylfaen" w:eastAsia="Sylfaen" w:hAnsi="Sylfaen"/>
          <w:b/>
          <w:sz w:val="24"/>
          <w:szCs w:val="24"/>
        </w:rPr>
        <w:t>„2017 წლის ჯანმრთელობის დაცვის სახელმწიფო პროგრამების დამტკიცების შესახებ“ საქართველოს მთავრობის 2016 წლის 30 დეკემბრის №638 დადგენილებაში ცვლილების შეტანის თაობაზე</w:t>
      </w:r>
    </w:p>
    <w:p w14:paraId="2B6C6288" w14:textId="77777777" w:rsidR="00A84D82" w:rsidRPr="00A84D82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 w:rsidRPr="00A84D82">
        <w:rPr>
          <w:rFonts w:ascii="Sylfaen" w:eastAsia="Sylfaen" w:hAnsi="Sylfaen"/>
          <w:sz w:val="24"/>
          <w:szCs w:val="24"/>
        </w:rPr>
        <w:t xml:space="preserve"> </w:t>
      </w:r>
    </w:p>
    <w:p w14:paraId="780CC9EE" w14:textId="77777777" w:rsidR="00A84D82" w:rsidRPr="00A84D82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  <w:r w:rsidRPr="00A84D82">
        <w:rPr>
          <w:rFonts w:ascii="Sylfaen" w:eastAsia="Sylfaen" w:hAnsi="Sylfaen"/>
          <w:b/>
          <w:sz w:val="24"/>
          <w:szCs w:val="24"/>
        </w:rPr>
        <w:t xml:space="preserve">მუხლი 1 </w:t>
      </w:r>
    </w:p>
    <w:p w14:paraId="64552D24" w14:textId="1DAB9717" w:rsidR="006A61C2" w:rsidRPr="00A84D82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A84D82">
        <w:rPr>
          <w:rFonts w:ascii="Sylfaen" w:eastAsia="Sylfaen" w:hAnsi="Sylfaen"/>
          <w:sz w:val="24"/>
          <w:szCs w:val="24"/>
        </w:rPr>
        <w:t>„ნორმატიული აქტების შესახებ“ საქართველოს კანონის მე-20 მუხლის მე-4 პუნქტის შესაბამისად, „2017 წლის ჯანმრთელობის დაცვის სახელმწიფო პროგრამების დამტკიცების შესახებ“ საქართველოს მთავრობის 2016 წლის 30 დეკემბრის №638 დადგენილებაში (www.matsne.gov.ge, 30/12/2016, 470000000.10.003.019705) შეტანილ იქნეს ცვლილება და დადგენილებით დამტკიცებული „2017 წლის ჯანმრთელობის დაცვის სახელმწიფო პროგრამების“:</w:t>
      </w:r>
      <w:r w:rsidR="006A61C2" w:rsidRPr="00A84D82">
        <w:rPr>
          <w:rFonts w:ascii="Sylfaen" w:hAnsi="Sylfaen" w:cs="Sylfaen"/>
          <w:sz w:val="24"/>
          <w:szCs w:val="24"/>
        </w:rPr>
        <w:t xml:space="preserve"> </w:t>
      </w:r>
    </w:p>
    <w:p w14:paraId="32B1A255" w14:textId="77777777" w:rsidR="006A61C2" w:rsidRPr="00A84D82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14:paraId="205E21A5" w14:textId="196D96D1" w:rsidR="00F7235B" w:rsidRPr="00A84D82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14:paraId="680C4D1B" w14:textId="18B03C23" w:rsidR="00924B86" w:rsidRPr="00924B86" w:rsidRDefault="00924B86" w:rsidP="00924B86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sz w:val="24"/>
          <w:szCs w:val="24"/>
        </w:rPr>
      </w:pPr>
      <w:r w:rsidRPr="00B74A36">
        <w:rPr>
          <w:rFonts w:ascii="Sylfaen" w:hAnsi="Sylfaen" w:cs="Sylfaen"/>
          <w:b/>
          <w:sz w:val="24"/>
          <w:szCs w:val="24"/>
          <w:lang w:val="en-US"/>
        </w:rPr>
        <w:t>N</w:t>
      </w:r>
      <w:r>
        <w:rPr>
          <w:rFonts w:ascii="Sylfaen" w:hAnsi="Sylfaen" w:cs="Sylfaen"/>
          <w:b/>
          <w:sz w:val="24"/>
          <w:szCs w:val="24"/>
        </w:rPr>
        <w:t>1</w:t>
      </w:r>
      <w:r w:rsidRPr="00B74A36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B74A36">
        <w:rPr>
          <w:rFonts w:ascii="Sylfaen" w:hAnsi="Sylfaen" w:cs="Sylfaen"/>
          <w:b/>
          <w:sz w:val="24"/>
          <w:szCs w:val="24"/>
        </w:rPr>
        <w:t>დანართის (</w:t>
      </w:r>
      <w:r>
        <w:rPr>
          <w:rFonts w:ascii="Sylfaen" w:hAnsi="Sylfaen" w:cs="Sylfaen"/>
          <w:b/>
          <w:sz w:val="24"/>
          <w:szCs w:val="24"/>
        </w:rPr>
        <w:t>დაავადებათა ადრეული გამოვლენა და სკრინინგი</w:t>
      </w:r>
      <w:r>
        <w:rPr>
          <w:rFonts w:ascii="Sylfaen" w:hAnsi="Sylfaen" w:cs="Sylfaen"/>
          <w:b/>
          <w:sz w:val="24"/>
          <w:szCs w:val="24"/>
        </w:rPr>
        <w:t xml:space="preserve">) </w:t>
      </w:r>
      <w:r w:rsidRPr="00924B86">
        <w:rPr>
          <w:rFonts w:ascii="Sylfaen" w:hAnsi="Sylfaen" w:cs="Sylfaen"/>
          <w:b/>
          <w:sz w:val="24"/>
          <w:szCs w:val="24"/>
        </w:rPr>
        <w:t>მე-8 მუხლი ჩამოყალიბდეს შემდეგი რედაქციით:</w:t>
      </w:r>
    </w:p>
    <w:p w14:paraId="26A6D510" w14:textId="77777777" w:rsidR="00924B86" w:rsidRDefault="00924B86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bCs/>
          <w:sz w:val="24"/>
          <w:szCs w:val="24"/>
        </w:rPr>
      </w:pPr>
      <w:r w:rsidRPr="00C639F9">
        <w:rPr>
          <w:rFonts w:ascii="Sylfaen" w:hAnsi="Sylfaen" w:cs="Sylfaen"/>
          <w:bCs/>
          <w:sz w:val="24"/>
          <w:szCs w:val="24"/>
        </w:rPr>
        <w:t xml:space="preserve"> „მუხლი 8. პროგრამის ბიუჯეტი </w:t>
      </w:r>
    </w:p>
    <w:p w14:paraId="70D64B1B" w14:textId="1AE69253" w:rsidR="00924B86" w:rsidRDefault="00924B86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924B86">
        <w:rPr>
          <w:rFonts w:ascii="Sylfaen" w:hAnsi="Sylfaen" w:cs="Sylfaen"/>
          <w:sz w:val="24"/>
          <w:szCs w:val="24"/>
        </w:rPr>
        <w:t>პროგრამის ბიუჯეტი განისაზღვრება 1,</w:t>
      </w:r>
      <w:r>
        <w:rPr>
          <w:rFonts w:ascii="Sylfaen" w:hAnsi="Sylfaen" w:cs="Sylfaen"/>
          <w:sz w:val="24"/>
          <w:szCs w:val="24"/>
        </w:rPr>
        <w:t>82</w:t>
      </w:r>
      <w:r w:rsidRPr="00924B86">
        <w:rPr>
          <w:rFonts w:ascii="Sylfaen" w:hAnsi="Sylfaen" w:cs="Sylfaen"/>
          <w:sz w:val="24"/>
          <w:szCs w:val="24"/>
          <w:lang w:val="en-US"/>
        </w:rPr>
        <w:t>6</w:t>
      </w:r>
      <w:r w:rsidRPr="00924B86">
        <w:rPr>
          <w:rFonts w:ascii="Sylfaen" w:hAnsi="Sylfaen" w:cs="Sylfaen"/>
          <w:sz w:val="24"/>
          <w:szCs w:val="24"/>
        </w:rPr>
        <w:t>.0 ათასი ლარით, შემდეგი ცხრილის შესაბამისად:</w:t>
      </w:r>
    </w:p>
    <w:p w14:paraId="610FE2DA" w14:textId="397EC2A0" w:rsidR="00924B86" w:rsidRDefault="00924B86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1"/>
        <w:gridCol w:w="6737"/>
        <w:gridCol w:w="2026"/>
      </w:tblGrid>
      <w:tr w:rsidR="00924B86" w14:paraId="6B332EF3" w14:textId="77777777" w:rsidTr="003C1AB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F6E51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№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80039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კომპონენტის დასახელება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92FF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ბიუჯეტი</w:t>
            </w:r>
          </w:p>
          <w:p w14:paraId="40ED506D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(ათასი ლარი)</w:t>
            </w:r>
          </w:p>
        </w:tc>
      </w:tr>
      <w:tr w:rsidR="00924B86" w14:paraId="1404E7BE" w14:textId="77777777" w:rsidTr="003C1AB2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D19D0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1 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40C05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კიბოს სკრინინგის კომპონენტი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DCBEC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1,115.0</w:t>
            </w:r>
          </w:p>
        </w:tc>
      </w:tr>
      <w:tr w:rsidR="00924B86" w14:paraId="3B102EA6" w14:textId="77777777" w:rsidTr="003C1AB2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10AF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2 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C6F1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საშვილოსნოს ყელის ორგანიზებული სკრინინგი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DC53" w14:textId="6ABD7C52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37</w:t>
            </w:r>
            <w:r>
              <w:rPr>
                <w:rFonts w:ascii="Sylfaen" w:eastAsia="Sylfaen" w:hAnsi="Sylfaen"/>
                <w:sz w:val="20"/>
              </w:rPr>
              <w:t>.0</w:t>
            </w:r>
          </w:p>
        </w:tc>
      </w:tr>
      <w:tr w:rsidR="00924B86" w14:paraId="637A02C6" w14:textId="77777777" w:rsidTr="003C1AB2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A6F9E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3 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8EE05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1-დან 6 წლამდე ასაკის ბავშვთა მსუბუქი და საშუალო ხარისხის მენტალური განვითარების დარღვევების პრევენცია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05C4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177.0</w:t>
            </w:r>
          </w:p>
        </w:tc>
      </w:tr>
      <w:tr w:rsidR="00924B86" w14:paraId="3CEF53F6" w14:textId="77777777" w:rsidTr="003C1AB2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4636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4 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76F1D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ეპილეფსიის დიაგნოსტიკა და ზედამხედველობა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A226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406.0</w:t>
            </w:r>
          </w:p>
        </w:tc>
      </w:tr>
      <w:tr w:rsidR="00924B86" w14:paraId="14852253" w14:textId="77777777" w:rsidTr="003C1AB2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DB22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5 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8E3A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დღენაკლულთა რეტინოპათიის სკრინინგის პილოტი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2FF9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91.0</w:t>
            </w:r>
          </w:p>
        </w:tc>
      </w:tr>
      <w:tr w:rsidR="00924B86" w14:paraId="1A1610E9" w14:textId="77777777" w:rsidTr="003C1AB2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28CD6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E0E7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სულ:</w:t>
            </w:r>
            <w:r>
              <w:rPr>
                <w:rFonts w:ascii="Sylfaen" w:eastAsia="Sylfaen" w:hAnsi="Sylfaen"/>
                <w:sz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E0517" w14:textId="69BED7A3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1,82</w:t>
            </w:r>
            <w:r>
              <w:rPr>
                <w:rFonts w:ascii="Sylfaen" w:eastAsia="Sylfaen" w:hAnsi="Sylfaen"/>
                <w:b/>
                <w:sz w:val="20"/>
              </w:rPr>
              <w:t>6</w:t>
            </w:r>
            <w:r>
              <w:rPr>
                <w:rFonts w:ascii="Sylfaen" w:eastAsia="Sylfaen" w:hAnsi="Sylfaen"/>
                <w:b/>
                <w:sz w:val="20"/>
              </w:rPr>
              <w:t>.0</w:t>
            </w:r>
          </w:p>
        </w:tc>
      </w:tr>
    </w:tbl>
    <w:p w14:paraId="4EFD5083" w14:textId="77777777" w:rsidR="00924B86" w:rsidRPr="00924B86" w:rsidRDefault="00924B86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bCs/>
          <w:sz w:val="24"/>
          <w:szCs w:val="24"/>
        </w:rPr>
      </w:pPr>
    </w:p>
    <w:p w14:paraId="1F722E9F" w14:textId="7855060E" w:rsidR="003F7590" w:rsidRPr="00924B86" w:rsidRDefault="009F09EA" w:rsidP="00924B86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sz w:val="24"/>
          <w:szCs w:val="24"/>
        </w:rPr>
      </w:pPr>
      <w:r w:rsidRPr="00B74A36">
        <w:rPr>
          <w:rFonts w:ascii="Sylfaen" w:hAnsi="Sylfaen" w:cs="Sylfaen"/>
          <w:b/>
          <w:sz w:val="24"/>
          <w:szCs w:val="24"/>
          <w:lang w:val="en-US"/>
        </w:rPr>
        <w:t xml:space="preserve">N3 </w:t>
      </w:r>
      <w:r w:rsidRPr="00B74A36">
        <w:rPr>
          <w:rFonts w:ascii="Sylfaen" w:hAnsi="Sylfaen" w:cs="Sylfaen"/>
          <w:b/>
          <w:sz w:val="24"/>
          <w:szCs w:val="24"/>
        </w:rPr>
        <w:t>დანართის (ეპიდზედამხედველობა</w:t>
      </w:r>
      <w:r w:rsidR="00924B86">
        <w:rPr>
          <w:rFonts w:ascii="Sylfaen" w:hAnsi="Sylfaen" w:cs="Sylfaen"/>
          <w:b/>
          <w:sz w:val="24"/>
          <w:szCs w:val="24"/>
        </w:rPr>
        <w:t xml:space="preserve">) </w:t>
      </w:r>
      <w:r w:rsidR="0008422B" w:rsidRPr="00924B86">
        <w:rPr>
          <w:rFonts w:ascii="Sylfaen" w:hAnsi="Sylfaen" w:cs="Sylfaen"/>
          <w:b/>
          <w:sz w:val="24"/>
          <w:szCs w:val="24"/>
        </w:rPr>
        <w:t>მე-8 მუხლი ჩამოყალიბდეს შემდეგი რედაქციით:</w:t>
      </w:r>
    </w:p>
    <w:p w14:paraId="1CD8A7A4" w14:textId="1EE43846" w:rsidR="009F09EA" w:rsidRPr="00C639F9" w:rsidRDefault="003F7590" w:rsidP="009F0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bCs/>
          <w:sz w:val="24"/>
          <w:szCs w:val="24"/>
        </w:rPr>
      </w:pPr>
      <w:r w:rsidRPr="00C639F9">
        <w:rPr>
          <w:rFonts w:ascii="Sylfaen" w:hAnsi="Sylfaen" w:cs="Sylfaen"/>
          <w:bCs/>
          <w:sz w:val="24"/>
          <w:szCs w:val="24"/>
        </w:rPr>
        <w:t xml:space="preserve"> </w:t>
      </w:r>
      <w:r w:rsidR="009F09EA" w:rsidRPr="00C639F9">
        <w:rPr>
          <w:rFonts w:ascii="Sylfaen" w:hAnsi="Sylfaen" w:cs="Sylfaen"/>
          <w:bCs/>
          <w:sz w:val="24"/>
          <w:szCs w:val="24"/>
        </w:rPr>
        <w:t xml:space="preserve">„მუხლი 8. პროგრამის ბიუჯეტი </w:t>
      </w:r>
    </w:p>
    <w:p w14:paraId="3EA40696" w14:textId="7EA6490B" w:rsidR="009F09EA" w:rsidRPr="00C639F9" w:rsidRDefault="009F09EA" w:rsidP="009F0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C639F9">
        <w:rPr>
          <w:rFonts w:ascii="Sylfaen" w:hAnsi="Sylfaen" w:cs="Sylfaen"/>
          <w:sz w:val="24"/>
          <w:szCs w:val="24"/>
        </w:rPr>
        <w:t>პროგრამის ბიუჯეტი განისაზღვრება</w:t>
      </w:r>
      <w:r w:rsidR="00924B86">
        <w:rPr>
          <w:rFonts w:ascii="Sylfaen" w:hAnsi="Sylfaen" w:cs="Sylfaen"/>
          <w:sz w:val="24"/>
          <w:szCs w:val="24"/>
        </w:rPr>
        <w:t xml:space="preserve"> 1,5</w:t>
      </w:r>
      <w:r w:rsidRPr="00C639F9">
        <w:rPr>
          <w:rFonts w:ascii="Sylfaen" w:hAnsi="Sylfaen" w:cs="Sylfaen"/>
          <w:sz w:val="24"/>
          <w:szCs w:val="24"/>
        </w:rPr>
        <w:t>6</w:t>
      </w:r>
      <w:r w:rsidR="00924B86">
        <w:rPr>
          <w:rFonts w:ascii="Sylfaen" w:hAnsi="Sylfaen" w:cs="Sylfaen"/>
          <w:sz w:val="24"/>
          <w:szCs w:val="24"/>
          <w:lang w:val="en-US"/>
        </w:rPr>
        <w:t>6</w:t>
      </w:r>
      <w:r w:rsidRPr="00C639F9">
        <w:rPr>
          <w:rFonts w:ascii="Sylfaen" w:hAnsi="Sylfaen" w:cs="Sylfaen"/>
          <w:sz w:val="24"/>
          <w:szCs w:val="24"/>
        </w:rPr>
        <w:t>.0 ათასი ლარით, შემდეგი ცხრილის შესაბამისად:</w:t>
      </w:r>
    </w:p>
    <w:p w14:paraId="359D7153" w14:textId="77777777" w:rsidR="009F09EA" w:rsidRPr="00C639F9" w:rsidRDefault="009F09EA" w:rsidP="009F0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6"/>
        <w:gridCol w:w="7469"/>
        <w:gridCol w:w="41"/>
        <w:gridCol w:w="1894"/>
      </w:tblGrid>
      <w:tr w:rsidR="00C639F9" w:rsidRPr="00C639F9" w14:paraId="008989DF" w14:textId="77777777" w:rsidTr="005D244E">
        <w:trPr>
          <w:trHeight w:val="690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145E8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b/>
                <w:sz w:val="20"/>
              </w:rPr>
              <w:t>№</w:t>
            </w:r>
          </w:p>
        </w:tc>
        <w:tc>
          <w:tcPr>
            <w:tcW w:w="7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BD6E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b/>
                <w:sz w:val="20"/>
              </w:rPr>
              <w:t>კომპონენტის დასახელება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71161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b/>
                <w:sz w:val="20"/>
              </w:rPr>
              <w:t>ბიუჯეტი</w:t>
            </w:r>
          </w:p>
          <w:p w14:paraId="51E2B012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b/>
                <w:sz w:val="20"/>
              </w:rPr>
              <w:t>(ათასი ლარი)</w:t>
            </w:r>
          </w:p>
        </w:tc>
      </w:tr>
      <w:tr w:rsidR="00C639F9" w:rsidRPr="00C639F9" w14:paraId="610D1B98" w14:textId="77777777" w:rsidTr="005D244E">
        <w:trPr>
          <w:trHeight w:val="840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CFA2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1 </w:t>
            </w:r>
          </w:p>
        </w:tc>
        <w:tc>
          <w:tcPr>
            <w:tcW w:w="7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465A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რეგიონულ და მუნიციპალურ დონეზე არსებული სჯდ ცენტრებისთვის ეპიდზედამხედველობის, იმუნიზაციისა და სამედიცინო სტატისტიკის ღონისძიებათა ფარგლებში მომსახურების დაფინანსებისთვის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E175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546.0 </w:t>
            </w:r>
          </w:p>
        </w:tc>
      </w:tr>
      <w:tr w:rsidR="00C639F9" w:rsidRPr="00C639F9" w14:paraId="2F3D3D18" w14:textId="77777777" w:rsidTr="005D244E">
        <w:trPr>
          <w:trHeight w:val="690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8B1B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lastRenderedPageBreak/>
              <w:t xml:space="preserve">2 </w:t>
            </w:r>
          </w:p>
        </w:tc>
        <w:tc>
          <w:tcPr>
            <w:tcW w:w="7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726F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მალარიისა და სხვა ტრანსმისიური (დენგე, ზიკა, ჩიკუნგუნია, ყირიმ-კონგო, ლეიშმანიოზი და სხვა) დაავადებების პრევენციისა და კონტროლის გაუმჯობესება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EE2E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774.0 </w:t>
            </w:r>
          </w:p>
        </w:tc>
      </w:tr>
      <w:tr w:rsidR="00C639F9" w:rsidRPr="00C639F9" w14:paraId="5530D8E0" w14:textId="77777777" w:rsidTr="005D244E">
        <w:trPr>
          <w:trHeight w:val="330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8826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3 </w:t>
            </w:r>
          </w:p>
        </w:tc>
        <w:tc>
          <w:tcPr>
            <w:tcW w:w="7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101E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ნოზოკომური ინფექციების ეპიდზედამხედველობა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02177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21.0 </w:t>
            </w:r>
          </w:p>
        </w:tc>
      </w:tr>
      <w:tr w:rsidR="00C639F9" w:rsidRPr="00C639F9" w14:paraId="7C8F6E54" w14:textId="77777777" w:rsidTr="005D244E">
        <w:trPr>
          <w:trHeight w:val="330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CF2F3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4 </w:t>
            </w:r>
          </w:p>
        </w:tc>
        <w:tc>
          <w:tcPr>
            <w:tcW w:w="7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12B7E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ვირუსული დიარეების კვლევა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6B19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44.0 </w:t>
            </w:r>
          </w:p>
        </w:tc>
      </w:tr>
      <w:tr w:rsidR="00C639F9" w:rsidRPr="00C639F9" w14:paraId="2A564F12" w14:textId="77777777" w:rsidTr="005D244E">
        <w:trPr>
          <w:trHeight w:val="1035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87AF6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5 </w:t>
            </w:r>
          </w:p>
        </w:tc>
        <w:tc>
          <w:tcPr>
            <w:tcW w:w="7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1FF50" w14:textId="0F9748D5" w:rsidR="009F09EA" w:rsidRPr="00C639F9" w:rsidRDefault="0008422B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sz w:val="20"/>
              </w:rPr>
              <w:t xml:space="preserve">გრიპზე, გრიპისმაგვარ დაავადებებზე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სეზონურ/პანდემიურ გრიპზე რეაგირება </w:t>
            </w:r>
            <w:r w:rsidR="009F09EA" w:rsidRPr="00C639F9">
              <w:rPr>
                <w:rFonts w:ascii="Sylfaen" w:eastAsia="Sylfaen" w:hAnsi="Sylfaen"/>
                <w:sz w:val="20"/>
              </w:rPr>
              <w:t xml:space="preserve"> (მ.შ. საყრდენი ბაზების მომსახურება თვეში არაუმეტეს 3000 ლარისა)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9900" w14:textId="466841E5" w:rsidR="009F09EA" w:rsidRPr="00C639F9" w:rsidRDefault="00924B86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1</w:t>
            </w:r>
            <w:r w:rsidR="009F09EA" w:rsidRPr="00C639F9">
              <w:rPr>
                <w:rFonts w:ascii="Sylfaen" w:eastAsia="Sylfaen" w:hAnsi="Sylfaen"/>
                <w:sz w:val="20"/>
                <w:lang w:val="en-US"/>
              </w:rPr>
              <w:t>8</w:t>
            </w:r>
            <w:r>
              <w:rPr>
                <w:rFonts w:ascii="Sylfaen" w:eastAsia="Sylfaen" w:hAnsi="Sylfaen"/>
                <w:sz w:val="20"/>
                <w:lang w:val="en-US"/>
              </w:rPr>
              <w:t>1</w:t>
            </w:r>
            <w:r w:rsidR="009F09EA" w:rsidRPr="00C639F9">
              <w:rPr>
                <w:rFonts w:ascii="Sylfaen" w:eastAsia="Sylfaen" w:hAnsi="Sylfaen"/>
                <w:sz w:val="20"/>
              </w:rPr>
              <w:t xml:space="preserve">.0 </w:t>
            </w:r>
          </w:p>
        </w:tc>
      </w:tr>
      <w:tr w:rsidR="00C639F9" w:rsidRPr="00C639F9" w14:paraId="294587D4" w14:textId="77777777" w:rsidTr="005D244E">
        <w:tblPrEx>
          <w:tblBorders>
            <w:insideH w:val="none" w:sz="0" w:space="0" w:color="auto"/>
          </w:tblBorders>
        </w:tblPrEx>
        <w:trPr>
          <w:trHeight w:val="330"/>
        </w:trPr>
        <w:tc>
          <w:tcPr>
            <w:tcW w:w="8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369C" w14:textId="77777777" w:rsidR="009F09EA" w:rsidRPr="00C639F9" w:rsidRDefault="009F09EA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C639F9">
              <w:rPr>
                <w:rFonts w:ascii="Sylfaen" w:eastAsia="Sylfaen" w:hAnsi="Sylfaen"/>
                <w:b/>
                <w:sz w:val="20"/>
              </w:rPr>
              <w:t xml:space="preserve">          სულ 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ED0B" w14:textId="391A5BB6" w:rsidR="009F09EA" w:rsidRPr="00C639F9" w:rsidRDefault="00924B86" w:rsidP="005D2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1,5</w:t>
            </w:r>
            <w:r w:rsidR="009F09EA" w:rsidRPr="00C639F9">
              <w:rPr>
                <w:rFonts w:ascii="Sylfaen" w:eastAsia="Sylfaen" w:hAnsi="Sylfaen"/>
                <w:b/>
                <w:sz w:val="20"/>
                <w:lang w:val="en-US"/>
              </w:rPr>
              <w:t>6</w:t>
            </w:r>
            <w:r>
              <w:rPr>
                <w:rFonts w:ascii="Sylfaen" w:eastAsia="Sylfaen" w:hAnsi="Sylfaen"/>
                <w:b/>
                <w:sz w:val="20"/>
                <w:lang w:val="en-US"/>
              </w:rPr>
              <w:t>6</w:t>
            </w:r>
            <w:r w:rsidR="009F09EA" w:rsidRPr="00C639F9">
              <w:rPr>
                <w:rFonts w:ascii="Sylfaen" w:eastAsia="Sylfaen" w:hAnsi="Sylfaen"/>
                <w:b/>
                <w:sz w:val="20"/>
              </w:rPr>
              <w:t>.0.</w:t>
            </w:r>
          </w:p>
        </w:tc>
      </w:tr>
    </w:tbl>
    <w:p w14:paraId="0A1B75B0" w14:textId="5766C5DD" w:rsidR="006A61C2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14:paraId="4BE0D251" w14:textId="01EE7E0C" w:rsidR="00924B86" w:rsidRPr="00924B86" w:rsidRDefault="00924B86" w:rsidP="00924B86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sz w:val="24"/>
          <w:szCs w:val="24"/>
        </w:rPr>
      </w:pPr>
      <w:r w:rsidRPr="00B74A36">
        <w:rPr>
          <w:rFonts w:ascii="Sylfaen" w:hAnsi="Sylfaen" w:cs="Sylfaen"/>
          <w:b/>
          <w:sz w:val="24"/>
          <w:szCs w:val="24"/>
          <w:lang w:val="en-US"/>
        </w:rPr>
        <w:t>N</w:t>
      </w:r>
      <w:r>
        <w:rPr>
          <w:rFonts w:ascii="Sylfaen" w:hAnsi="Sylfaen" w:cs="Sylfaen"/>
          <w:b/>
          <w:sz w:val="24"/>
          <w:szCs w:val="24"/>
        </w:rPr>
        <w:t>8</w:t>
      </w:r>
      <w:r w:rsidRPr="00B74A36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B74A36">
        <w:rPr>
          <w:rFonts w:ascii="Sylfaen" w:hAnsi="Sylfaen" w:cs="Sylfaen"/>
          <w:b/>
          <w:sz w:val="24"/>
          <w:szCs w:val="24"/>
        </w:rPr>
        <w:t>დანართის (</w:t>
      </w:r>
      <w:r>
        <w:rPr>
          <w:rFonts w:ascii="Sylfaen" w:hAnsi="Sylfaen" w:cs="Sylfaen"/>
          <w:b/>
          <w:sz w:val="24"/>
          <w:szCs w:val="24"/>
        </w:rPr>
        <w:t>აივ-ინფექცია/შიდსის მართვა</w:t>
      </w:r>
      <w:r>
        <w:rPr>
          <w:rFonts w:ascii="Sylfaen" w:hAnsi="Sylfaen" w:cs="Sylfaen"/>
          <w:b/>
          <w:sz w:val="24"/>
          <w:szCs w:val="24"/>
        </w:rPr>
        <w:t xml:space="preserve">) </w:t>
      </w:r>
      <w:r w:rsidRPr="00924B86">
        <w:rPr>
          <w:rFonts w:ascii="Sylfaen" w:hAnsi="Sylfaen" w:cs="Sylfaen"/>
          <w:b/>
          <w:sz w:val="24"/>
          <w:szCs w:val="24"/>
        </w:rPr>
        <w:t>მე-8 მუხლი ჩამოყალიბდეს შემდეგი რედაქციით:</w:t>
      </w:r>
    </w:p>
    <w:p w14:paraId="0AF14C70" w14:textId="77777777" w:rsidR="00924B86" w:rsidRPr="00C639F9" w:rsidRDefault="00924B86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bCs/>
          <w:sz w:val="24"/>
          <w:szCs w:val="24"/>
        </w:rPr>
      </w:pPr>
      <w:r w:rsidRPr="00C639F9">
        <w:rPr>
          <w:rFonts w:ascii="Sylfaen" w:hAnsi="Sylfaen" w:cs="Sylfaen"/>
          <w:bCs/>
          <w:sz w:val="24"/>
          <w:szCs w:val="24"/>
        </w:rPr>
        <w:t xml:space="preserve"> „მუხლი 8. პროგრამის ბიუჯეტი </w:t>
      </w:r>
    </w:p>
    <w:p w14:paraId="660E2473" w14:textId="42CCF23D" w:rsidR="00924B86" w:rsidRDefault="00924B86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C639F9">
        <w:rPr>
          <w:rFonts w:ascii="Sylfaen" w:hAnsi="Sylfaen" w:cs="Sylfaen"/>
          <w:sz w:val="24"/>
          <w:szCs w:val="24"/>
        </w:rPr>
        <w:t>პროგრამის ბიუჯეტი განისაზღვრება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8,318</w:t>
      </w:r>
      <w:r w:rsidRPr="00C639F9">
        <w:rPr>
          <w:rFonts w:ascii="Sylfaen" w:hAnsi="Sylfaen" w:cs="Sylfaen"/>
          <w:sz w:val="24"/>
          <w:szCs w:val="24"/>
        </w:rPr>
        <w:t>.0 ათასი ლარით, შემდეგი ცხრილის შესაბამისად: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4"/>
        <w:gridCol w:w="7180"/>
        <w:gridCol w:w="1825"/>
      </w:tblGrid>
      <w:tr w:rsidR="00924B86" w14:paraId="4B99EC81" w14:textId="77777777" w:rsidTr="003C1AB2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0B52702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№</w:t>
            </w:r>
          </w:p>
        </w:tc>
        <w:tc>
          <w:tcPr>
            <w:tcW w:w="7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0A64C06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კომპონენტის დასახელება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6BF42EA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ბიუჯეტი</w:t>
            </w:r>
          </w:p>
          <w:p w14:paraId="227708D1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(ათასი ლარი)</w:t>
            </w:r>
          </w:p>
        </w:tc>
      </w:tr>
      <w:tr w:rsidR="00924B86" w14:paraId="005C583C" w14:textId="77777777" w:rsidTr="003C1AB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B12DBA4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D81070E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აივ-ინფექციაზე/შიდსზე ნებაყოფლობითი კონსულტირება და ტესტირება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9F89440" w14:textId="001A9150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9</w:t>
            </w:r>
            <w:r>
              <w:rPr>
                <w:rFonts w:ascii="Sylfaen" w:eastAsia="Sylfaen" w:hAnsi="Sylfaen"/>
                <w:sz w:val="20"/>
              </w:rPr>
              <w:t>18</w:t>
            </w:r>
            <w:r>
              <w:rPr>
                <w:rFonts w:ascii="Sylfaen" w:eastAsia="Sylfaen" w:hAnsi="Sylfaen"/>
                <w:sz w:val="20"/>
              </w:rPr>
              <w:t>.0</w:t>
            </w:r>
          </w:p>
        </w:tc>
      </w:tr>
      <w:tr w:rsidR="00924B86" w14:paraId="022A5EB5" w14:textId="77777777" w:rsidTr="003C1AB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1B1A85F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1.1</w:t>
            </w:r>
          </w:p>
        </w:tc>
        <w:tc>
          <w:tcPr>
            <w:tcW w:w="7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79535A8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მ.შ., აივ-ინფექციაზე/შიდსზე სკრინინგული კვლევისათვის საჭირო ტესტსისტემებისა და სახარჯი მასალების შესყიდვა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2383A89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150.0</w:t>
            </w:r>
          </w:p>
        </w:tc>
      </w:tr>
      <w:tr w:rsidR="00924B86" w14:paraId="25283568" w14:textId="77777777" w:rsidTr="003C1AB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E7FFD6D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  <w:tc>
          <w:tcPr>
            <w:tcW w:w="7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F2A16DD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აივ-ინფექციით/შიდსით დაავადებულთა ამბულატორიული მომსახურებით უზრუნველყოფა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CBC0C15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3,000.0</w:t>
            </w:r>
          </w:p>
        </w:tc>
      </w:tr>
      <w:tr w:rsidR="00924B86" w14:paraId="76E8E437" w14:textId="77777777" w:rsidTr="003C1AB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2959DF7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7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0D9D5A4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აივ-ინფექციით/შიდსით დაავადებულთა სტაციონარული მომსახურებით უზრუნველყოფა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FE59DF1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2,400.0</w:t>
            </w:r>
          </w:p>
        </w:tc>
      </w:tr>
      <w:tr w:rsidR="00924B86" w14:paraId="32865D87" w14:textId="77777777" w:rsidTr="003C1AB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F87FEA0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7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F4028A5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აივ-ინფექციის/შიდსის სამკურნალო პირველი რიგის და მეორე რიგის (სრული ღირებულების არაუმეტეს 25%-ისა) მედიკამენტების შესყიდვა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B64510E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2,000.0</w:t>
            </w:r>
          </w:p>
        </w:tc>
      </w:tr>
      <w:tr w:rsidR="00924B86" w14:paraId="48A60E61" w14:textId="77777777" w:rsidTr="003C1AB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7BEDCE8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 </w:t>
            </w:r>
          </w:p>
        </w:tc>
        <w:tc>
          <w:tcPr>
            <w:tcW w:w="7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02D9A75" w14:textId="77777777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სულ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08B3CBE" w14:textId="1C1B8838" w:rsidR="00924B86" w:rsidRDefault="00924B86" w:rsidP="003C1A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b/>
                <w:sz w:val="20"/>
              </w:rPr>
              <w:t>8,3</w:t>
            </w:r>
            <w:r>
              <w:rPr>
                <w:rFonts w:ascii="Sylfaen" w:eastAsia="Sylfaen" w:hAnsi="Sylfaen"/>
                <w:b/>
                <w:sz w:val="20"/>
              </w:rPr>
              <w:t>18</w:t>
            </w:r>
            <w:r>
              <w:rPr>
                <w:rFonts w:ascii="Sylfaen" w:eastAsia="Sylfaen" w:hAnsi="Sylfaen"/>
                <w:b/>
                <w:sz w:val="20"/>
              </w:rPr>
              <w:t>.0</w:t>
            </w:r>
          </w:p>
        </w:tc>
      </w:tr>
    </w:tbl>
    <w:p w14:paraId="307DA9D0" w14:textId="77777777" w:rsidR="00924B86" w:rsidRPr="00C639F9" w:rsidRDefault="00924B86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14:paraId="1CC1A4ED" w14:textId="77777777" w:rsidR="00924B86" w:rsidRPr="00C639F9" w:rsidRDefault="00924B86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14:paraId="5A7E8AD2" w14:textId="77777777" w:rsidR="006A61C2" w:rsidRPr="00C639F9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b/>
          <w:bCs/>
          <w:sz w:val="24"/>
          <w:szCs w:val="24"/>
        </w:rPr>
      </w:pPr>
      <w:r w:rsidRPr="00C639F9">
        <w:rPr>
          <w:rFonts w:ascii="Sylfaen" w:hAnsi="Sylfaen" w:cs="Sylfaen"/>
          <w:b/>
          <w:bCs/>
          <w:sz w:val="24"/>
          <w:szCs w:val="24"/>
        </w:rPr>
        <w:t xml:space="preserve">მუხლი 2 </w:t>
      </w:r>
    </w:p>
    <w:p w14:paraId="43A088BC" w14:textId="77777777" w:rsidR="004C7B7D" w:rsidRPr="00C639F9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00AA641A" w14:textId="77777777" w:rsidR="006A61C2" w:rsidRPr="00C639F9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C639F9">
        <w:rPr>
          <w:rFonts w:ascii="Sylfaen" w:hAnsi="Sylfaen" w:cs="Sylfaen"/>
          <w:sz w:val="24"/>
          <w:szCs w:val="24"/>
        </w:rPr>
        <w:t xml:space="preserve">დადგენილება ამოქმედდეს გამოქვეყნებისთანავე.   </w:t>
      </w:r>
    </w:p>
    <w:p w14:paraId="23CED7B8" w14:textId="77777777" w:rsidR="004C7B7D" w:rsidRPr="00C639F9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14:paraId="51367002" w14:textId="77777777" w:rsidR="006A61C2" w:rsidRPr="00C639F9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14:paraId="3073CA9E" w14:textId="77777777" w:rsidR="006A61C2" w:rsidRPr="00C639F9" w:rsidRDefault="004C7B7D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 w:rsidRPr="00C639F9">
        <w:rPr>
          <w:rFonts w:ascii="Sylfaen" w:hAnsi="Sylfaen" w:cs="Sylfaen"/>
          <w:sz w:val="24"/>
          <w:szCs w:val="24"/>
        </w:rPr>
        <w:tab/>
      </w:r>
      <w:r w:rsidR="006A61C2" w:rsidRPr="00C639F9">
        <w:rPr>
          <w:rFonts w:ascii="Sylfaen" w:hAnsi="Sylfaen" w:cs="Sylfaen"/>
          <w:sz w:val="24"/>
          <w:szCs w:val="24"/>
        </w:rPr>
        <w:t xml:space="preserve">პრემიერ-მინისტრი           </w:t>
      </w:r>
      <w:r w:rsidRPr="00C639F9">
        <w:rPr>
          <w:rFonts w:ascii="Sylfaen" w:hAnsi="Sylfaen" w:cs="Sylfaen"/>
          <w:sz w:val="24"/>
          <w:szCs w:val="24"/>
        </w:rPr>
        <w:t xml:space="preserve">                  </w:t>
      </w:r>
      <w:r w:rsidR="006A61C2" w:rsidRPr="00C639F9">
        <w:rPr>
          <w:rFonts w:ascii="Sylfaen" w:hAnsi="Sylfaen" w:cs="Sylfaen"/>
          <w:sz w:val="24"/>
          <w:szCs w:val="24"/>
        </w:rPr>
        <w:t xml:space="preserve">                                                       </w:t>
      </w:r>
      <w:r w:rsidR="006A61C2" w:rsidRPr="00C639F9">
        <w:rPr>
          <w:rFonts w:ascii="Sylfaen" w:hAnsi="Sylfaen" w:cs="Sylfaen"/>
          <w:b/>
          <w:bCs/>
          <w:i/>
          <w:iCs/>
          <w:sz w:val="24"/>
          <w:szCs w:val="24"/>
        </w:rPr>
        <w:t>გიორგი კვირიკაშვილი</w:t>
      </w:r>
      <w:r w:rsidR="006A61C2" w:rsidRPr="00C639F9">
        <w:rPr>
          <w:rFonts w:ascii="Sylfaen" w:hAnsi="Sylfaen" w:cs="Sylfaen"/>
          <w:sz w:val="24"/>
          <w:szCs w:val="24"/>
        </w:rPr>
        <w:t xml:space="preserve"> </w:t>
      </w:r>
    </w:p>
    <w:p w14:paraId="6530CEF0" w14:textId="77777777" w:rsidR="006A61C2" w:rsidRPr="00C639F9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14:paraId="1C7FA83A" w14:textId="77777777" w:rsidR="009918EA" w:rsidRPr="00A84D82" w:rsidRDefault="009918EA" w:rsidP="00964902">
      <w:pPr>
        <w:pStyle w:val="BodyText"/>
        <w:ind w:firstLine="284"/>
        <w:rPr>
          <w:rFonts w:ascii="Sylfaen" w:hAnsi="Sylfaen"/>
          <w:bCs/>
          <w:lang w:val="ka-GE"/>
        </w:rPr>
      </w:pPr>
    </w:p>
    <w:p w14:paraId="2BE7BBF0" w14:textId="47EB0C98" w:rsidR="00A06B02" w:rsidRPr="00A84D82" w:rsidRDefault="00A06B02" w:rsidP="00222124">
      <w:pPr>
        <w:rPr>
          <w:rFonts w:ascii="Sylfaen" w:hAnsi="Sylfaen"/>
          <w:b/>
          <w:sz w:val="24"/>
          <w:szCs w:val="24"/>
        </w:rPr>
      </w:pPr>
    </w:p>
    <w:p w14:paraId="7421AF04" w14:textId="77777777" w:rsidR="00A06B02" w:rsidRPr="00A84D82" w:rsidRDefault="00A06B02" w:rsidP="00F61AC7">
      <w:pPr>
        <w:jc w:val="center"/>
        <w:rPr>
          <w:rFonts w:ascii="Sylfaen" w:hAnsi="Sylfaen"/>
          <w:b/>
          <w:sz w:val="24"/>
          <w:szCs w:val="24"/>
        </w:rPr>
      </w:pPr>
    </w:p>
    <w:p w14:paraId="4B441B92" w14:textId="77777777" w:rsidR="00A06B02" w:rsidRPr="00A84D82" w:rsidRDefault="00A06B02" w:rsidP="00F61AC7">
      <w:pPr>
        <w:jc w:val="center"/>
        <w:rPr>
          <w:rFonts w:ascii="Sylfaen" w:hAnsi="Sylfaen"/>
          <w:b/>
          <w:sz w:val="24"/>
          <w:szCs w:val="24"/>
        </w:rPr>
      </w:pPr>
    </w:p>
    <w:p w14:paraId="19FE7AA0" w14:textId="77777777" w:rsidR="00F61AC7" w:rsidRPr="00A84D82" w:rsidRDefault="00F61AC7" w:rsidP="00F61AC7">
      <w:pPr>
        <w:jc w:val="center"/>
        <w:rPr>
          <w:rFonts w:ascii="Sylfaen" w:hAnsi="Sylfaen"/>
          <w:b/>
          <w:sz w:val="24"/>
          <w:szCs w:val="24"/>
        </w:rPr>
      </w:pPr>
      <w:r w:rsidRPr="00A84D82">
        <w:rPr>
          <w:rFonts w:ascii="Sylfaen" w:hAnsi="Sylfaen"/>
          <w:b/>
          <w:sz w:val="24"/>
          <w:szCs w:val="24"/>
        </w:rPr>
        <w:t>განმარტებითი ბარათი</w:t>
      </w:r>
    </w:p>
    <w:p w14:paraId="52B2F9FB" w14:textId="12947068" w:rsidR="00444C93" w:rsidRPr="00A84D82" w:rsidRDefault="00EB01DD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</w:rPr>
        <w:t>„2017</w:t>
      </w:r>
      <w:r w:rsidR="00444C93" w:rsidRPr="00A84D82">
        <w:rPr>
          <w:rFonts w:ascii="Sylfaen" w:hAnsi="Sylfaen" w:cs="Sylfaen"/>
          <w:b/>
          <w:bCs/>
          <w:sz w:val="24"/>
          <w:szCs w:val="24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>
        <w:rPr>
          <w:rFonts w:ascii="Sylfaen" w:hAnsi="Sylfaen" w:cs="Sylfaen"/>
          <w:b/>
          <w:bCs/>
          <w:sz w:val="24"/>
          <w:szCs w:val="24"/>
        </w:rPr>
        <w:t xml:space="preserve"> 2016</w:t>
      </w:r>
      <w:r w:rsidR="00444C93" w:rsidRPr="00A84D82">
        <w:rPr>
          <w:rFonts w:ascii="Sylfaen" w:hAnsi="Sylfaen" w:cs="Sylfaen"/>
          <w:b/>
          <w:bCs/>
          <w:sz w:val="24"/>
          <w:szCs w:val="24"/>
        </w:rPr>
        <w:t xml:space="preserve"> წლის 30 დეკემბრის</w:t>
      </w:r>
      <w:r>
        <w:rPr>
          <w:rFonts w:ascii="Sylfaen" w:hAnsi="Sylfaen" w:cs="Sylfaen"/>
          <w:b/>
          <w:bCs/>
          <w:sz w:val="24"/>
          <w:szCs w:val="24"/>
        </w:rPr>
        <w:t xml:space="preserve"> №638 </w:t>
      </w:r>
      <w:r w:rsidR="00444C93" w:rsidRPr="00A84D82">
        <w:rPr>
          <w:rFonts w:ascii="Sylfaen" w:hAnsi="Sylfaen" w:cs="Sylfaen"/>
          <w:b/>
          <w:bCs/>
          <w:sz w:val="24"/>
          <w:szCs w:val="24"/>
        </w:rPr>
        <w:t>დადგენილებაში ცვლილების შეტანის თაობაზე</w:t>
      </w:r>
    </w:p>
    <w:p w14:paraId="372CF251" w14:textId="77777777" w:rsidR="00444C93" w:rsidRPr="00A84D82" w:rsidRDefault="00444C93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</w:rPr>
      </w:pPr>
    </w:p>
    <w:p w14:paraId="5258E8FD" w14:textId="407F77F6" w:rsidR="00F61AC7" w:rsidRPr="00A84D82" w:rsidRDefault="00F61AC7" w:rsidP="00F61AC7">
      <w:pPr>
        <w:jc w:val="center"/>
        <w:rPr>
          <w:rFonts w:ascii="Sylfaen" w:hAnsi="Sylfaen"/>
          <w:b/>
          <w:sz w:val="24"/>
          <w:szCs w:val="24"/>
        </w:rPr>
      </w:pPr>
      <w:r w:rsidRPr="00A84D82">
        <w:rPr>
          <w:rFonts w:ascii="Sylfaen" w:hAnsi="Sylfaen"/>
          <w:b/>
          <w:sz w:val="24"/>
          <w:szCs w:val="24"/>
        </w:rPr>
        <w:lastRenderedPageBreak/>
        <w:t xml:space="preserve">საქართველოს მთავრობის </w:t>
      </w:r>
      <w:r w:rsidR="00EB01DD">
        <w:rPr>
          <w:rFonts w:ascii="Sylfaen" w:hAnsi="Sylfaen"/>
          <w:b/>
          <w:sz w:val="24"/>
          <w:szCs w:val="24"/>
        </w:rPr>
        <w:t xml:space="preserve">დადგენილების </w:t>
      </w:r>
      <w:r w:rsidRPr="00A84D82">
        <w:rPr>
          <w:rFonts w:ascii="Sylfaen" w:hAnsi="Sylfaen"/>
          <w:b/>
          <w:sz w:val="24"/>
          <w:szCs w:val="24"/>
        </w:rPr>
        <w:t>პროექტზე</w:t>
      </w:r>
    </w:p>
    <w:p w14:paraId="37EF0A67" w14:textId="77777777" w:rsidR="00F61AC7" w:rsidRPr="00A84D82" w:rsidRDefault="00F61AC7" w:rsidP="00F61AC7">
      <w:pPr>
        <w:jc w:val="center"/>
        <w:rPr>
          <w:rFonts w:ascii="Sylfaen" w:hAnsi="Sylfaen"/>
          <w:b/>
          <w:sz w:val="24"/>
          <w:szCs w:val="24"/>
        </w:rPr>
      </w:pPr>
    </w:p>
    <w:p w14:paraId="294A0042" w14:textId="77777777" w:rsidR="00F64495" w:rsidRPr="00EB01DD" w:rsidRDefault="00F64495" w:rsidP="00F64495">
      <w:pPr>
        <w:spacing w:before="100" w:beforeAutospacing="1" w:after="100" w:afterAutospacing="1" w:line="360" w:lineRule="auto"/>
        <w:jc w:val="center"/>
        <w:rPr>
          <w:rFonts w:ascii="Sylfaen" w:eastAsia="Times New Roman" w:hAnsi="Sylfaen" w:cs="Times New Roman"/>
          <w:b/>
          <w:sz w:val="24"/>
          <w:szCs w:val="24"/>
          <w:lang w:eastAsia="ka-GE"/>
        </w:rPr>
      </w:pPr>
      <w:r w:rsidRPr="00EB01DD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ინფორმაცია</w:t>
      </w:r>
      <w:r w:rsidRPr="00EB01DD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EB01DD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სამართლებრივი</w:t>
      </w:r>
      <w:r w:rsidRPr="00EB01DD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EB01DD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აქტის</w:t>
      </w:r>
      <w:r w:rsidRPr="00EB01DD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EB01DD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პროექტის</w:t>
      </w:r>
      <w:r w:rsidRPr="00EB01DD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EB01DD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შესახებ</w:t>
      </w:r>
      <w:r w:rsidRPr="00EB01DD">
        <w:rPr>
          <w:rFonts w:ascii="Times New Roman" w:eastAsia="Times New Roman" w:hAnsi="Times New Roman" w:cs="Times New Roman"/>
          <w:b/>
          <w:sz w:val="24"/>
          <w:szCs w:val="24"/>
          <w:lang w:eastAsia="ka-GE"/>
        </w:rPr>
        <w:t xml:space="preserve"> </w:t>
      </w:r>
    </w:p>
    <w:p w14:paraId="16F8BB92" w14:textId="77777777" w:rsidR="00F64495" w:rsidRPr="00A84D82" w:rsidRDefault="00F64495" w:rsidP="00F64495">
      <w:pPr>
        <w:spacing w:after="120" w:line="36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A84D82">
        <w:rPr>
          <w:rFonts w:ascii="Sylfaen" w:eastAsia="Times New Roman" w:hAnsi="Sylfaen" w:cs="Times New Roman"/>
          <w:b/>
          <w:sz w:val="24"/>
          <w:szCs w:val="24"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A84D82">
        <w:rPr>
          <w:rFonts w:ascii="Sylfaen" w:eastAsia="Times New Roman" w:hAnsi="Sylfaen" w:cs="Times New Roman"/>
          <w:sz w:val="24"/>
          <w:szCs w:val="24"/>
          <w:lang w:eastAsia="ru-RU"/>
        </w:rPr>
        <w:t>:</w:t>
      </w:r>
    </w:p>
    <w:p w14:paraId="69E0083A" w14:textId="2FE56579" w:rsidR="00695914" w:rsidRDefault="00695914" w:rsidP="00695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="Sylfaen" w:hAnsi="Sylfaen" w:cs="Sylfaen"/>
          <w:sz w:val="24"/>
          <w:szCs w:val="24"/>
        </w:rPr>
      </w:pPr>
      <w:r w:rsidRPr="00A84D82">
        <w:rPr>
          <w:rFonts w:ascii="Sylfaen" w:eastAsia="Times New Roman" w:hAnsi="Sylfaen" w:cs="Sylfaen"/>
          <w:sz w:val="24"/>
          <w:szCs w:val="24"/>
        </w:rPr>
        <w:t>დადგენილების პროექტში წარმოდგენილია სხვადასხვა სახელმწიფო პროგრამის ბიუჯეტების დაზუსტებები. კერძოდ, პროგრამების ფაქტიური შესრულებისა და აღებული ვალდებულებების შესაბამისად, მოსალოდნელი ხარჯების გათვალისწინებით დაზუსტდა სახელმწიფო პროგრამების 201</w:t>
      </w:r>
      <w:r>
        <w:rPr>
          <w:rFonts w:ascii="Sylfaen" w:eastAsia="Times New Roman" w:hAnsi="Sylfaen" w:cs="Sylfaen"/>
          <w:sz w:val="24"/>
          <w:szCs w:val="24"/>
        </w:rPr>
        <w:t>7</w:t>
      </w:r>
      <w:r w:rsidRPr="00A84D82">
        <w:rPr>
          <w:rFonts w:ascii="Sylfaen" w:eastAsia="Times New Roman" w:hAnsi="Sylfaen" w:cs="Sylfaen"/>
          <w:sz w:val="24"/>
          <w:szCs w:val="24"/>
        </w:rPr>
        <w:t xml:space="preserve"> წლის ბიუჯეტები. აღნიშნული ღონისძიება ემსახურება გამოყოფილი საბიუჯეტო რესურსების ეფექტურად ხარჯვას. კერძოდ, სხვადასხვა პროგრამებში მოსალოდნელი ეკონომიები მიმართული იქნას </w:t>
      </w:r>
      <w:r>
        <w:rPr>
          <w:rFonts w:ascii="Sylfaen" w:eastAsia="Times New Roman" w:hAnsi="Sylfaen" w:cs="Sylfaen"/>
          <w:sz w:val="24"/>
          <w:szCs w:val="24"/>
        </w:rPr>
        <w:t>„</w:t>
      </w:r>
      <w:r>
        <w:rPr>
          <w:rFonts w:ascii="Sylfaen" w:eastAsia="Times New Roman" w:hAnsi="Sylfaen" w:cs="Sylfaen"/>
          <w:sz w:val="24"/>
          <w:szCs w:val="24"/>
          <w:lang w:val="en-US"/>
        </w:rPr>
        <w:t xml:space="preserve">C </w:t>
      </w:r>
      <w:r>
        <w:rPr>
          <w:rFonts w:ascii="Sylfaen" w:eastAsia="Times New Roman" w:hAnsi="Sylfaen" w:cs="Sylfaen"/>
          <w:sz w:val="24"/>
          <w:szCs w:val="24"/>
        </w:rPr>
        <w:t xml:space="preserve">ჰეპატიტის მართვის“ სახელმწიფო პროგრამის სკრინინგის კომპონენტში, </w:t>
      </w:r>
      <w:r w:rsidRPr="00A84D82">
        <w:rPr>
          <w:rFonts w:ascii="Sylfaen" w:eastAsia="Times New Roman" w:hAnsi="Sylfaen" w:cs="Sylfaen"/>
          <w:sz w:val="24"/>
          <w:szCs w:val="24"/>
        </w:rPr>
        <w:t xml:space="preserve">რაც შესაძლებლობას მოგვცემს </w:t>
      </w:r>
      <w:r>
        <w:rPr>
          <w:rFonts w:ascii="Sylfaen" w:eastAsia="Times New Roman" w:hAnsi="Sylfaen" w:cs="Sylfaen"/>
          <w:sz w:val="24"/>
          <w:szCs w:val="24"/>
        </w:rPr>
        <w:t>გავააქტიუროთ ინფიცირებული მოსახლეობის იდენტიფიცირების მიზნით მიმდინარე სკრინინგული ღონისძიებები იუსტიციის სახლის საჯარო სივრიცის გამოყენების გზით</w:t>
      </w:r>
      <w:r w:rsidRPr="00A84D82">
        <w:rPr>
          <w:rFonts w:ascii="Sylfaen" w:hAnsi="Sylfaen" w:cs="Sylfaen"/>
          <w:sz w:val="24"/>
          <w:szCs w:val="24"/>
        </w:rPr>
        <w:t>.</w:t>
      </w:r>
    </w:p>
    <w:p w14:paraId="5150B4F4" w14:textId="0EE2AB52" w:rsidR="003F7590" w:rsidRDefault="003F7590" w:rsidP="003F7590">
      <w:pPr>
        <w:spacing w:after="200" w:line="276" w:lineRule="auto"/>
        <w:ind w:firstLine="708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</w:p>
    <w:p w14:paraId="71583897" w14:textId="607FE460" w:rsidR="008E6764" w:rsidRDefault="008E6764" w:rsidP="003F7590">
      <w:pPr>
        <w:spacing w:after="200" w:line="276" w:lineRule="auto"/>
        <w:ind w:firstLine="708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</w:p>
    <w:p w14:paraId="4E78E2B3" w14:textId="77777777" w:rsidR="008E6764" w:rsidRPr="00A84D82" w:rsidRDefault="008E6764" w:rsidP="008E676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პროექტის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მიღებით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გამოწვეული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საფინანსო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noBreakHyphen/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ეკონომიკური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შედეგების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გაანგარიშება</w:t>
      </w:r>
      <w:r w:rsidRPr="00A84D8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14:paraId="4180BCE5" w14:textId="363FA019" w:rsidR="00F64495" w:rsidRPr="00A84D82" w:rsidRDefault="008E6764" w:rsidP="00F64495">
      <w:pPr>
        <w:spacing w:after="200" w:line="276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</w:rPr>
      </w:pPr>
      <w:r w:rsidRPr="00A84D82">
        <w:rPr>
          <w:rFonts w:ascii="Sylfaen" w:eastAsia="Times New Roman" w:hAnsi="Sylfaen" w:cs="Times New Roman"/>
          <w:sz w:val="24"/>
          <w:szCs w:val="24"/>
        </w:rPr>
        <w:t>პროექტის მიღება არ გამოიწვევს სახელმწიფო ბიუჯეტ</w:t>
      </w:r>
      <w:r w:rsidR="00036E96">
        <w:rPr>
          <w:rFonts w:ascii="Sylfaen" w:eastAsia="Times New Roman" w:hAnsi="Sylfaen" w:cs="Times New Roman"/>
          <w:sz w:val="24"/>
          <w:szCs w:val="24"/>
        </w:rPr>
        <w:t>ში</w:t>
      </w:r>
      <w:r w:rsidR="001E666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036E96">
        <w:rPr>
          <w:rFonts w:ascii="Sylfaen" w:eastAsia="Times New Roman" w:hAnsi="Sylfaen" w:cs="Times New Roman"/>
          <w:sz w:val="24"/>
          <w:szCs w:val="24"/>
        </w:rPr>
        <w:t xml:space="preserve">„ეპიდზედამხედველობის“ სახელმწიფო პროგრამისათვის </w:t>
      </w:r>
      <w:r w:rsidR="001E6667">
        <w:rPr>
          <w:rFonts w:ascii="Sylfaen" w:eastAsia="Times New Roman" w:hAnsi="Sylfaen" w:cs="Times New Roman"/>
          <w:sz w:val="24"/>
          <w:szCs w:val="24"/>
        </w:rPr>
        <w:t>დამატებითი ხარჯების გამოყოფას</w:t>
      </w:r>
      <w:r w:rsidRPr="00A84D82">
        <w:rPr>
          <w:rFonts w:ascii="Sylfaen" w:eastAsia="Times New Roman" w:hAnsi="Sylfaen" w:cs="Times New Roman"/>
          <w:sz w:val="24"/>
          <w:szCs w:val="24"/>
        </w:rPr>
        <w:t>.</w:t>
      </w:r>
    </w:p>
    <w:p w14:paraId="02DB64C1" w14:textId="77777777" w:rsidR="00F64495" w:rsidRPr="00A84D82" w:rsidRDefault="00F64495" w:rsidP="00F644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პროექტის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მოსალოდნელი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შედეგები</w:t>
      </w:r>
      <w:r w:rsidRPr="00A84D8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14:paraId="35B4DF22" w14:textId="65418A7D" w:rsidR="00F64495" w:rsidRPr="00A84D82" w:rsidRDefault="00F64495" w:rsidP="00F64495">
      <w:pPr>
        <w:spacing w:after="200" w:line="276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</w:rPr>
      </w:pPr>
      <w:r w:rsidRPr="00A84D82">
        <w:rPr>
          <w:rFonts w:ascii="Sylfaen" w:eastAsia="Times New Roman" w:hAnsi="Sylfaen" w:cs="Times New Roman"/>
          <w:sz w:val="24"/>
          <w:szCs w:val="24"/>
        </w:rPr>
        <w:t xml:space="preserve">დაგეგმილი ღონისძიებების განხორციელების შედეგად მოხდება </w:t>
      </w:r>
      <w:r w:rsidR="00695914">
        <w:rPr>
          <w:rFonts w:ascii="Sylfaen" w:eastAsia="Times New Roman" w:hAnsi="Sylfaen" w:cs="Sylfaen"/>
          <w:sz w:val="24"/>
          <w:szCs w:val="24"/>
          <w:lang w:eastAsia="ka-GE"/>
        </w:rPr>
        <w:t>2017 წელს გამოყოფილი ფინანსური რესურსების ეფექტური ხარჯვა</w:t>
      </w:r>
      <w:bookmarkStart w:id="0" w:name="_GoBack"/>
      <w:bookmarkEnd w:id="0"/>
      <w:r w:rsidRPr="00A84D82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14:paraId="76E0FCD5" w14:textId="77777777" w:rsidR="00F64495" w:rsidRPr="00A84D82" w:rsidRDefault="00F64495" w:rsidP="00F64495">
      <w:pPr>
        <w:spacing w:after="120" w:line="360" w:lineRule="auto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r w:rsidRPr="00A84D82">
        <w:rPr>
          <w:rFonts w:ascii="Sylfaen" w:eastAsia="Times New Roman" w:hAnsi="Sylfaen" w:cs="Sylfaen"/>
          <w:b/>
          <w:bCs/>
          <w:sz w:val="24"/>
          <w:szCs w:val="24"/>
        </w:rPr>
        <w:t>პროექტის</w:t>
      </w:r>
      <w:r w:rsidRPr="00A84D82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</w:rPr>
        <w:t>განხორციელების</w:t>
      </w:r>
      <w:r w:rsidRPr="00A84D82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</w:rPr>
        <w:t>ვადები</w:t>
      </w:r>
    </w:p>
    <w:p w14:paraId="30507449" w14:textId="7E874069" w:rsidR="00F64495" w:rsidRPr="00A84D82" w:rsidRDefault="00F64495" w:rsidP="00F64495">
      <w:pPr>
        <w:spacing w:before="100" w:beforeAutospacing="1" w:after="100" w:afterAutospacing="1" w:line="360" w:lineRule="auto"/>
        <w:ind w:firstLine="708"/>
        <w:rPr>
          <w:rFonts w:ascii="Sylfaen" w:eastAsia="Times New Roman" w:hAnsi="Sylfaen" w:cs="Times New Roman"/>
          <w:sz w:val="24"/>
          <w:szCs w:val="24"/>
          <w:lang w:eastAsia="ka-GE"/>
        </w:rPr>
      </w:pPr>
      <w:r w:rsidRPr="00A84D82">
        <w:rPr>
          <w:rFonts w:ascii="Sylfaen" w:eastAsia="Times New Roman" w:hAnsi="Sylfaen" w:cs="Times New Roman"/>
          <w:sz w:val="24"/>
          <w:szCs w:val="24"/>
          <w:lang w:eastAsia="ka-GE"/>
        </w:rPr>
        <w:t>პროექტის განხორციელების ვადაა 201</w:t>
      </w:r>
      <w:r w:rsidR="00F25134">
        <w:rPr>
          <w:rFonts w:ascii="Sylfaen" w:eastAsia="Times New Roman" w:hAnsi="Sylfaen" w:cs="Times New Roman"/>
          <w:sz w:val="24"/>
          <w:szCs w:val="24"/>
          <w:lang w:eastAsia="ka-GE"/>
        </w:rPr>
        <w:t>7</w:t>
      </w:r>
      <w:r w:rsidR="00326E48" w:rsidRPr="00A84D82">
        <w:rPr>
          <w:rFonts w:ascii="Sylfaen" w:eastAsia="Times New Roman" w:hAnsi="Sylfaen" w:cs="Times New Roman"/>
          <w:sz w:val="24"/>
          <w:szCs w:val="24"/>
          <w:lang w:eastAsia="ka-GE"/>
        </w:rPr>
        <w:t xml:space="preserve"> წლის 31 დეკემბრამდე</w:t>
      </w:r>
      <w:r w:rsidRPr="00A84D82">
        <w:rPr>
          <w:rFonts w:ascii="Sylfaen" w:eastAsia="Times New Roman" w:hAnsi="Sylfaen" w:cs="Times New Roman"/>
          <w:sz w:val="24"/>
          <w:szCs w:val="24"/>
          <w:lang w:eastAsia="ka-GE"/>
        </w:rPr>
        <w:t>.</w:t>
      </w:r>
    </w:p>
    <w:p w14:paraId="1989E692" w14:textId="77777777" w:rsidR="00F64495" w:rsidRPr="00A84D82" w:rsidRDefault="00F64495" w:rsidP="00F644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პროექტის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ავტორი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და</w:t>
      </w:r>
      <w:r w:rsidRPr="00A84D8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A84D8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წარმდგენი</w:t>
      </w:r>
    </w:p>
    <w:p w14:paraId="5A5F1E8B" w14:textId="77777777" w:rsidR="00F64495" w:rsidRPr="00A84D82" w:rsidRDefault="00F64495" w:rsidP="00F64495">
      <w:pPr>
        <w:spacing w:after="200" w:line="276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</w:rPr>
      </w:pPr>
      <w:r w:rsidRPr="00A84D82">
        <w:rPr>
          <w:rFonts w:ascii="Sylfaen" w:eastAsia="Times New Roman" w:hAnsi="Sylfaen" w:cs="Times New Roman"/>
          <w:sz w:val="24"/>
          <w:szCs w:val="24"/>
        </w:rPr>
        <w:t>პროექტის ავტორია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ცენტრი.</w:t>
      </w:r>
    </w:p>
    <w:p w14:paraId="0E239A7C" w14:textId="77777777" w:rsidR="00F64495" w:rsidRPr="00A84D82" w:rsidRDefault="00F64495" w:rsidP="00F64495">
      <w:pPr>
        <w:spacing w:after="200" w:line="276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</w:rPr>
      </w:pPr>
      <w:r w:rsidRPr="00A84D82">
        <w:rPr>
          <w:rFonts w:ascii="Sylfaen" w:eastAsia="Times New Roman" w:hAnsi="Sylfaen" w:cs="Times New Roman"/>
          <w:sz w:val="24"/>
          <w:szCs w:val="24"/>
        </w:rPr>
        <w:t xml:space="preserve">პროექტის წარმდგენია საქართველოს შრომის, ჯანმრთელობისა და სოციალური დაცვის სამინისტრო. </w:t>
      </w:r>
    </w:p>
    <w:sectPr w:rsidR="00F64495" w:rsidRPr="00A84D82" w:rsidSect="00D174E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F711B" w14:textId="77777777" w:rsidR="003E26E4" w:rsidRDefault="003E26E4" w:rsidP="00D1789B">
      <w:pPr>
        <w:spacing w:after="0" w:line="240" w:lineRule="auto"/>
      </w:pPr>
      <w:r>
        <w:separator/>
      </w:r>
    </w:p>
  </w:endnote>
  <w:endnote w:type="continuationSeparator" w:id="0">
    <w:p w14:paraId="5675B2ED" w14:textId="77777777" w:rsidR="003E26E4" w:rsidRDefault="003E26E4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B402B" w14:textId="77777777" w:rsidR="003E26E4" w:rsidRDefault="003E26E4" w:rsidP="00D1789B">
      <w:pPr>
        <w:spacing w:after="0" w:line="240" w:lineRule="auto"/>
      </w:pPr>
      <w:r>
        <w:separator/>
      </w:r>
    </w:p>
  </w:footnote>
  <w:footnote w:type="continuationSeparator" w:id="0">
    <w:p w14:paraId="5D3AA358" w14:textId="77777777" w:rsidR="003E26E4" w:rsidRDefault="003E26E4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1582" w14:textId="4F5B6F46" w:rsidR="00D1789B" w:rsidRPr="00DD4A6C" w:rsidRDefault="00DD4A6C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707CA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566D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4"/>
  </w:num>
  <w:num w:numId="5">
    <w:abstractNumId w:val="19"/>
  </w:num>
  <w:num w:numId="6">
    <w:abstractNumId w:val="2"/>
  </w:num>
  <w:num w:numId="7">
    <w:abstractNumId w:val="20"/>
  </w:num>
  <w:num w:numId="8">
    <w:abstractNumId w:val="18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16"/>
  </w:num>
  <w:num w:numId="15">
    <w:abstractNumId w:val="0"/>
  </w:num>
  <w:num w:numId="16">
    <w:abstractNumId w:val="6"/>
  </w:num>
  <w:num w:numId="17">
    <w:abstractNumId w:val="13"/>
  </w:num>
  <w:num w:numId="18">
    <w:abstractNumId w:val="17"/>
  </w:num>
  <w:num w:numId="19">
    <w:abstractNumId w:val="5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36E96"/>
    <w:rsid w:val="0005282F"/>
    <w:rsid w:val="0006081E"/>
    <w:rsid w:val="00065A60"/>
    <w:rsid w:val="0008422B"/>
    <w:rsid w:val="000D0C74"/>
    <w:rsid w:val="000D1597"/>
    <w:rsid w:val="000E2121"/>
    <w:rsid w:val="000E4350"/>
    <w:rsid w:val="00107055"/>
    <w:rsid w:val="00122996"/>
    <w:rsid w:val="0014105E"/>
    <w:rsid w:val="00153200"/>
    <w:rsid w:val="00156696"/>
    <w:rsid w:val="00160921"/>
    <w:rsid w:val="00185B91"/>
    <w:rsid w:val="001C00E8"/>
    <w:rsid w:val="001C7604"/>
    <w:rsid w:val="001E6667"/>
    <w:rsid w:val="001F2BBE"/>
    <w:rsid w:val="001F70AC"/>
    <w:rsid w:val="002201AB"/>
    <w:rsid w:val="00222124"/>
    <w:rsid w:val="002379CF"/>
    <w:rsid w:val="002472D4"/>
    <w:rsid w:val="00273E4C"/>
    <w:rsid w:val="00275821"/>
    <w:rsid w:val="00283B53"/>
    <w:rsid w:val="0029343A"/>
    <w:rsid w:val="002935C6"/>
    <w:rsid w:val="00294B96"/>
    <w:rsid w:val="00297F95"/>
    <w:rsid w:val="002A1286"/>
    <w:rsid w:val="002A6D5E"/>
    <w:rsid w:val="002C1CD4"/>
    <w:rsid w:val="002D51F5"/>
    <w:rsid w:val="002E0075"/>
    <w:rsid w:val="003069E4"/>
    <w:rsid w:val="00312659"/>
    <w:rsid w:val="00321FDE"/>
    <w:rsid w:val="00326E48"/>
    <w:rsid w:val="00332334"/>
    <w:rsid w:val="00340DA8"/>
    <w:rsid w:val="00373D47"/>
    <w:rsid w:val="00384780"/>
    <w:rsid w:val="0039183B"/>
    <w:rsid w:val="003A2B1D"/>
    <w:rsid w:val="003A6BB9"/>
    <w:rsid w:val="003D2631"/>
    <w:rsid w:val="003E1521"/>
    <w:rsid w:val="003E26E4"/>
    <w:rsid w:val="003F7590"/>
    <w:rsid w:val="004168D8"/>
    <w:rsid w:val="00444C93"/>
    <w:rsid w:val="00486EBC"/>
    <w:rsid w:val="0049628A"/>
    <w:rsid w:val="004A0B8D"/>
    <w:rsid w:val="004A44C6"/>
    <w:rsid w:val="004B5A23"/>
    <w:rsid w:val="004C7A76"/>
    <w:rsid w:val="004C7B7D"/>
    <w:rsid w:val="004E4A04"/>
    <w:rsid w:val="00504A5C"/>
    <w:rsid w:val="005318CC"/>
    <w:rsid w:val="005427E3"/>
    <w:rsid w:val="00552F09"/>
    <w:rsid w:val="005571C9"/>
    <w:rsid w:val="00560DB8"/>
    <w:rsid w:val="00572669"/>
    <w:rsid w:val="005730BC"/>
    <w:rsid w:val="005C17E1"/>
    <w:rsid w:val="005D6702"/>
    <w:rsid w:val="005E0128"/>
    <w:rsid w:val="005E3010"/>
    <w:rsid w:val="005E64C0"/>
    <w:rsid w:val="005E7970"/>
    <w:rsid w:val="005F1DC5"/>
    <w:rsid w:val="005F23F5"/>
    <w:rsid w:val="005F58F7"/>
    <w:rsid w:val="00604D1C"/>
    <w:rsid w:val="006124CF"/>
    <w:rsid w:val="00633C61"/>
    <w:rsid w:val="00635333"/>
    <w:rsid w:val="0064097B"/>
    <w:rsid w:val="006453A9"/>
    <w:rsid w:val="00665C33"/>
    <w:rsid w:val="00685F27"/>
    <w:rsid w:val="00687206"/>
    <w:rsid w:val="00695914"/>
    <w:rsid w:val="006A3FC3"/>
    <w:rsid w:val="006A61C2"/>
    <w:rsid w:val="006B2244"/>
    <w:rsid w:val="006E133D"/>
    <w:rsid w:val="006E409E"/>
    <w:rsid w:val="006F2A75"/>
    <w:rsid w:val="0071302D"/>
    <w:rsid w:val="0072793A"/>
    <w:rsid w:val="00765E6C"/>
    <w:rsid w:val="00774DB2"/>
    <w:rsid w:val="0077709A"/>
    <w:rsid w:val="0078691E"/>
    <w:rsid w:val="007A1A7C"/>
    <w:rsid w:val="007C64DE"/>
    <w:rsid w:val="007C6EE3"/>
    <w:rsid w:val="007F4992"/>
    <w:rsid w:val="007F77B5"/>
    <w:rsid w:val="00803E6D"/>
    <w:rsid w:val="0084720D"/>
    <w:rsid w:val="008515F8"/>
    <w:rsid w:val="00854C5A"/>
    <w:rsid w:val="00863FC2"/>
    <w:rsid w:val="00866682"/>
    <w:rsid w:val="008721D5"/>
    <w:rsid w:val="008914E4"/>
    <w:rsid w:val="008974AF"/>
    <w:rsid w:val="008A1246"/>
    <w:rsid w:val="008B35BA"/>
    <w:rsid w:val="008B6DD6"/>
    <w:rsid w:val="008E1668"/>
    <w:rsid w:val="008E28E5"/>
    <w:rsid w:val="008E4036"/>
    <w:rsid w:val="008E6764"/>
    <w:rsid w:val="00910D97"/>
    <w:rsid w:val="00924B86"/>
    <w:rsid w:val="00931923"/>
    <w:rsid w:val="00962FDD"/>
    <w:rsid w:val="00964902"/>
    <w:rsid w:val="009918EA"/>
    <w:rsid w:val="009A0597"/>
    <w:rsid w:val="009B0455"/>
    <w:rsid w:val="009B1FC2"/>
    <w:rsid w:val="009B3A8F"/>
    <w:rsid w:val="009C2CEB"/>
    <w:rsid w:val="009E29A6"/>
    <w:rsid w:val="009F00C3"/>
    <w:rsid w:val="009F09EA"/>
    <w:rsid w:val="00A06B02"/>
    <w:rsid w:val="00A106D8"/>
    <w:rsid w:val="00A15F73"/>
    <w:rsid w:val="00A22A5D"/>
    <w:rsid w:val="00A365EC"/>
    <w:rsid w:val="00A544A6"/>
    <w:rsid w:val="00A6009C"/>
    <w:rsid w:val="00A6173B"/>
    <w:rsid w:val="00A70B69"/>
    <w:rsid w:val="00A84D82"/>
    <w:rsid w:val="00A953E6"/>
    <w:rsid w:val="00A97873"/>
    <w:rsid w:val="00AA3E0F"/>
    <w:rsid w:val="00AB5146"/>
    <w:rsid w:val="00AC3D16"/>
    <w:rsid w:val="00AC53BC"/>
    <w:rsid w:val="00AC7B93"/>
    <w:rsid w:val="00AE63E9"/>
    <w:rsid w:val="00B017E6"/>
    <w:rsid w:val="00B03FA1"/>
    <w:rsid w:val="00B07D84"/>
    <w:rsid w:val="00B12039"/>
    <w:rsid w:val="00B16954"/>
    <w:rsid w:val="00B2011C"/>
    <w:rsid w:val="00B33178"/>
    <w:rsid w:val="00B35673"/>
    <w:rsid w:val="00B37CA9"/>
    <w:rsid w:val="00B37E53"/>
    <w:rsid w:val="00B44DA2"/>
    <w:rsid w:val="00B64AEC"/>
    <w:rsid w:val="00B66745"/>
    <w:rsid w:val="00B71C3C"/>
    <w:rsid w:val="00B74A36"/>
    <w:rsid w:val="00B841DA"/>
    <w:rsid w:val="00B873E7"/>
    <w:rsid w:val="00B94165"/>
    <w:rsid w:val="00B95BB9"/>
    <w:rsid w:val="00BA1DEE"/>
    <w:rsid w:val="00BB10C5"/>
    <w:rsid w:val="00BC356C"/>
    <w:rsid w:val="00BE1B8F"/>
    <w:rsid w:val="00BF2BD2"/>
    <w:rsid w:val="00C020E8"/>
    <w:rsid w:val="00C103D7"/>
    <w:rsid w:val="00C2171C"/>
    <w:rsid w:val="00C35804"/>
    <w:rsid w:val="00C45CA5"/>
    <w:rsid w:val="00C54908"/>
    <w:rsid w:val="00C554FD"/>
    <w:rsid w:val="00C55848"/>
    <w:rsid w:val="00C639F9"/>
    <w:rsid w:val="00C652F5"/>
    <w:rsid w:val="00CA0A81"/>
    <w:rsid w:val="00CA37CF"/>
    <w:rsid w:val="00CA6A0F"/>
    <w:rsid w:val="00CC1A4B"/>
    <w:rsid w:val="00CC1B17"/>
    <w:rsid w:val="00CD64F4"/>
    <w:rsid w:val="00CF040D"/>
    <w:rsid w:val="00D02163"/>
    <w:rsid w:val="00D05B30"/>
    <w:rsid w:val="00D10158"/>
    <w:rsid w:val="00D174ED"/>
    <w:rsid w:val="00D1789B"/>
    <w:rsid w:val="00D21746"/>
    <w:rsid w:val="00D27487"/>
    <w:rsid w:val="00D348BB"/>
    <w:rsid w:val="00D652AA"/>
    <w:rsid w:val="00D71C33"/>
    <w:rsid w:val="00D80231"/>
    <w:rsid w:val="00D9435A"/>
    <w:rsid w:val="00DB298C"/>
    <w:rsid w:val="00DB7DD1"/>
    <w:rsid w:val="00DD4A6C"/>
    <w:rsid w:val="00DD598D"/>
    <w:rsid w:val="00E05C87"/>
    <w:rsid w:val="00E33F23"/>
    <w:rsid w:val="00E41501"/>
    <w:rsid w:val="00E41B3A"/>
    <w:rsid w:val="00E41DC8"/>
    <w:rsid w:val="00E97760"/>
    <w:rsid w:val="00EB01DD"/>
    <w:rsid w:val="00EB447C"/>
    <w:rsid w:val="00EC0CA7"/>
    <w:rsid w:val="00EE0DAE"/>
    <w:rsid w:val="00F03882"/>
    <w:rsid w:val="00F074C0"/>
    <w:rsid w:val="00F077BF"/>
    <w:rsid w:val="00F11C81"/>
    <w:rsid w:val="00F16EA2"/>
    <w:rsid w:val="00F25134"/>
    <w:rsid w:val="00F46F46"/>
    <w:rsid w:val="00F54C61"/>
    <w:rsid w:val="00F55806"/>
    <w:rsid w:val="00F57DE4"/>
    <w:rsid w:val="00F61AC7"/>
    <w:rsid w:val="00F64495"/>
    <w:rsid w:val="00F7235B"/>
    <w:rsid w:val="00FA02DE"/>
    <w:rsid w:val="00FB1A72"/>
    <w:rsid w:val="00FB5357"/>
    <w:rsid w:val="00FC6123"/>
    <w:rsid w:val="00FC7986"/>
    <w:rsid w:val="00FD0DFA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  <w15:docId w15:val="{4D202E30-612C-4B22-9BF8-CC1D175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Khvicha Getia</cp:lastModifiedBy>
  <cp:revision>2</cp:revision>
  <dcterms:created xsi:type="dcterms:W3CDTF">2017-09-08T15:02:00Z</dcterms:created>
  <dcterms:modified xsi:type="dcterms:W3CDTF">2017-09-08T15:02:00Z</dcterms:modified>
</cp:coreProperties>
</file>