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6A872" w14:textId="77777777" w:rsidR="00E060AA" w:rsidRDefault="00E060AA" w:rsidP="00753C03">
      <w:pPr>
        <w:rPr>
          <w:lang w:val="en-US"/>
        </w:rPr>
      </w:pPr>
      <w:bookmarkStart w:id="0" w:name="_Hlk64878492"/>
      <w:r>
        <w:rPr>
          <w:lang w:val="en-US"/>
        </w:rPr>
        <w:t>28.02.2021</w:t>
      </w:r>
    </w:p>
    <w:p w14:paraId="7072AE4F" w14:textId="4635D4EF" w:rsidR="00753C03" w:rsidRDefault="00753C03" w:rsidP="00753C03">
      <w:r>
        <w:t xml:space="preserve">მსოფლიოში ბოლო 3 თვეა დაწყებულია </w:t>
      </w:r>
      <w:r>
        <w:rPr>
          <w:lang w:val="en-US"/>
        </w:rPr>
        <w:t>COVID-</w:t>
      </w:r>
      <w:r>
        <w:t xml:space="preserve">საწინააღმდეგო ვაქცინაციის კამპანია. ბოლო მონაცემებით, ჯამში გაკეთებულია </w:t>
      </w:r>
      <w:r w:rsidR="00A0377D">
        <w:rPr>
          <w:lang w:val="en-US"/>
        </w:rPr>
        <w:t>2</w:t>
      </w:r>
      <w:r w:rsidR="00A0377D">
        <w:t>36 591 142</w:t>
      </w:r>
      <w:r w:rsidR="00A0377D">
        <w:rPr>
          <w:lang w:val="en-US"/>
        </w:rPr>
        <w:t xml:space="preserve"> </w:t>
      </w:r>
      <w:r w:rsidR="00FA0613">
        <w:rPr>
          <w:lang w:val="en-US"/>
        </w:rPr>
        <w:t xml:space="preserve"> </w:t>
      </w:r>
      <w:r>
        <w:t xml:space="preserve">დოზა აცრა. ვაქცინაცია დაწყებულია </w:t>
      </w:r>
      <w:r w:rsidR="00A0377D">
        <w:rPr>
          <w:lang w:val="en-US"/>
        </w:rPr>
        <w:t>108</w:t>
      </w:r>
      <w:r>
        <w:rPr>
          <w:lang w:val="en-US"/>
        </w:rPr>
        <w:t xml:space="preserve"> </w:t>
      </w:r>
      <w:r>
        <w:t xml:space="preserve">ქვეყანასა და რეგიონში. აღნიშნული ტემპით გაგრძელების შემთხვევაში, მოსახლეობის სრულად ასაცრელად და კოლექტიური იმუნიტეტის მისაღწევად (აცრილია 75%) გათვლებით </w:t>
      </w:r>
      <w:r w:rsidRPr="00D20709">
        <w:rPr>
          <w:u w:val="single"/>
        </w:rPr>
        <w:t xml:space="preserve">საჭიროა </w:t>
      </w:r>
      <w:r w:rsidR="00A0377D">
        <w:rPr>
          <w:lang w:val="en-US"/>
        </w:rPr>
        <w:t>4.6</w:t>
      </w:r>
      <w:r w:rsidRPr="00D20709">
        <w:rPr>
          <w:u w:val="single"/>
        </w:rPr>
        <w:t xml:space="preserve"> წელი</w:t>
      </w:r>
      <w:r>
        <w:t>.</w:t>
      </w:r>
    </w:p>
    <w:p w14:paraId="7E055690" w14:textId="10A259B0" w:rsidR="00753C03" w:rsidRPr="00A0377D" w:rsidRDefault="00753C03" w:rsidP="00753C03">
      <w:r>
        <w:t>იმ ქვეყნებში, სადაც სრულად არის მოსახლეობა აცრილი, ლიდერობ</w:t>
      </w:r>
      <w:r w:rsidR="00A0377D">
        <w:t xml:space="preserve">ენ: </w:t>
      </w:r>
      <w:r w:rsidR="00A0377D" w:rsidRPr="00A0377D">
        <w:t xml:space="preserve">გიბრალტარი (38.6%), ისრაელი (38.1%), სეიშელი (24.5%), ბერმუდები (7.7%), სერბეთი (7.5%), კუნძული მენი (7.4%), </w:t>
      </w:r>
      <w:r w:rsidR="00A0377D">
        <w:t>ა</w:t>
      </w:r>
      <w:r w:rsidR="00A0377D" w:rsidRPr="00A0377D">
        <w:t>შშ (7.1%) და მალტა (5.3%).</w:t>
      </w:r>
    </w:p>
    <w:p w14:paraId="6CA33845" w14:textId="41834AAA" w:rsidR="00A0377D" w:rsidRPr="00625780" w:rsidRDefault="00753C03" w:rsidP="00A0377D">
      <w:r>
        <w:t>აბსოლუტური ციფრებში ლიდერობ</w:t>
      </w:r>
      <w:r w:rsidR="00A0377D">
        <w:t>ენ: აშშ (72 806 180),  ჩინეთი (40 500 000)</w:t>
      </w:r>
      <w:r w:rsidR="00A0377D" w:rsidRPr="00625780">
        <w:t>,</w:t>
      </w:r>
      <w:r w:rsidR="00A0377D">
        <w:t xml:space="preserve"> გაერთიანებული სამეფო (20 271 405), ინდოეთი (13 756 940), თურქეთი (8 536 212).</w:t>
      </w:r>
    </w:p>
    <w:p w14:paraId="4A574234" w14:textId="6990E063" w:rsidR="00FA0613" w:rsidRDefault="00753C03" w:rsidP="00CA7397">
      <w:r>
        <w:t xml:space="preserve">ევროკავშირში ჯამში ამ დროისთვის აცრილია </w:t>
      </w:r>
      <w:r w:rsidR="00A0377D">
        <w:t>32 271 405 ადამიანი (7.26%), საიდანაც ორი დოზით აცრილია 2</w:t>
      </w:r>
      <w:r w:rsidR="00A0377D">
        <w:rPr>
          <w:lang w:val="en-US"/>
        </w:rPr>
        <w:t>.</w:t>
      </w:r>
      <w:r w:rsidR="00A0377D">
        <w:t>4%</w:t>
      </w:r>
      <w:r w:rsidR="00FE479C">
        <w:t>.</w:t>
      </w:r>
    </w:p>
    <w:p w14:paraId="75FD229C" w14:textId="0D7AF919" w:rsidR="00FE479C" w:rsidRDefault="00FE479C" w:rsidP="00CA7397">
      <w:r>
        <w:t>მნიშვნელოვანია, რომ ამ დროისათვის ადმინისტრირებული ვაქცინების მთლიანი რაოდენობის 74.34% მოხმარებულია ევროკავშირის, გაერთიანებული სამეფოს, აშშ-ს, კანადის, ისრაელის, იაპონიის და ჩინეთის მიერ.</w:t>
      </w:r>
    </w:p>
    <w:p w14:paraId="72B69D70" w14:textId="5865CE92" w:rsidR="001D1E12" w:rsidRDefault="001D1E12" w:rsidP="00CA7397"/>
    <w:p w14:paraId="649C64C9" w14:textId="3FC0F889" w:rsidR="001D1E12" w:rsidRPr="00A0377D" w:rsidRDefault="001D1E12" w:rsidP="00CA7397">
      <w:pPr>
        <w:rPr>
          <w:lang w:val="en-US"/>
        </w:rPr>
      </w:pPr>
      <w:r>
        <w:rPr>
          <w:noProof/>
        </w:rPr>
        <mc:AlternateContent>
          <mc:Choice Requires="wps">
            <w:drawing>
              <wp:anchor distT="0" distB="0" distL="114300" distR="114300" simplePos="0" relativeHeight="251662336" behindDoc="0" locked="0" layoutInCell="1" allowOverlap="1" wp14:anchorId="690B7D81" wp14:editId="277F608C">
                <wp:simplePos x="0" y="0"/>
                <wp:positionH relativeFrom="column">
                  <wp:posOffset>4448755</wp:posOffset>
                </wp:positionH>
                <wp:positionV relativeFrom="paragraph">
                  <wp:posOffset>1330078</wp:posOffset>
                </wp:positionV>
                <wp:extent cx="2114771" cy="890546"/>
                <wp:effectExtent l="0" t="0" r="19050" b="24130"/>
                <wp:wrapNone/>
                <wp:docPr id="4" name="Text Box 4"/>
                <wp:cNvGraphicFramePr/>
                <a:graphic xmlns:a="http://schemas.openxmlformats.org/drawingml/2006/main">
                  <a:graphicData uri="http://schemas.microsoft.com/office/word/2010/wordprocessingShape">
                    <wps:wsp>
                      <wps:cNvSpPr txBox="1"/>
                      <wps:spPr>
                        <a:xfrm>
                          <a:off x="0" y="0"/>
                          <a:ext cx="2114771" cy="890546"/>
                        </a:xfrm>
                        <a:prstGeom prst="rect">
                          <a:avLst/>
                        </a:prstGeom>
                        <a:solidFill>
                          <a:schemeClr val="lt1"/>
                        </a:solidFill>
                        <a:ln w="6350">
                          <a:solidFill>
                            <a:prstClr val="black"/>
                          </a:solidFill>
                        </a:ln>
                      </wps:spPr>
                      <wps:txbx>
                        <w:txbxContent>
                          <w:p w14:paraId="117CC645" w14:textId="4EE52399" w:rsidR="001D1E12" w:rsidRPr="001D1E12" w:rsidRDefault="001D1E12" w:rsidP="001D1E12">
                            <w:pPr>
                              <w:jc w:val="center"/>
                              <w:rPr>
                                <w:color w:val="2E74B5" w:themeColor="accent5" w:themeShade="BF"/>
                              </w:rPr>
                            </w:pPr>
                            <w:r w:rsidRPr="001D1E12">
                              <w:rPr>
                                <w:color w:val="2E74B5" w:themeColor="accent5" w:themeShade="BF"/>
                              </w:rPr>
                              <w:t xml:space="preserve">ჯამში ევროკავშირის, </w:t>
                            </w:r>
                            <w:r w:rsidR="00FE479C">
                              <w:rPr>
                                <w:color w:val="2E74B5" w:themeColor="accent5" w:themeShade="BF"/>
                              </w:rPr>
                              <w:t xml:space="preserve">გაერთიანებული სამეფო, </w:t>
                            </w:r>
                            <w:r w:rsidRPr="001D1E12">
                              <w:rPr>
                                <w:color w:val="2E74B5" w:themeColor="accent5" w:themeShade="BF"/>
                              </w:rPr>
                              <w:t>აშშ, კანადა, ისრაელი, იაპონია და ჩინეთის მოხმარებულია 74,34%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B7D81" id="_x0000_t202" coordsize="21600,21600" o:spt="202" path="m,l,21600r21600,l21600,xe">
                <v:stroke joinstyle="miter"/>
                <v:path gradientshapeok="t" o:connecttype="rect"/>
              </v:shapetype>
              <v:shape id="Text Box 4" o:spid="_x0000_s1026" type="#_x0000_t202" style="position:absolute;margin-left:350.3pt;margin-top:104.75pt;width:166.5pt;height:7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" fillcolor="white [3201]" strokeweight=".5pt">
                <v:textbox>
                  <w:txbxContent>
                    <w:p w14:paraId="117CC645" w14:textId="4EE52399" w:rsidR="001D1E12" w:rsidRPr="001D1E12" w:rsidRDefault="001D1E12" w:rsidP="001D1E12">
                      <w:pPr>
                        <w:jc w:val="center"/>
                        <w:rPr>
                          <w:color w:val="2E74B5" w:themeColor="accent5" w:themeShade="BF"/>
                        </w:rPr>
                      </w:pPr>
                      <w:r w:rsidRPr="001D1E12">
                        <w:rPr>
                          <w:color w:val="2E74B5" w:themeColor="accent5" w:themeShade="BF"/>
                        </w:rPr>
                        <w:t xml:space="preserve">ჯამში ევროკავშირის, </w:t>
                      </w:r>
                      <w:r w:rsidR="00FE479C">
                        <w:rPr>
                          <w:color w:val="2E74B5" w:themeColor="accent5" w:themeShade="BF"/>
                        </w:rPr>
                        <w:t xml:space="preserve">გაერთიანებული სამეფო, </w:t>
                      </w:r>
                      <w:r w:rsidRPr="001D1E12">
                        <w:rPr>
                          <w:color w:val="2E74B5" w:themeColor="accent5" w:themeShade="BF"/>
                        </w:rPr>
                        <w:t>აშშ, კანადა, ისრაელი, იაპონია და ჩინეთის მოხმარებულია 74,34%</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AA5387C" wp14:editId="3DE7A0E4">
                <wp:simplePos x="0" y="0"/>
                <wp:positionH relativeFrom="column">
                  <wp:posOffset>4235119</wp:posOffset>
                </wp:positionH>
                <wp:positionV relativeFrom="paragraph">
                  <wp:posOffset>383540</wp:posOffset>
                </wp:positionV>
                <wp:extent cx="532130" cy="255905"/>
                <wp:effectExtent l="209550" t="38100" r="20320" b="86995"/>
                <wp:wrapNone/>
                <wp:docPr id="3" name="Callout: Line with Accent Bar 3"/>
                <wp:cNvGraphicFramePr/>
                <a:graphic xmlns:a="http://schemas.openxmlformats.org/drawingml/2006/main">
                  <a:graphicData uri="http://schemas.microsoft.com/office/word/2010/wordprocessingShape">
                    <wps:wsp>
                      <wps:cNvSpPr/>
                      <wps:spPr>
                        <a:xfrm>
                          <a:off x="0" y="0"/>
                          <a:ext cx="532130" cy="255905"/>
                        </a:xfrm>
                        <a:prstGeom prst="accentCallout1">
                          <a:avLst/>
                        </a:prstGeom>
                        <a:solidFill>
                          <a:schemeClr val="bg2"/>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0E9D4" w14:textId="0E199916" w:rsidR="001D1E12" w:rsidRPr="001D1E12" w:rsidRDefault="001D1E12" w:rsidP="001D1E12">
                            <w:pPr>
                              <w:jc w:val="center"/>
                            </w:pPr>
                            <w:r w:rsidRPr="001D1E12">
                              <w:t>0,</w:t>
                            </w:r>
                            <w:r>
                              <w:t>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A5387C"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Callout: Line with Accent Bar 3" o:spid="_x0000_s1027" type="#_x0000_t44" style="position:absolute;margin-left:333.45pt;margin-top:30.2pt;width:41.9pt;height:20.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" fillcolor="#e7e6e6 [3214]" strokecolor="#b4c6e7 [1300]" strokeweight="1pt">
                <v:textbox>
                  <w:txbxContent>
                    <w:p w14:paraId="0D70E9D4" w14:textId="0E199916" w:rsidR="001D1E12" w:rsidRPr="001D1E12" w:rsidRDefault="001D1E12" w:rsidP="001D1E12">
                      <w:pPr>
                        <w:jc w:val="center"/>
                      </w:pPr>
                      <w:r w:rsidRPr="001D1E12">
                        <w:t>0,</w:t>
                      </w:r>
                      <w:r>
                        <w:t>01</w:t>
                      </w:r>
                    </w:p>
                  </w:txbxContent>
                </v:textbox>
                <o:callout v:ext="edit" minusy="t"/>
              </v:shape>
            </w:pict>
          </mc:Fallback>
        </mc:AlternateContent>
      </w:r>
      <w:r>
        <w:rPr>
          <w:noProof/>
        </w:rPr>
        <mc:AlternateContent>
          <mc:Choice Requires="wps">
            <w:drawing>
              <wp:anchor distT="0" distB="0" distL="114300" distR="114300" simplePos="0" relativeHeight="251659264" behindDoc="0" locked="0" layoutInCell="1" allowOverlap="1" wp14:anchorId="5EBBFA0E" wp14:editId="7ACEFA30">
                <wp:simplePos x="0" y="0"/>
                <wp:positionH relativeFrom="column">
                  <wp:posOffset>4228934</wp:posOffset>
                </wp:positionH>
                <wp:positionV relativeFrom="paragraph">
                  <wp:posOffset>835439</wp:posOffset>
                </wp:positionV>
                <wp:extent cx="532737" cy="256098"/>
                <wp:effectExtent l="209550" t="38100" r="20320" b="86995"/>
                <wp:wrapNone/>
                <wp:docPr id="2" name="Callout: Line with Accent Bar 2"/>
                <wp:cNvGraphicFramePr/>
                <a:graphic xmlns:a="http://schemas.openxmlformats.org/drawingml/2006/main">
                  <a:graphicData uri="http://schemas.microsoft.com/office/word/2010/wordprocessingShape">
                    <wps:wsp>
                      <wps:cNvSpPr/>
                      <wps:spPr>
                        <a:xfrm>
                          <a:off x="0" y="0"/>
                          <a:ext cx="532737" cy="256098"/>
                        </a:xfrm>
                        <a:prstGeom prst="accentCallout1">
                          <a:avLst/>
                        </a:prstGeom>
                        <a:solidFill>
                          <a:schemeClr val="bg2"/>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0B881" w14:textId="62390B9D" w:rsidR="001D1E12" w:rsidRPr="001D1E12" w:rsidRDefault="001D1E12" w:rsidP="001D1E12">
                            <w:pPr>
                              <w:jc w:val="center"/>
                            </w:pPr>
                            <w:r w:rsidRPr="001D1E12">
                              <w:t>0,77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BBFA0E" id="Callout: Line with Accent Bar 2" o:spid="_x0000_s1028" type="#_x0000_t44" style="position:absolute;margin-left:333pt;margin-top:65.8pt;width:41.95pt;height:2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" fillcolor="#e7e6e6 [3214]" strokecolor="#b4c6e7 [1300]" strokeweight="1pt">
                <v:textbox>
                  <w:txbxContent>
                    <w:p w14:paraId="6BF0B881" w14:textId="62390B9D" w:rsidR="001D1E12" w:rsidRPr="001D1E12" w:rsidRDefault="001D1E12" w:rsidP="001D1E12">
                      <w:pPr>
                        <w:jc w:val="center"/>
                      </w:pPr>
                      <w:r w:rsidRPr="001D1E12">
                        <w:t>0,77</w:t>
                      </w:r>
                    </w:p>
                  </w:txbxContent>
                </v:textbox>
                <o:callout v:ext="edit" minusy="t"/>
              </v:shape>
            </w:pict>
          </mc:Fallback>
        </mc:AlternateContent>
      </w:r>
      <w:r>
        <w:rPr>
          <w:noProof/>
        </w:rPr>
        <mc:AlternateContent>
          <mc:Choice Requires="cx2">
            <w:drawing>
              <wp:inline distT="0" distB="0" distL="0" distR="0" wp14:anchorId="6B5BBD79" wp14:editId="61C36565">
                <wp:extent cx="6854024" cy="4548146"/>
                <wp:effectExtent l="0" t="0" r="4445" b="5080"/>
                <wp:docPr id="1" name="Chart 1">
                  <a:extLst xmlns:a="http://schemas.openxmlformats.org/drawingml/2006/main">
                    <a:ext uri="{FF2B5EF4-FFF2-40B4-BE49-F238E27FC236}">
                      <a16:creationId xmlns:a16="http://schemas.microsoft.com/office/drawing/2014/main" id="{173F33E1-CCA4-4890-81F1-B0C967665DD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14:anchorId="6B5BBD79" wp14:editId="61C36565">
                <wp:extent cx="6854024" cy="4548146"/>
                <wp:effectExtent l="0" t="0" r="4445" b="5080"/>
                <wp:docPr id="1" name="Chart 1">
                  <a:extLst xmlns:a="http://schemas.openxmlformats.org/drawingml/2006/main">
                    <a:ext uri="{FF2B5EF4-FFF2-40B4-BE49-F238E27FC236}">
                      <a16:creationId xmlns:a16="http://schemas.microsoft.com/office/drawing/2014/main" id="{173F33E1-CCA4-4890-81F1-B0C967665DD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a:extLst>
                            <a:ext uri="{FF2B5EF4-FFF2-40B4-BE49-F238E27FC236}">
                              <a16:creationId xmlns:a16="http://schemas.microsoft.com/office/drawing/2014/main" id="{173F33E1-CCA4-4890-81F1-B0C967665DDE}"/>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6853555" cy="4547870"/>
                        </a:xfrm>
                        <a:prstGeom prst="rect">
                          <a:avLst/>
                        </a:prstGeom>
                      </pic:spPr>
                    </pic:pic>
                  </a:graphicData>
                </a:graphic>
              </wp:inline>
            </w:drawing>
          </mc:Fallback>
        </mc:AlternateContent>
      </w:r>
    </w:p>
    <w:p w14:paraId="6531AFB6" w14:textId="77777777" w:rsidR="00377F5A" w:rsidRDefault="00377F5A" w:rsidP="00377F5A"/>
    <w:p w14:paraId="584C9C95" w14:textId="41B2FB7D" w:rsidR="00E9711B" w:rsidRDefault="00753C03" w:rsidP="00CA7397">
      <w:r>
        <w:t xml:space="preserve">ვაქცინაციისთვის ძირითადად გამოიყენება </w:t>
      </w:r>
      <w:r w:rsidRPr="00753C03">
        <w:t>Pfizer</w:t>
      </w:r>
      <w:r>
        <w:t>-ის,</w:t>
      </w:r>
      <w:r w:rsidRPr="00753C03">
        <w:t xml:space="preserve"> Moderna</w:t>
      </w:r>
      <w:r>
        <w:t xml:space="preserve">-ს და </w:t>
      </w:r>
      <w:r w:rsidRPr="00753C03">
        <w:t>AstraZeneca</w:t>
      </w:r>
      <w:r>
        <w:t>-ს ვაქცინები.</w:t>
      </w:r>
      <w:r w:rsidR="00423417">
        <w:t xml:space="preserve"> </w:t>
      </w:r>
    </w:p>
    <w:p w14:paraId="460CBE79" w14:textId="7D7297C2" w:rsidR="00753C03" w:rsidRDefault="00E9711B" w:rsidP="00CA7397">
      <w:r>
        <w:t>ჯანმო-ს მიერ გადაუდებელი მოხმარებაზე ნებართვა (</w:t>
      </w:r>
      <w:r w:rsidRPr="00E9711B">
        <w:t xml:space="preserve">Emergency Use Listing </w:t>
      </w:r>
      <w:r>
        <w:t xml:space="preserve">- </w:t>
      </w:r>
      <w:r w:rsidRPr="00E9711B">
        <w:t>EULs)</w:t>
      </w:r>
      <w:r>
        <w:t xml:space="preserve"> </w:t>
      </w:r>
      <w:r w:rsidRPr="00E9711B">
        <w:t>Pfizer</w:t>
      </w:r>
      <w:r>
        <w:t>-თვის გაიცა 31.12.2020</w:t>
      </w:r>
      <w:r w:rsidR="00FE479C">
        <w:t xml:space="preserve">. უკვე </w:t>
      </w:r>
      <w:r>
        <w:t xml:space="preserve">15.02.2021 ნებართვა მიეცა </w:t>
      </w:r>
      <w:r w:rsidRPr="00E9711B">
        <w:t>AstraZeneca/Oxford</w:t>
      </w:r>
      <w:r>
        <w:t>-ს ვაქცინას, წარმოებულს</w:t>
      </w:r>
      <w:r w:rsidRPr="00E9711B">
        <w:t xml:space="preserve"> Serum Institute of </w:t>
      </w:r>
      <w:r w:rsidRPr="00E9711B">
        <w:lastRenderedPageBreak/>
        <w:t xml:space="preserve">India </w:t>
      </w:r>
      <w:r>
        <w:t>და კორეიდ</w:t>
      </w:r>
      <w:r w:rsidRPr="00E9711B">
        <w:t xml:space="preserve"> SKBio.</w:t>
      </w:r>
      <w:r>
        <w:t xml:space="preserve"> ჯანმო-ს გაწერილი აქვს განრიგი ივნისის ჩათვლით. </w:t>
      </w:r>
      <w:r w:rsidR="00423417">
        <w:t>მარტის თვიდან ჯანმო-ს ავტორიზაცია დაგეგმილია:</w:t>
      </w:r>
    </w:p>
    <w:p w14:paraId="761EEF4F" w14:textId="040004BE" w:rsidR="00423417" w:rsidRPr="00423417" w:rsidRDefault="00423417" w:rsidP="00423417">
      <w:pPr>
        <w:pStyle w:val="ListParagraph"/>
        <w:numPr>
          <w:ilvl w:val="0"/>
          <w:numId w:val="5"/>
        </w:numPr>
        <w:rPr>
          <w:rFonts w:ascii="Sylfaen" w:hAnsi="Sylfaen"/>
        </w:rPr>
      </w:pPr>
      <w:r>
        <w:rPr>
          <w:rFonts w:ascii="Sylfaen" w:hAnsi="Sylfaen"/>
          <w:lang w:val="en-US"/>
        </w:rPr>
        <w:t>Sinopharm</w:t>
      </w:r>
      <w:r w:rsidRPr="00423417">
        <w:rPr>
          <w:rFonts w:ascii="Sylfaen" w:hAnsi="Sylfaen"/>
        </w:rPr>
        <w:t xml:space="preserve"> (</w:t>
      </w:r>
      <w:r>
        <w:rPr>
          <w:rFonts w:ascii="Sylfaen" w:hAnsi="Sylfaen"/>
        </w:rPr>
        <w:t>ჩინეთი</w:t>
      </w:r>
      <w:r w:rsidRPr="00423417">
        <w:rPr>
          <w:rFonts w:ascii="Sylfaen" w:hAnsi="Sylfaen"/>
        </w:rPr>
        <w:t>)</w:t>
      </w:r>
    </w:p>
    <w:p w14:paraId="1BCF93F3" w14:textId="3AD98A0B" w:rsidR="00423417" w:rsidRPr="00423417" w:rsidRDefault="00423417" w:rsidP="00423417">
      <w:pPr>
        <w:pStyle w:val="ListParagraph"/>
        <w:numPr>
          <w:ilvl w:val="0"/>
          <w:numId w:val="5"/>
        </w:numPr>
        <w:spacing w:after="0" w:line="240" w:lineRule="auto"/>
        <w:rPr>
          <w:rFonts w:ascii="Sylfaen" w:eastAsia="Times New Roman" w:hAnsi="Sylfaen"/>
        </w:rPr>
      </w:pPr>
      <w:r>
        <w:rPr>
          <w:rFonts w:ascii="Sylfaen" w:eastAsia="Times New Roman" w:hAnsi="Sylfaen"/>
          <w:lang w:val="en-US"/>
        </w:rPr>
        <w:t>Sinovac</w:t>
      </w:r>
      <w:r w:rsidRPr="00423417">
        <w:rPr>
          <w:rFonts w:ascii="Sylfaen" w:eastAsia="Times New Roman" w:hAnsi="Sylfaen"/>
        </w:rPr>
        <w:t xml:space="preserve"> </w:t>
      </w:r>
      <w:r w:rsidRPr="00423417">
        <w:rPr>
          <w:rFonts w:ascii="Sylfaen" w:hAnsi="Sylfaen"/>
        </w:rPr>
        <w:t>(</w:t>
      </w:r>
      <w:r>
        <w:rPr>
          <w:rFonts w:ascii="Sylfaen" w:hAnsi="Sylfaen"/>
        </w:rPr>
        <w:t>ჩინეთი</w:t>
      </w:r>
      <w:r w:rsidRPr="00423417">
        <w:rPr>
          <w:rFonts w:ascii="Sylfaen" w:hAnsi="Sylfaen"/>
        </w:rPr>
        <w:t>)</w:t>
      </w:r>
    </w:p>
    <w:p w14:paraId="056B9AA3" w14:textId="266BCBF4" w:rsidR="00423417" w:rsidRPr="00423417" w:rsidRDefault="00423417" w:rsidP="00423417">
      <w:pPr>
        <w:pStyle w:val="ListParagraph"/>
        <w:numPr>
          <w:ilvl w:val="0"/>
          <w:numId w:val="5"/>
        </w:numPr>
        <w:spacing w:after="0" w:line="240" w:lineRule="auto"/>
        <w:rPr>
          <w:rFonts w:ascii="Sylfaen" w:eastAsia="Times New Roman" w:hAnsi="Sylfaen"/>
        </w:rPr>
      </w:pPr>
      <w:r>
        <w:rPr>
          <w:rFonts w:ascii="Sylfaen" w:eastAsia="Times New Roman" w:hAnsi="Sylfaen"/>
          <w:lang w:val="en-US"/>
        </w:rPr>
        <w:t>Moderna</w:t>
      </w:r>
      <w:r w:rsidRPr="00423417">
        <w:rPr>
          <w:rFonts w:ascii="Sylfaen" w:eastAsia="Times New Roman" w:hAnsi="Sylfaen"/>
        </w:rPr>
        <w:t xml:space="preserve"> (</w:t>
      </w:r>
      <w:r>
        <w:rPr>
          <w:rFonts w:ascii="Sylfaen" w:eastAsia="Times New Roman" w:hAnsi="Sylfaen"/>
        </w:rPr>
        <w:t>აშშ</w:t>
      </w:r>
      <w:r>
        <w:rPr>
          <w:rFonts w:ascii="Sylfaen" w:eastAsia="Times New Roman" w:hAnsi="Sylfaen"/>
          <w:lang w:val="en-US"/>
        </w:rPr>
        <w:t>;</w:t>
      </w:r>
      <w:r>
        <w:rPr>
          <w:rFonts w:ascii="Sylfaen" w:eastAsia="Times New Roman" w:hAnsi="Sylfaen"/>
        </w:rPr>
        <w:t xml:space="preserve"> </w:t>
      </w:r>
      <w:r w:rsidRPr="00423417">
        <w:rPr>
          <w:rFonts w:ascii="Sylfaen" w:hAnsi="Sylfaen"/>
        </w:rPr>
        <w:t>პირველადი გეგმით ავტორიზაცია უნდა მიეღო უკვე თებერვალში და ბოლო განახლებული მონაცემებით გადაიწია</w:t>
      </w:r>
      <w:r w:rsidRPr="00423417">
        <w:rPr>
          <w:rFonts w:ascii="Sylfaen" w:eastAsia="Times New Roman" w:hAnsi="Sylfaen"/>
        </w:rPr>
        <w:t>)</w:t>
      </w:r>
    </w:p>
    <w:p w14:paraId="7BFF18DA" w14:textId="63CB0D62" w:rsidR="00423417" w:rsidRPr="00423417" w:rsidRDefault="00423417" w:rsidP="00423417">
      <w:pPr>
        <w:pStyle w:val="ListParagraph"/>
        <w:numPr>
          <w:ilvl w:val="0"/>
          <w:numId w:val="5"/>
        </w:numPr>
        <w:rPr>
          <w:rFonts w:ascii="Sylfaen" w:hAnsi="Sylfaen"/>
        </w:rPr>
      </w:pPr>
      <w:r w:rsidRPr="00423417">
        <w:rPr>
          <w:rFonts w:ascii="Sylfaen" w:eastAsia="Times New Roman" w:hAnsi="Sylfaen"/>
        </w:rPr>
        <w:t>Johnson &amp; Johnson (</w:t>
      </w:r>
      <w:r>
        <w:rPr>
          <w:rFonts w:ascii="Sylfaen" w:hAnsi="Sylfaen"/>
        </w:rPr>
        <w:t>აშშ/გერმანია;</w:t>
      </w:r>
      <w:r w:rsidRPr="00423417">
        <w:rPr>
          <w:rFonts w:ascii="Sylfaen" w:eastAsia="Times New Roman" w:hAnsi="Sylfaen"/>
        </w:rPr>
        <w:t>გადმოიწია მაისი/ივნისიდან და მიიღებს ავტორიზაციას EMA-ს ავტორიზაციიდან 3-5 დღეში)</w:t>
      </w:r>
    </w:p>
    <w:p w14:paraId="0ABC216A" w14:textId="77EAFE04" w:rsidR="00423417" w:rsidRPr="00423417" w:rsidRDefault="00423417" w:rsidP="00423417">
      <w:pPr>
        <w:pStyle w:val="ListParagraph"/>
        <w:numPr>
          <w:ilvl w:val="0"/>
          <w:numId w:val="5"/>
        </w:numPr>
        <w:rPr>
          <w:rFonts w:ascii="Sylfaen" w:hAnsi="Sylfaen"/>
        </w:rPr>
      </w:pPr>
      <w:r w:rsidRPr="00753C03">
        <w:t>AstraZeneca</w:t>
      </w:r>
      <w:r w:rsidRPr="00423417">
        <w:t>/Oxford</w:t>
      </w:r>
      <w:r w:rsidRPr="00423417">
        <w:rPr>
          <w:rFonts w:ascii="Sylfaen" w:hAnsi="Sylfaen"/>
        </w:rPr>
        <w:t xml:space="preserve"> (</w:t>
      </w:r>
      <w:r>
        <w:rPr>
          <w:rFonts w:ascii="Sylfaen" w:hAnsi="Sylfaen"/>
        </w:rPr>
        <w:t xml:space="preserve">ინგლისი/შვედეთი; </w:t>
      </w:r>
      <w:r w:rsidRPr="00423417">
        <w:rPr>
          <w:rFonts w:ascii="Sylfaen" w:hAnsi="Sylfaen"/>
        </w:rPr>
        <w:t>პირველადი გეგმით ავტორიზაცია უნდა მიეღო უკვე თებერვალში, და ბოლო განახლებული მონაცემებით გადაიწია)</w:t>
      </w:r>
    </w:p>
    <w:p w14:paraId="56AD8BD9" w14:textId="190BD60A" w:rsidR="00423417" w:rsidRDefault="00423417" w:rsidP="00423417">
      <w:pPr>
        <w:pStyle w:val="ListParagraph"/>
        <w:numPr>
          <w:ilvl w:val="0"/>
          <w:numId w:val="3"/>
        </w:numPr>
        <w:spacing w:after="0" w:line="240" w:lineRule="auto"/>
        <w:contextualSpacing w:val="0"/>
        <w:rPr>
          <w:rFonts w:ascii="Sylfaen" w:eastAsia="Times New Roman" w:hAnsi="Sylfaen"/>
        </w:rPr>
      </w:pPr>
    </w:p>
    <w:p w14:paraId="1CABB3BB" w14:textId="0ACC390D" w:rsidR="00423417" w:rsidRDefault="00423417" w:rsidP="00423417">
      <w:pPr>
        <w:rPr>
          <w:rFonts w:ascii="Sylfaen" w:hAnsi="Sylfaen"/>
        </w:rPr>
      </w:pPr>
      <w:r>
        <w:rPr>
          <w:rFonts w:ascii="Sylfaen" w:hAnsi="Sylfaen"/>
        </w:rPr>
        <w:t xml:space="preserve">განაცხადი უკვე შეტანილი აქვს </w:t>
      </w:r>
      <w:r w:rsidRPr="00E7486F">
        <w:rPr>
          <w:rFonts w:ascii="Sylfaen" w:hAnsi="Sylfaen"/>
        </w:rPr>
        <w:t>Novavax (</w:t>
      </w:r>
      <w:r>
        <w:rPr>
          <w:rFonts w:ascii="Sylfaen" w:hAnsi="Sylfaen"/>
        </w:rPr>
        <w:t xml:space="preserve">აშშ), CanSinoBio (ჩინეთი), </w:t>
      </w:r>
      <w:r w:rsidR="00E7486F" w:rsidRPr="00E7486F">
        <w:rPr>
          <w:rFonts w:ascii="Sylfaen" w:hAnsi="Sylfaen"/>
        </w:rPr>
        <w:t>Sinopharm Wuhan</w:t>
      </w:r>
      <w:r>
        <w:rPr>
          <w:rFonts w:ascii="Sylfaen" w:hAnsi="Sylfaen"/>
        </w:rPr>
        <w:t xml:space="preserve"> </w:t>
      </w:r>
      <w:r w:rsidR="00E7486F">
        <w:rPr>
          <w:rFonts w:ascii="Sylfaen" w:hAnsi="Sylfaen"/>
        </w:rPr>
        <w:t xml:space="preserve">(ჩინეთი) </w:t>
      </w:r>
      <w:r>
        <w:rPr>
          <w:rFonts w:ascii="Sylfaen" w:hAnsi="Sylfaen"/>
        </w:rPr>
        <w:t xml:space="preserve">და კიდევ 2 </w:t>
      </w:r>
      <w:r w:rsidR="00E7486F">
        <w:rPr>
          <w:rFonts w:ascii="Sylfaen" w:hAnsi="Sylfaen"/>
        </w:rPr>
        <w:t xml:space="preserve">სხვა, </w:t>
      </w:r>
      <w:r>
        <w:rPr>
          <w:rFonts w:ascii="Sylfaen" w:hAnsi="Sylfaen"/>
        </w:rPr>
        <w:t>ჩინურ</w:t>
      </w:r>
      <w:r w:rsidR="00E7486F">
        <w:rPr>
          <w:rFonts w:ascii="Sylfaen" w:hAnsi="Sylfaen"/>
        </w:rPr>
        <w:t>ი წარმოების ვაქცინას</w:t>
      </w:r>
      <w:r>
        <w:rPr>
          <w:rFonts w:ascii="Sylfaen" w:hAnsi="Sylfaen"/>
        </w:rPr>
        <w:t>.</w:t>
      </w:r>
    </w:p>
    <w:p w14:paraId="391EA46A" w14:textId="3690CB4E" w:rsidR="00E9711B" w:rsidRDefault="00E9711B" w:rsidP="00CA7397">
      <w:r>
        <w:t>საერთაშორისო ბაზარზე ასევე მოთხოვნადი ჩინური და ინდური ვაქცინები, სხვადასხვა ქვეყნის ავტორიზაცი</w:t>
      </w:r>
      <w:r w:rsidR="00FE479C">
        <w:t>ა აქვთ მოპოვებული</w:t>
      </w:r>
      <w:r>
        <w:t>, საკუთარ ტერიტორიაზე მოხმარებისთვის:</w:t>
      </w:r>
    </w:p>
    <w:p w14:paraId="48F5C95B" w14:textId="634DB7BA" w:rsidR="00E9711B" w:rsidRDefault="00E9711B" w:rsidP="00300C96">
      <w:r w:rsidRPr="00E9711B">
        <w:t>Sinopharm</w:t>
      </w:r>
      <w:r w:rsidR="00300C96">
        <w:t xml:space="preserve"> (ჩინეთი) - გამოყენება აქვს ჩინეთში, გაერთანებულ არაბთა ემირატებში, ბაჰრეინში, უნგრეთში, სერბეთში, არგენტინაში, ეგვიპტესა და იორდანიაში</w:t>
      </w:r>
    </w:p>
    <w:p w14:paraId="60D76C9B" w14:textId="601EFC39" w:rsidR="00E9711B" w:rsidRDefault="00E9711B" w:rsidP="00CA7397">
      <w:r w:rsidRPr="00E9711B">
        <w:t>Sinovac Biotech</w:t>
      </w:r>
      <w:r w:rsidR="00300C96">
        <w:t xml:space="preserve"> (ჩინეთი) - გამოყენება </w:t>
      </w:r>
      <w:r w:rsidR="00300C96" w:rsidRPr="00300C96">
        <w:t>ჩინეთში, ჰონგ-კონგში, ბრაზილიაში, ინდონეზიაში და სხვა ქვეყნებში</w:t>
      </w:r>
    </w:p>
    <w:p w14:paraId="0F4E3011" w14:textId="7594AA78" w:rsidR="00E9711B" w:rsidRDefault="00E9711B" w:rsidP="00300C96">
      <w:r w:rsidRPr="00E9711B">
        <w:t>CanSino Biologics</w:t>
      </w:r>
      <w:r w:rsidR="00300C96">
        <w:t xml:space="preserve"> (ჩინეთი) - გამოყენება ჩინეთში, პაკისტანსა და მექსიკაში</w:t>
      </w:r>
    </w:p>
    <w:p w14:paraId="19FD629D" w14:textId="56A3CC14" w:rsidR="00E9711B" w:rsidRDefault="00E9711B" w:rsidP="00CA7397">
      <w:r w:rsidRPr="00E9711B">
        <w:t>Sinopharm-Wuhan</w:t>
      </w:r>
      <w:r w:rsidR="00300C96">
        <w:t xml:space="preserve"> (ჩინეთი) - გამოყენება </w:t>
      </w:r>
      <w:r w:rsidR="00300C96" w:rsidRPr="00300C96">
        <w:t>ჩინეთში და გაერთანებულ არაბთა ემირატებში</w:t>
      </w:r>
    </w:p>
    <w:p w14:paraId="0C8BED4A" w14:textId="2F5BF123" w:rsidR="00E9711B" w:rsidRDefault="00E9711B" w:rsidP="00CA7397">
      <w:r w:rsidRPr="00E9711B">
        <w:t>Covaxin - Bharat Biotech</w:t>
      </w:r>
      <w:r w:rsidR="00300C96">
        <w:t xml:space="preserve"> (ინდოეთი) - გამოყენება ინდოეთში და სხვა ქვეყნებში (არ კონკრეტდება). უკვე ნაყიდი და მიწოდებულია ბრაზილიაში, მონღოლეთში, მიანმარი (ბურმა), შრი ლანკა, ფილიპინები, ბაჰრეინი, ომანი, მალდივები, მავრიკა.</w:t>
      </w:r>
    </w:p>
    <w:p w14:paraId="753E8E19" w14:textId="0A4BF63D" w:rsidR="00E903E7" w:rsidRPr="00300C96" w:rsidRDefault="00E903E7" w:rsidP="00CA7397">
      <w:r>
        <w:t>ჩამონათვალის გარდა, მსოფლიოშ</w:t>
      </w:r>
      <w:r w:rsidR="00FE479C">
        <w:t>ი</w:t>
      </w:r>
      <w:r>
        <w:t xml:space="preserve"> ხელმისაწვდომია რუსული წარმოების </w:t>
      </w:r>
      <w:r w:rsidRPr="00E903E7">
        <w:t>Sputnik V</w:t>
      </w:r>
      <w:r>
        <w:t xml:space="preserve">, </w:t>
      </w:r>
      <w:r w:rsidRPr="00E903E7">
        <w:t>Gamaleya</w:t>
      </w:r>
      <w:r>
        <w:t>-დან (კვლევითი ინსტიტუტი). რუსეთის გარდა აღიარებულია არგენტინაში, ბელარუსში, უნგრეთში, არაბთა გაერთიანებულ საემირეობში</w:t>
      </w:r>
      <w:r w:rsidR="00AA6F6B">
        <w:t xml:space="preserve"> (ჯამშ</w:t>
      </w:r>
      <w:r w:rsidR="00FE479C">
        <w:t>ი</w:t>
      </w:r>
      <w:r w:rsidR="00AA6F6B">
        <w:t xml:space="preserve"> 21 ქვეყანა)</w:t>
      </w:r>
      <w:r>
        <w:t>, ასევე გამოიყენება ბრაზილიის ზოგიერთ რეგიონში და უკრაინის სადაო ტერიტორიებზე.</w:t>
      </w:r>
    </w:p>
    <w:p w14:paraId="64A7FB3B" w14:textId="77777777" w:rsidR="00FE479C" w:rsidRDefault="00FE479C" w:rsidP="00CA7397"/>
    <w:p w14:paraId="6D5ADF75" w14:textId="1F323856" w:rsidR="00753C03" w:rsidRDefault="00753C03" w:rsidP="00CA7397">
      <w:r>
        <w:t>ვაქცინაცინების შექმნის შემდეგ პერიოდულად მონაცემები იცვლება და ახლდება. მნიშვნელოვანია, რომ:</w:t>
      </w:r>
    </w:p>
    <w:p w14:paraId="7DF59C40" w14:textId="3741949B" w:rsidR="00E7486F" w:rsidRPr="00FE2E04" w:rsidRDefault="00E7486F" w:rsidP="00E7486F">
      <w:r w:rsidRPr="00E7486F">
        <w:t>FDA-</w:t>
      </w:r>
      <w:r>
        <w:t xml:space="preserve">მ დაადასტურა ერთდოზიანი </w:t>
      </w:r>
      <w:r w:rsidRPr="003E13A2">
        <w:t>Johnson &amp; Johnson</w:t>
      </w:r>
      <w:r>
        <w:t xml:space="preserve">-ის ვაქცინის უსაფრთხოება და ეფექტურობა, განსაკუთრებით მწვავე შემთხვევებთან მიმართებაში. ასევე, </w:t>
      </w:r>
      <w:r w:rsidRPr="0080271C">
        <w:t>FDA</w:t>
      </w:r>
      <w:r>
        <w:t xml:space="preserve">-მ მისცა ნებართვა </w:t>
      </w:r>
      <w:r w:rsidRPr="0080271C">
        <w:t>Pfizers</w:t>
      </w:r>
      <w:r>
        <w:t>-ს, რომ 2 კვირის ფარგლებში შესაძლებელია ვაქცინა შენახული იყოს ცივი ჯაჭვისათვის ჩვეულ ტემპერატურაზე, ნაცვლად ულტრა ცივი ტემპერატურის უზრუნველყოფისა.</w:t>
      </w:r>
    </w:p>
    <w:p w14:paraId="152C5750" w14:textId="7C06221D" w:rsidR="00E7486F" w:rsidRPr="00000BC6" w:rsidRDefault="00E7486F" w:rsidP="00E7486F">
      <w:pPr>
        <w:rPr>
          <w:rFonts w:ascii="Sylfaen" w:eastAsia="Times New Roman" w:hAnsi="Sylfaen"/>
          <w:color w:val="000000"/>
        </w:rPr>
      </w:pPr>
      <w:r>
        <w:rPr>
          <w:rFonts w:ascii="Sylfaen" w:eastAsia="Times New Roman" w:hAnsi="Sylfaen"/>
          <w:color w:val="000000"/>
        </w:rPr>
        <w:t xml:space="preserve">მსოფლიო მასშტაბით კვლავ შეზღუდულია ხელმისაწვდომობა ვაქცინებზე დაბალი და საშუალო შემოსავლიანი ქვეყნებისთვის. </w:t>
      </w:r>
      <w:r w:rsidRPr="00000BC6">
        <w:rPr>
          <w:rFonts w:ascii="Sylfaen" w:eastAsia="Times New Roman" w:hAnsi="Sylfaen"/>
          <w:color w:val="000000"/>
        </w:rPr>
        <w:t>ჯანმო</w:t>
      </w:r>
      <w:r>
        <w:rPr>
          <w:rFonts w:ascii="Sylfaen" w:eastAsia="Times New Roman" w:hAnsi="Sylfaen"/>
          <w:color w:val="000000"/>
        </w:rPr>
        <w:t>-</w:t>
      </w:r>
      <w:r w:rsidRPr="00000BC6">
        <w:rPr>
          <w:rFonts w:ascii="Sylfaen" w:eastAsia="Times New Roman" w:hAnsi="Sylfaen"/>
          <w:color w:val="000000"/>
        </w:rPr>
        <w:t>ს გენერალური დირექტორი მოუწოდებს მდიდარ ქვეყნებსა და ვაქცინის მწარმოებლებს, რომ შეწყვიტონ ბილატერალური მოლაპარაკებების წარმოება, რაც იწვევს სხვა ქვეყნებისთვის ფასების გაძვირებას და აზიანებს COVAX-ის მიზანს, რომ უზრუნველყოფილი იყოს თანაბარი ხელმისაწვდომობა</w:t>
      </w:r>
      <w:r>
        <w:rPr>
          <w:rFonts w:ascii="Sylfaen" w:eastAsia="Times New Roman" w:hAnsi="Sylfaen"/>
          <w:color w:val="000000"/>
        </w:rPr>
        <w:t>.</w:t>
      </w:r>
      <w:r w:rsidRPr="00000BC6">
        <w:rPr>
          <w:rFonts w:ascii="Sylfaen" w:eastAsia="Times New Roman" w:hAnsi="Sylfaen"/>
          <w:color w:val="000000"/>
        </w:rPr>
        <w:t xml:space="preserve"> </w:t>
      </w:r>
    </w:p>
    <w:p w14:paraId="61E30333" w14:textId="77777777" w:rsidR="00E7486F" w:rsidRPr="00E7486F" w:rsidRDefault="00E7486F" w:rsidP="00E7486F">
      <w:pPr>
        <w:rPr>
          <w:rFonts w:ascii="Sylfaen" w:eastAsia="Times New Roman" w:hAnsi="Sylfaen"/>
          <w:color w:val="000000"/>
          <w:sz w:val="24"/>
          <w:szCs w:val="24"/>
        </w:rPr>
      </w:pPr>
    </w:p>
    <w:bookmarkEnd w:id="0"/>
    <w:p w14:paraId="585EC573" w14:textId="7EBBD67C" w:rsidR="00B77010" w:rsidRDefault="00F76EBB" w:rsidP="00F47E3E">
      <w:r>
        <w:lastRenderedPageBreak/>
        <w:t xml:space="preserve">საქართველოსთვის, გარდა </w:t>
      </w:r>
      <w:r w:rsidRPr="00E7486F">
        <w:t xml:space="preserve">COVAX </w:t>
      </w:r>
      <w:r>
        <w:t>პლატფორმის საშუალებით დარეზერვებული რაოდენობისა, რაც საკმარისია მოზრდილი მოსახლეობის 20%-ის ასაცრელად, უახლოეს მომავალში აუცილებელია ბილატერალური მოლაპარაკებების საშუალებით დარეზერვებული და სასწრაფო წესით წინასწარ შესყიდული იყოს ვაქცინები</w:t>
      </w:r>
      <w:r w:rsidR="00265BDA">
        <w:t xml:space="preserve">. </w:t>
      </w:r>
      <w:r w:rsidR="00FE479C">
        <w:t>გლობალურ ბაზარზე არსებული ვითარების, ვაქცინებზე მიმდინარე მოთხოვნისა და მდიდარი/გავლენიანი ქვეყნებთან მიმართებაში უთანასწორო</w:t>
      </w:r>
      <w:r w:rsidR="001F22A1">
        <w:t>ბისა და ნაკლებ პრიორიტეტულობის</w:t>
      </w:r>
      <w:r w:rsidR="00FE479C">
        <w:t xml:space="preserve"> გამო, აუცილებელია ამ მიმართულებით მუშაობა კიდევ უფრო ინტენსიური გახდეს, ყველა შესაძლო ოფიციალური და არაოფიციალური არხების ჩათვლით. დროში მოკლე პერიოდში სწრაფად მოწოდებული და ჩატარებული კამპანია დიდი ალბათობით დაეხმარება ქვეყანას, რომ საჭირო აღარ გახდეს უფრო მძიმე შემზღუდველი ღონისძებების განმეორებით ინიცირება.</w:t>
      </w:r>
    </w:p>
    <w:p w14:paraId="0CF9B04E" w14:textId="64ED4B44" w:rsidR="00F76EBB" w:rsidRDefault="00265BDA" w:rsidP="00F47E3E">
      <w:r>
        <w:t>ევროკავშირის დაპირების ფარგლებში, რომ აღმოსავლეთ-პარტნიორობის ფარგლებში ნამატ დოზებს გააზიარებენ ამ ქვეყნებში, პრაქტიკული განხორციელება ექნება</w:t>
      </w:r>
      <w:r w:rsidR="00FE479C">
        <w:t xml:space="preserve"> სავარაუდოდ</w:t>
      </w:r>
      <w:r>
        <w:t xml:space="preserve"> </w:t>
      </w:r>
      <w:r w:rsidR="006D69D1">
        <w:t>ზაფხულის</w:t>
      </w:r>
      <w:r>
        <w:t xml:space="preserve"> პერიოდიდან, რადგან პირველ რიგში </w:t>
      </w:r>
      <w:r w:rsidR="00E7486F">
        <w:t xml:space="preserve">უშუალოდ </w:t>
      </w:r>
      <w:r>
        <w:t>ევროკავშირის წევრი სახელმწიფოების დაკმაყოფილება მოხდება</w:t>
      </w:r>
      <w:r w:rsidR="00FE479C">
        <w:t xml:space="preserve">, რომლებიც ამ ეტაპზე </w:t>
      </w:r>
      <w:r w:rsidR="001F22A1">
        <w:t>დაბალი ინტენსივობით ცრიან მოსახლეობას, ვაქცინის შეზღუდული ხელმისაწვდომობის გამო</w:t>
      </w:r>
      <w:r>
        <w:t xml:space="preserve">. შესაბამისად, ბაზარზე ხელმისაწვდომობის, ვაქცინის ეფექტურობისა და მახასიათებლების გათვალისწინებით, საჭიროა საქართველომ </w:t>
      </w:r>
      <w:r w:rsidR="00E7486F">
        <w:t>აქტიურად აწარმოოს მოლაპარაკება, მათ შორის ადგილზე მთავრობის წარმომადგენლების ვიზიტის შესაძლებლობის გათვალისწინებით, შემდეგ ვაქცინების შესყიდვა-მოწოდებაზე</w:t>
      </w:r>
      <w:r>
        <w:t>:</w:t>
      </w:r>
    </w:p>
    <w:p w14:paraId="407CBE34" w14:textId="6D34227A" w:rsidR="00F76EBB" w:rsidRDefault="00F76EBB" w:rsidP="00265BDA">
      <w:pPr>
        <w:pStyle w:val="ListParagraph"/>
        <w:numPr>
          <w:ilvl w:val="0"/>
          <w:numId w:val="2"/>
        </w:numPr>
      </w:pPr>
      <w:r w:rsidRPr="004B2267">
        <w:rPr>
          <w:u w:val="single"/>
        </w:rPr>
        <w:t>Serum Institute of India-ს და AstraZeneca Korea Co Ltd</w:t>
      </w:r>
      <w:r>
        <w:t xml:space="preserve"> წარმოებული ვაქცინები, </w:t>
      </w:r>
      <w:r w:rsidRPr="004B2267">
        <w:rPr>
          <w:b/>
          <w:bCs/>
        </w:rPr>
        <w:t>AstraZeneca</w:t>
      </w:r>
      <w:r w:rsidRPr="00F76EBB">
        <w:t>-</w:t>
      </w:r>
      <w:r>
        <w:t>ს ლიცენზიით.</w:t>
      </w:r>
    </w:p>
    <w:p w14:paraId="518156FD" w14:textId="457632ED" w:rsidR="00CA7397" w:rsidRDefault="00F76EBB" w:rsidP="00265BDA">
      <w:pPr>
        <w:pStyle w:val="ListParagraph"/>
        <w:numPr>
          <w:ilvl w:val="0"/>
          <w:numId w:val="2"/>
        </w:numPr>
      </w:pPr>
      <w:r>
        <w:t>აშშ-ში წარმოებული</w:t>
      </w:r>
      <w:r w:rsidR="00265BDA">
        <w:t xml:space="preserve"> საკმაოდ პერსპექტიული და ეფექტური</w:t>
      </w:r>
      <w:r>
        <w:t xml:space="preserve"> </w:t>
      </w:r>
      <w:r w:rsidRPr="004B2267">
        <w:rPr>
          <w:b/>
          <w:bCs/>
        </w:rPr>
        <w:t>Novavax</w:t>
      </w:r>
      <w:r>
        <w:t xml:space="preserve">-ის ვაქცინა, რომლის წარმოებაზე ლიცენზია ასევე მიცემული აქვს </w:t>
      </w:r>
      <w:r w:rsidRPr="004B2267">
        <w:rPr>
          <w:u w:val="single"/>
        </w:rPr>
        <w:t>Serum Institute of India</w:t>
      </w:r>
      <w:r>
        <w:t>-ს და გადაუდებელი ავტორიზება</w:t>
      </w:r>
      <w:r w:rsidR="00265BDA">
        <w:t xml:space="preserve"> მოსალოდნელია გვიან გაზაფხულზე. სასურველია დარეზერვებულ-შესყიდული იქნას 1 000 000 დოზა ვაქცინა, სანამ გლობალურ ბაზარზე მისი ხელმისაწვდომობაა</w:t>
      </w:r>
    </w:p>
    <w:p w14:paraId="27611689" w14:textId="448D8276" w:rsidR="00E7486F" w:rsidRDefault="00E7486F" w:rsidP="00E7486F">
      <w:pPr>
        <w:pStyle w:val="ListParagraph"/>
        <w:numPr>
          <w:ilvl w:val="0"/>
          <w:numId w:val="2"/>
        </w:numPr>
      </w:pPr>
      <w:r>
        <w:t xml:space="preserve">უახლოეს მომავალში ავტორიზაციის მიღების კანდიდატია </w:t>
      </w:r>
      <w:r w:rsidRPr="004B2267">
        <w:rPr>
          <w:b/>
          <w:bCs/>
        </w:rPr>
        <w:t>Johnson&amp;Johnson</w:t>
      </w:r>
      <w:r>
        <w:t xml:space="preserve"> ვაქცინაა. </w:t>
      </w:r>
    </w:p>
    <w:p w14:paraId="7C6481B9" w14:textId="39A57C75" w:rsidR="00E7486F" w:rsidRDefault="00E7486F" w:rsidP="004B2267">
      <w:pPr>
        <w:pStyle w:val="ListParagraph"/>
      </w:pPr>
      <w:r>
        <w:t xml:space="preserve">მისი მთავარი დადებითი არის ერთი დოზა, საკმარისი სრული ვაქცინაციისთვის, რაც ეპიდემიის კონტროლისთვის მნიშვნელოვანი ფაქტორია. </w:t>
      </w:r>
      <w:r w:rsidR="004B2267">
        <w:t xml:space="preserve">პირველადი მონაცემებით, </w:t>
      </w:r>
      <w:r>
        <w:t>FDA-ს ავტორიზება</w:t>
      </w:r>
      <w:r w:rsidR="004B2267">
        <w:t xml:space="preserve"> </w:t>
      </w:r>
      <w:r>
        <w:t xml:space="preserve">ადრე მარტში იქნება </w:t>
      </w:r>
      <w:r w:rsidR="004B2267">
        <w:t>მიღებული</w:t>
      </w:r>
    </w:p>
    <w:p w14:paraId="1CA45971" w14:textId="35FADAC1" w:rsidR="006D69D1" w:rsidRDefault="006D69D1" w:rsidP="006D69D1">
      <w:pPr>
        <w:pStyle w:val="ListParagraph"/>
        <w:numPr>
          <w:ilvl w:val="0"/>
          <w:numId w:val="2"/>
        </w:numPr>
      </w:pPr>
      <w:r>
        <w:t xml:space="preserve">გერმანიის მიერ შექმნილი და ამჟამად კვლევების ფაზაში მყოფი, </w:t>
      </w:r>
      <w:r>
        <w:rPr>
          <w:lang w:val="en-US"/>
        </w:rPr>
        <w:t>mRNA</w:t>
      </w:r>
      <w:r>
        <w:t xml:space="preserve"> ტექნოლოგიის ვაქცინა </w:t>
      </w:r>
      <w:r>
        <w:rPr>
          <w:lang w:val="en-US"/>
        </w:rPr>
        <w:t xml:space="preserve">CureVac. </w:t>
      </w:r>
      <w:r>
        <w:t xml:space="preserve">ამ ეტაპზე კომპანიასთან დასრულებული მოლაპარაკება აქვს ევროკავშირს 405 მლ დოზის დარეზერვებაზე. მნიშვნელო9ვანია, რომ დროულად იქნას დაწყებული მპლაპარაკება კომპანიის წარმომადგენლებთან დარეზერვების პირობების განსახილველად. </w:t>
      </w:r>
    </w:p>
    <w:p w14:paraId="6A7886EB" w14:textId="4D175E71" w:rsidR="00265BDA" w:rsidRPr="00265BDA" w:rsidRDefault="00265BDA" w:rsidP="00265BDA">
      <w:pPr>
        <w:pStyle w:val="ListParagraph"/>
        <w:numPr>
          <w:ilvl w:val="0"/>
          <w:numId w:val="2"/>
        </w:numPr>
      </w:pPr>
      <w:r>
        <w:t xml:space="preserve">ზეპირსიტყვიერი წინასწარი მოლაპარაკებების შედეგად დადებითი პასუხია ჩინური წარმოების 2 ვაქცინის შესახებ: </w:t>
      </w:r>
      <w:r w:rsidRPr="004B2267">
        <w:rPr>
          <w:b/>
          <w:bCs/>
        </w:rPr>
        <w:t>Sinopharm და Sinovac</w:t>
      </w:r>
      <w:r>
        <w:t>, რომელთა ავტორიზაცია ახლო მომავალშია განთვალისწინებული ჯანმო-ს მიერ. აუცილებელია მოლაპარაკების საბოლოო ფაზაში გადასვლა და მათი შეძენა სხვა ქვეყნებიდან მოთხოვნის გაზრდამდე</w:t>
      </w:r>
      <w:r w:rsidR="00B77010">
        <w:t xml:space="preserve"> და მიწოდებაში დაბრკოლებების პრევენციისთვის</w:t>
      </w:r>
    </w:p>
    <w:p w14:paraId="227DD09E" w14:textId="46089121" w:rsidR="00265BDA" w:rsidRPr="00265BDA" w:rsidRDefault="00265BDA" w:rsidP="00265BDA">
      <w:pPr>
        <w:pStyle w:val="ListParagraph"/>
        <w:numPr>
          <w:ilvl w:val="0"/>
          <w:numId w:val="2"/>
        </w:numPr>
      </w:pPr>
      <w:r>
        <w:t xml:space="preserve">ინდოეთის </w:t>
      </w:r>
      <w:r w:rsidRPr="004B2267">
        <w:rPr>
          <w:u w:val="single"/>
        </w:rPr>
        <w:t>Bharat Biotech</w:t>
      </w:r>
      <w:r>
        <w:t xml:space="preserve"> ინსტიტუტის მიერ წარმოებული </w:t>
      </w:r>
      <w:r w:rsidRPr="004B2267">
        <w:rPr>
          <w:b/>
          <w:bCs/>
        </w:rPr>
        <w:t>Covaxin</w:t>
      </w:r>
      <w:r w:rsidRPr="00265BDA">
        <w:t xml:space="preserve"> - </w:t>
      </w:r>
      <w:r>
        <w:t xml:space="preserve">ზე მოლაპარაკებების </w:t>
      </w:r>
      <w:r w:rsidR="00E7486F">
        <w:t xml:space="preserve">საბოლოო ფაზაში გადასვლა, რათა მოხდეს </w:t>
      </w:r>
      <w:r w:rsidR="00B77010">
        <w:t xml:space="preserve">კონკრეტული რაოდენობის </w:t>
      </w:r>
      <w:r w:rsidR="00E7486F">
        <w:t>დარეზერვება, იმ პერიოდამდე, სანამ ჯანმო-ს ან რომელიმე მკაცრი რეგულატორის ავტორიზაცია ექნება და მიღებისთანავე - საქართველოში ექსპორტირება. კომპანიას ასევე აქვს შემუშავებული კოვიდ ვაქცინა ნაზალური სპრეის სახით, რომლის ეფექტურობასა და უსაფრთხოებაზე ამჟამად მიმდინარეობს კვლევები.</w:t>
      </w:r>
    </w:p>
    <w:p w14:paraId="5035F6EF" w14:textId="0674D752" w:rsidR="00344225" w:rsidRPr="0068077C" w:rsidRDefault="00B77010" w:rsidP="001F22A1">
      <w:pPr>
        <w:rPr>
          <w:sz w:val="20"/>
          <w:szCs w:val="20"/>
        </w:rPr>
      </w:pPr>
      <w:r>
        <w:t xml:space="preserve">აქტიური თანამშრომლობა უნდა დაიწყოს </w:t>
      </w:r>
      <w:r>
        <w:rPr>
          <w:lang w:val="en-US"/>
        </w:rPr>
        <w:t xml:space="preserve">Pfizer, Moderna </w:t>
      </w:r>
      <w:r>
        <w:t>და</w:t>
      </w:r>
      <w:r>
        <w:rPr>
          <w:lang w:val="en-US"/>
        </w:rPr>
        <w:t xml:space="preserve"> AstraZeneca</w:t>
      </w:r>
      <w:r>
        <w:t xml:space="preserve">-ს როგორც მწარმოებელ კომპანიებთან, ასევე წარმოების ლიცენზია მინიჭებულ კომპანიებთანაც. უნდა კვლავ გაგრძელდეს დიპლომატიური არხებით მოლაპარაკებები ევროკავშირის ქვეყნებთან, ისრაელთან, და ვაქცინის მწარმოებელ აზიურ ქვეყნებთან, რათა ჭარბი დოზების გაზიარება </w:t>
      </w:r>
      <w:r w:rsidR="006D69D1">
        <w:t>დაიწყოს უკვე</w:t>
      </w:r>
      <w:r>
        <w:t xml:space="preserve"> ზაფხულის პერიოდიდან. </w:t>
      </w:r>
    </w:p>
    <w:sectPr w:rsidR="00344225" w:rsidRPr="0068077C" w:rsidSect="001D1E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A5EFA" w14:textId="77777777" w:rsidR="00BA61E3" w:rsidRDefault="00BA61E3" w:rsidP="00EB4CC3">
      <w:pPr>
        <w:spacing w:after="0" w:line="240" w:lineRule="auto"/>
      </w:pPr>
      <w:r>
        <w:separator/>
      </w:r>
    </w:p>
  </w:endnote>
  <w:endnote w:type="continuationSeparator" w:id="0">
    <w:p w14:paraId="5FAEB012" w14:textId="77777777" w:rsidR="00BA61E3" w:rsidRDefault="00BA61E3" w:rsidP="00EB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2063E" w14:textId="77777777" w:rsidR="00BA61E3" w:rsidRDefault="00BA61E3" w:rsidP="00EB4CC3">
      <w:pPr>
        <w:spacing w:after="0" w:line="240" w:lineRule="auto"/>
      </w:pPr>
      <w:r>
        <w:separator/>
      </w:r>
    </w:p>
  </w:footnote>
  <w:footnote w:type="continuationSeparator" w:id="0">
    <w:p w14:paraId="2C76A027" w14:textId="77777777" w:rsidR="00BA61E3" w:rsidRDefault="00BA61E3" w:rsidP="00EB4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5597"/>
    <w:multiLevelType w:val="hybridMultilevel"/>
    <w:tmpl w:val="A12C8CE0"/>
    <w:lvl w:ilvl="0" w:tplc="184A4E2E">
      <w:start w:val="82"/>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26A24F11"/>
    <w:multiLevelType w:val="hybridMultilevel"/>
    <w:tmpl w:val="934A24E4"/>
    <w:lvl w:ilvl="0" w:tplc="56A6A2AE">
      <w:start w:val="3"/>
      <w:numFmt w:val="bullet"/>
      <w:lvlText w:val="-"/>
      <w:lvlJc w:val="left"/>
      <w:pPr>
        <w:ind w:left="4968" w:hanging="360"/>
      </w:pPr>
      <w:rPr>
        <w:rFonts w:ascii="Sylfaen" w:eastAsia="Sylfaen" w:hAnsi="Sylfaen" w:cs="Times New Roman" w:hint="default"/>
      </w:rPr>
    </w:lvl>
    <w:lvl w:ilvl="1" w:tplc="04370003">
      <w:start w:val="1"/>
      <w:numFmt w:val="bullet"/>
      <w:lvlText w:val="o"/>
      <w:lvlJc w:val="left"/>
      <w:pPr>
        <w:ind w:left="5688" w:hanging="360"/>
      </w:pPr>
      <w:rPr>
        <w:rFonts w:ascii="Courier New" w:hAnsi="Courier New" w:cs="Courier New" w:hint="default"/>
      </w:rPr>
    </w:lvl>
    <w:lvl w:ilvl="2" w:tplc="04370005">
      <w:start w:val="1"/>
      <w:numFmt w:val="bullet"/>
      <w:lvlText w:val=""/>
      <w:lvlJc w:val="left"/>
      <w:pPr>
        <w:ind w:left="6408" w:hanging="360"/>
      </w:pPr>
      <w:rPr>
        <w:rFonts w:ascii="Wingdings" w:hAnsi="Wingdings" w:hint="default"/>
      </w:rPr>
    </w:lvl>
    <w:lvl w:ilvl="3" w:tplc="04370001">
      <w:start w:val="1"/>
      <w:numFmt w:val="bullet"/>
      <w:lvlText w:val=""/>
      <w:lvlJc w:val="left"/>
      <w:pPr>
        <w:ind w:left="7128" w:hanging="360"/>
      </w:pPr>
      <w:rPr>
        <w:rFonts w:ascii="Symbol" w:hAnsi="Symbol" w:hint="default"/>
      </w:rPr>
    </w:lvl>
    <w:lvl w:ilvl="4" w:tplc="04370003">
      <w:start w:val="1"/>
      <w:numFmt w:val="bullet"/>
      <w:lvlText w:val="o"/>
      <w:lvlJc w:val="left"/>
      <w:pPr>
        <w:ind w:left="7848" w:hanging="360"/>
      </w:pPr>
      <w:rPr>
        <w:rFonts w:ascii="Courier New" w:hAnsi="Courier New" w:cs="Courier New" w:hint="default"/>
      </w:rPr>
    </w:lvl>
    <w:lvl w:ilvl="5" w:tplc="04370005">
      <w:start w:val="1"/>
      <w:numFmt w:val="bullet"/>
      <w:lvlText w:val=""/>
      <w:lvlJc w:val="left"/>
      <w:pPr>
        <w:ind w:left="8568" w:hanging="360"/>
      </w:pPr>
      <w:rPr>
        <w:rFonts w:ascii="Wingdings" w:hAnsi="Wingdings" w:hint="default"/>
      </w:rPr>
    </w:lvl>
    <w:lvl w:ilvl="6" w:tplc="04370001">
      <w:start w:val="1"/>
      <w:numFmt w:val="bullet"/>
      <w:lvlText w:val=""/>
      <w:lvlJc w:val="left"/>
      <w:pPr>
        <w:ind w:left="9288" w:hanging="360"/>
      </w:pPr>
      <w:rPr>
        <w:rFonts w:ascii="Symbol" w:hAnsi="Symbol" w:hint="default"/>
      </w:rPr>
    </w:lvl>
    <w:lvl w:ilvl="7" w:tplc="04370003">
      <w:start w:val="1"/>
      <w:numFmt w:val="bullet"/>
      <w:lvlText w:val="o"/>
      <w:lvlJc w:val="left"/>
      <w:pPr>
        <w:ind w:left="10008" w:hanging="360"/>
      </w:pPr>
      <w:rPr>
        <w:rFonts w:ascii="Courier New" w:hAnsi="Courier New" w:cs="Courier New" w:hint="default"/>
      </w:rPr>
    </w:lvl>
    <w:lvl w:ilvl="8" w:tplc="04370005">
      <w:start w:val="1"/>
      <w:numFmt w:val="bullet"/>
      <w:lvlText w:val=""/>
      <w:lvlJc w:val="left"/>
      <w:pPr>
        <w:ind w:left="10728" w:hanging="360"/>
      </w:pPr>
      <w:rPr>
        <w:rFonts w:ascii="Wingdings" w:hAnsi="Wingdings" w:hint="default"/>
      </w:rPr>
    </w:lvl>
  </w:abstractNum>
  <w:abstractNum w:abstractNumId="2" w15:restartNumberingAfterBreak="0">
    <w:nsid w:val="2BE10B20"/>
    <w:multiLevelType w:val="hybridMultilevel"/>
    <w:tmpl w:val="17461626"/>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3" w15:restartNumberingAfterBreak="0">
    <w:nsid w:val="4DA87DB3"/>
    <w:multiLevelType w:val="hybridMultilevel"/>
    <w:tmpl w:val="D45A3542"/>
    <w:lvl w:ilvl="0" w:tplc="184A4E2E">
      <w:start w:val="82"/>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EE"/>
    <w:rsid w:val="00012043"/>
    <w:rsid w:val="00022CC5"/>
    <w:rsid w:val="000439FF"/>
    <w:rsid w:val="00045E62"/>
    <w:rsid w:val="0005065A"/>
    <w:rsid w:val="00082C5A"/>
    <w:rsid w:val="0008393F"/>
    <w:rsid w:val="000B44EE"/>
    <w:rsid w:val="000B79EA"/>
    <w:rsid w:val="000D1D2F"/>
    <w:rsid w:val="000D6133"/>
    <w:rsid w:val="000F772C"/>
    <w:rsid w:val="00101FD5"/>
    <w:rsid w:val="0010212B"/>
    <w:rsid w:val="00115CAB"/>
    <w:rsid w:val="00117E45"/>
    <w:rsid w:val="00121646"/>
    <w:rsid w:val="001332C4"/>
    <w:rsid w:val="00161CA6"/>
    <w:rsid w:val="0016585B"/>
    <w:rsid w:val="00197444"/>
    <w:rsid w:val="001A685B"/>
    <w:rsid w:val="001A764D"/>
    <w:rsid w:val="001B1453"/>
    <w:rsid w:val="001C0949"/>
    <w:rsid w:val="001C2D10"/>
    <w:rsid w:val="001D1E12"/>
    <w:rsid w:val="001D671B"/>
    <w:rsid w:val="001E2B71"/>
    <w:rsid w:val="001E46E3"/>
    <w:rsid w:val="001F22A1"/>
    <w:rsid w:val="001F6436"/>
    <w:rsid w:val="00211A78"/>
    <w:rsid w:val="0021371D"/>
    <w:rsid w:val="00225AE2"/>
    <w:rsid w:val="0024127A"/>
    <w:rsid w:val="00242D3F"/>
    <w:rsid w:val="00253887"/>
    <w:rsid w:val="00265BDA"/>
    <w:rsid w:val="00270156"/>
    <w:rsid w:val="0028121C"/>
    <w:rsid w:val="00282546"/>
    <w:rsid w:val="00286058"/>
    <w:rsid w:val="002916D8"/>
    <w:rsid w:val="002A059C"/>
    <w:rsid w:val="002B5904"/>
    <w:rsid w:val="002C7A16"/>
    <w:rsid w:val="002D3A86"/>
    <w:rsid w:val="002D5E9D"/>
    <w:rsid w:val="00300C96"/>
    <w:rsid w:val="00304472"/>
    <w:rsid w:val="00323F51"/>
    <w:rsid w:val="00324827"/>
    <w:rsid w:val="003357B5"/>
    <w:rsid w:val="00335C76"/>
    <w:rsid w:val="00344225"/>
    <w:rsid w:val="00351EF7"/>
    <w:rsid w:val="00360CE4"/>
    <w:rsid w:val="003620B7"/>
    <w:rsid w:val="003729A0"/>
    <w:rsid w:val="00377F5A"/>
    <w:rsid w:val="003A1911"/>
    <w:rsid w:val="003A2138"/>
    <w:rsid w:val="003B6F72"/>
    <w:rsid w:val="003C0C26"/>
    <w:rsid w:val="003C5B43"/>
    <w:rsid w:val="003D546C"/>
    <w:rsid w:val="003E205A"/>
    <w:rsid w:val="003E3B08"/>
    <w:rsid w:val="003E4D90"/>
    <w:rsid w:val="003F4E1B"/>
    <w:rsid w:val="003F7E31"/>
    <w:rsid w:val="00401052"/>
    <w:rsid w:val="004043E8"/>
    <w:rsid w:val="00411497"/>
    <w:rsid w:val="00413F70"/>
    <w:rsid w:val="00423417"/>
    <w:rsid w:val="004345EE"/>
    <w:rsid w:val="004347D4"/>
    <w:rsid w:val="00437ABB"/>
    <w:rsid w:val="00440355"/>
    <w:rsid w:val="00453C76"/>
    <w:rsid w:val="00472000"/>
    <w:rsid w:val="0047406A"/>
    <w:rsid w:val="004779DC"/>
    <w:rsid w:val="00481839"/>
    <w:rsid w:val="00482021"/>
    <w:rsid w:val="00483137"/>
    <w:rsid w:val="004936FE"/>
    <w:rsid w:val="004A23F0"/>
    <w:rsid w:val="004A60AB"/>
    <w:rsid w:val="004B183A"/>
    <w:rsid w:val="004B1CA8"/>
    <w:rsid w:val="004B2267"/>
    <w:rsid w:val="004C0BB7"/>
    <w:rsid w:val="004C0BFB"/>
    <w:rsid w:val="004C34CD"/>
    <w:rsid w:val="004D2201"/>
    <w:rsid w:val="004D285F"/>
    <w:rsid w:val="004D4340"/>
    <w:rsid w:val="004D6FB9"/>
    <w:rsid w:val="004D7839"/>
    <w:rsid w:val="004F1A45"/>
    <w:rsid w:val="004F610C"/>
    <w:rsid w:val="005275F6"/>
    <w:rsid w:val="00543CE7"/>
    <w:rsid w:val="00555B5E"/>
    <w:rsid w:val="00556502"/>
    <w:rsid w:val="00564151"/>
    <w:rsid w:val="005903BD"/>
    <w:rsid w:val="005A4F4F"/>
    <w:rsid w:val="005C2FBA"/>
    <w:rsid w:val="005C5C17"/>
    <w:rsid w:val="005F23D2"/>
    <w:rsid w:val="006008BD"/>
    <w:rsid w:val="00611A46"/>
    <w:rsid w:val="00613DC9"/>
    <w:rsid w:val="006203A0"/>
    <w:rsid w:val="00647D38"/>
    <w:rsid w:val="00654BE1"/>
    <w:rsid w:val="00655989"/>
    <w:rsid w:val="006648B4"/>
    <w:rsid w:val="00671A83"/>
    <w:rsid w:val="00675A34"/>
    <w:rsid w:val="0068077C"/>
    <w:rsid w:val="0069460A"/>
    <w:rsid w:val="006A08F6"/>
    <w:rsid w:val="006A22E3"/>
    <w:rsid w:val="006C2414"/>
    <w:rsid w:val="006D69D1"/>
    <w:rsid w:val="006E2A8B"/>
    <w:rsid w:val="006F527E"/>
    <w:rsid w:val="007127A8"/>
    <w:rsid w:val="00713317"/>
    <w:rsid w:val="00713C67"/>
    <w:rsid w:val="007165EF"/>
    <w:rsid w:val="00717A72"/>
    <w:rsid w:val="007217B1"/>
    <w:rsid w:val="00726277"/>
    <w:rsid w:val="00726AD3"/>
    <w:rsid w:val="00731C15"/>
    <w:rsid w:val="00735E16"/>
    <w:rsid w:val="00736CC9"/>
    <w:rsid w:val="0074349D"/>
    <w:rsid w:val="00753C03"/>
    <w:rsid w:val="00753D73"/>
    <w:rsid w:val="00755168"/>
    <w:rsid w:val="00790C8A"/>
    <w:rsid w:val="00791CE9"/>
    <w:rsid w:val="007A0FD7"/>
    <w:rsid w:val="007B7FFE"/>
    <w:rsid w:val="007C3586"/>
    <w:rsid w:val="007D10D5"/>
    <w:rsid w:val="007D6334"/>
    <w:rsid w:val="007D6FE1"/>
    <w:rsid w:val="007D7D1F"/>
    <w:rsid w:val="007E15A8"/>
    <w:rsid w:val="007E21BC"/>
    <w:rsid w:val="007E2AD4"/>
    <w:rsid w:val="007F6A60"/>
    <w:rsid w:val="00805A66"/>
    <w:rsid w:val="0080630B"/>
    <w:rsid w:val="008471E7"/>
    <w:rsid w:val="00862E83"/>
    <w:rsid w:val="0086352D"/>
    <w:rsid w:val="0087692C"/>
    <w:rsid w:val="00877990"/>
    <w:rsid w:val="00895563"/>
    <w:rsid w:val="008A193E"/>
    <w:rsid w:val="008A4873"/>
    <w:rsid w:val="008E3611"/>
    <w:rsid w:val="008E5434"/>
    <w:rsid w:val="008F6B26"/>
    <w:rsid w:val="009105CE"/>
    <w:rsid w:val="009114BE"/>
    <w:rsid w:val="00932CF1"/>
    <w:rsid w:val="00953033"/>
    <w:rsid w:val="00965D5A"/>
    <w:rsid w:val="0096760D"/>
    <w:rsid w:val="00970C4F"/>
    <w:rsid w:val="00976BEC"/>
    <w:rsid w:val="00977C45"/>
    <w:rsid w:val="00984AF3"/>
    <w:rsid w:val="00987259"/>
    <w:rsid w:val="0099530A"/>
    <w:rsid w:val="009B37E2"/>
    <w:rsid w:val="009F2BBD"/>
    <w:rsid w:val="00A0377D"/>
    <w:rsid w:val="00A05E33"/>
    <w:rsid w:val="00A37E18"/>
    <w:rsid w:val="00A514CF"/>
    <w:rsid w:val="00A527F1"/>
    <w:rsid w:val="00AA32BF"/>
    <w:rsid w:val="00AA6F6B"/>
    <w:rsid w:val="00AC0041"/>
    <w:rsid w:val="00AD4560"/>
    <w:rsid w:val="00AE2273"/>
    <w:rsid w:val="00AE6089"/>
    <w:rsid w:val="00AF0200"/>
    <w:rsid w:val="00AF788A"/>
    <w:rsid w:val="00AF7919"/>
    <w:rsid w:val="00B11A71"/>
    <w:rsid w:val="00B12CF2"/>
    <w:rsid w:val="00B50475"/>
    <w:rsid w:val="00B52E4C"/>
    <w:rsid w:val="00B720AE"/>
    <w:rsid w:val="00B77010"/>
    <w:rsid w:val="00B8056A"/>
    <w:rsid w:val="00B9418E"/>
    <w:rsid w:val="00B942A3"/>
    <w:rsid w:val="00BA1470"/>
    <w:rsid w:val="00BA61E3"/>
    <w:rsid w:val="00BC45CE"/>
    <w:rsid w:val="00BD3C07"/>
    <w:rsid w:val="00BE3C02"/>
    <w:rsid w:val="00BE7658"/>
    <w:rsid w:val="00BE7C81"/>
    <w:rsid w:val="00BE7DEF"/>
    <w:rsid w:val="00BF4626"/>
    <w:rsid w:val="00BF74D6"/>
    <w:rsid w:val="00C11319"/>
    <w:rsid w:val="00C1386E"/>
    <w:rsid w:val="00C26AAA"/>
    <w:rsid w:val="00C27DC0"/>
    <w:rsid w:val="00C531B0"/>
    <w:rsid w:val="00C77611"/>
    <w:rsid w:val="00C80102"/>
    <w:rsid w:val="00C96FCB"/>
    <w:rsid w:val="00CA5D50"/>
    <w:rsid w:val="00CA7397"/>
    <w:rsid w:val="00CD4910"/>
    <w:rsid w:val="00CE48E2"/>
    <w:rsid w:val="00CF12BD"/>
    <w:rsid w:val="00CF2B5B"/>
    <w:rsid w:val="00D02F06"/>
    <w:rsid w:val="00D13779"/>
    <w:rsid w:val="00D35D1F"/>
    <w:rsid w:val="00D401DC"/>
    <w:rsid w:val="00D57B11"/>
    <w:rsid w:val="00D670EE"/>
    <w:rsid w:val="00D94281"/>
    <w:rsid w:val="00DD01DB"/>
    <w:rsid w:val="00DD2840"/>
    <w:rsid w:val="00DD371E"/>
    <w:rsid w:val="00DF024B"/>
    <w:rsid w:val="00DF780B"/>
    <w:rsid w:val="00E060AA"/>
    <w:rsid w:val="00E14841"/>
    <w:rsid w:val="00E4049E"/>
    <w:rsid w:val="00E40B0B"/>
    <w:rsid w:val="00E45D6B"/>
    <w:rsid w:val="00E6401A"/>
    <w:rsid w:val="00E7486F"/>
    <w:rsid w:val="00E903E7"/>
    <w:rsid w:val="00E946C6"/>
    <w:rsid w:val="00E9711B"/>
    <w:rsid w:val="00EA558E"/>
    <w:rsid w:val="00EB4CC3"/>
    <w:rsid w:val="00EC4E14"/>
    <w:rsid w:val="00ED13E8"/>
    <w:rsid w:val="00EF27CD"/>
    <w:rsid w:val="00EF3E94"/>
    <w:rsid w:val="00F12424"/>
    <w:rsid w:val="00F2158A"/>
    <w:rsid w:val="00F32D95"/>
    <w:rsid w:val="00F45F99"/>
    <w:rsid w:val="00F47E3E"/>
    <w:rsid w:val="00F5179C"/>
    <w:rsid w:val="00F522A4"/>
    <w:rsid w:val="00F70C0E"/>
    <w:rsid w:val="00F76EBB"/>
    <w:rsid w:val="00F823AD"/>
    <w:rsid w:val="00F84793"/>
    <w:rsid w:val="00FA0613"/>
    <w:rsid w:val="00FB29BD"/>
    <w:rsid w:val="00FB64AB"/>
    <w:rsid w:val="00FB7080"/>
    <w:rsid w:val="00FD2BC0"/>
    <w:rsid w:val="00FD6A5D"/>
    <w:rsid w:val="00FE3611"/>
    <w:rsid w:val="00FE479C"/>
    <w:rsid w:val="00FE6146"/>
    <w:rsid w:val="00FF3CE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C02F"/>
  <w15:chartTrackingRefBased/>
  <w15:docId w15:val="{0E108910-9B8A-41D3-99F4-122089C9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36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a-GE"/>
    </w:rPr>
  </w:style>
  <w:style w:type="paragraph" w:styleId="Heading2">
    <w:name w:val="heading 2"/>
    <w:basedOn w:val="Normal"/>
    <w:next w:val="Normal"/>
    <w:link w:val="Heading2Char"/>
    <w:uiPriority w:val="9"/>
    <w:semiHidden/>
    <w:unhideWhenUsed/>
    <w:qFormat/>
    <w:rsid w:val="00344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4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CC3"/>
    <w:rPr>
      <w:sz w:val="20"/>
      <w:szCs w:val="20"/>
    </w:rPr>
  </w:style>
  <w:style w:type="character" w:styleId="FootnoteReference">
    <w:name w:val="footnote reference"/>
    <w:basedOn w:val="DefaultParagraphFont"/>
    <w:uiPriority w:val="99"/>
    <w:semiHidden/>
    <w:unhideWhenUsed/>
    <w:rsid w:val="00EB4CC3"/>
    <w:rPr>
      <w:vertAlign w:val="superscript"/>
    </w:rPr>
  </w:style>
  <w:style w:type="character" w:styleId="Hyperlink">
    <w:name w:val="Hyperlink"/>
    <w:basedOn w:val="DefaultParagraphFont"/>
    <w:uiPriority w:val="99"/>
    <w:unhideWhenUsed/>
    <w:rsid w:val="00FB7080"/>
    <w:rPr>
      <w:color w:val="0563C1" w:themeColor="hyperlink"/>
      <w:u w:val="single"/>
    </w:rPr>
  </w:style>
  <w:style w:type="character" w:styleId="UnresolvedMention">
    <w:name w:val="Unresolved Mention"/>
    <w:basedOn w:val="DefaultParagraphFont"/>
    <w:uiPriority w:val="99"/>
    <w:semiHidden/>
    <w:unhideWhenUsed/>
    <w:rsid w:val="00FB7080"/>
    <w:rPr>
      <w:color w:val="605E5C"/>
      <w:shd w:val="clear" w:color="auto" w:fill="E1DFDD"/>
    </w:rPr>
  </w:style>
  <w:style w:type="character" w:styleId="FollowedHyperlink">
    <w:name w:val="FollowedHyperlink"/>
    <w:basedOn w:val="DefaultParagraphFont"/>
    <w:uiPriority w:val="99"/>
    <w:semiHidden/>
    <w:unhideWhenUsed/>
    <w:rsid w:val="003D546C"/>
    <w:rPr>
      <w:color w:val="954F72" w:themeColor="followedHyperlink"/>
      <w:u w:val="single"/>
    </w:rPr>
  </w:style>
  <w:style w:type="paragraph" w:styleId="Caption">
    <w:name w:val="caption"/>
    <w:basedOn w:val="Normal"/>
    <w:next w:val="Normal"/>
    <w:uiPriority w:val="35"/>
    <w:unhideWhenUsed/>
    <w:qFormat/>
    <w:rsid w:val="007E2AD4"/>
    <w:pPr>
      <w:spacing w:after="200" w:line="240" w:lineRule="auto"/>
    </w:pPr>
    <w:rPr>
      <w:i/>
      <w:iCs/>
      <w:color w:val="44546A" w:themeColor="text2"/>
      <w:sz w:val="18"/>
      <w:szCs w:val="18"/>
    </w:rPr>
  </w:style>
  <w:style w:type="character" w:styleId="Strong">
    <w:name w:val="Strong"/>
    <w:basedOn w:val="DefaultParagraphFont"/>
    <w:uiPriority w:val="22"/>
    <w:qFormat/>
    <w:rsid w:val="004B183A"/>
    <w:rPr>
      <w:b/>
      <w:bCs/>
    </w:rPr>
  </w:style>
  <w:style w:type="character" w:customStyle="1" w:styleId="Heading1Char">
    <w:name w:val="Heading 1 Char"/>
    <w:basedOn w:val="DefaultParagraphFont"/>
    <w:link w:val="Heading1"/>
    <w:uiPriority w:val="9"/>
    <w:rsid w:val="004936FE"/>
    <w:rPr>
      <w:rFonts w:ascii="Times New Roman" w:eastAsia="Times New Roman" w:hAnsi="Times New Roman" w:cs="Times New Roman"/>
      <w:b/>
      <w:bCs/>
      <w:kern w:val="36"/>
      <w:sz w:val="48"/>
      <w:szCs w:val="48"/>
      <w:lang w:eastAsia="ka-GE"/>
    </w:rPr>
  </w:style>
  <w:style w:type="paragraph" w:styleId="NormalWeb">
    <w:name w:val="Normal (Web)"/>
    <w:basedOn w:val="Normal"/>
    <w:uiPriority w:val="99"/>
    <w:unhideWhenUsed/>
    <w:rsid w:val="004936FE"/>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css-38z03z">
    <w:name w:val="css-38z03z"/>
    <w:basedOn w:val="Normal"/>
    <w:rsid w:val="004936F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Heading2Char">
    <w:name w:val="Heading 2 Char"/>
    <w:basedOn w:val="DefaultParagraphFont"/>
    <w:link w:val="Heading2"/>
    <w:uiPriority w:val="9"/>
    <w:semiHidden/>
    <w:rsid w:val="00344225"/>
    <w:rPr>
      <w:rFonts w:asciiTheme="majorHAnsi" w:eastAsiaTheme="majorEastAsia" w:hAnsiTheme="majorHAnsi" w:cstheme="majorBidi"/>
      <w:color w:val="2F5496" w:themeColor="accent1" w:themeShade="BF"/>
      <w:sz w:val="26"/>
      <w:szCs w:val="26"/>
    </w:rPr>
  </w:style>
  <w:style w:type="paragraph" w:customStyle="1" w:styleId="Quote1">
    <w:name w:val="Quote1"/>
    <w:basedOn w:val="Normal"/>
    <w:rsid w:val="00344225"/>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styleId="BalloonText">
    <w:name w:val="Balloon Text"/>
    <w:basedOn w:val="Normal"/>
    <w:link w:val="BalloonTextChar"/>
    <w:uiPriority w:val="99"/>
    <w:semiHidden/>
    <w:unhideWhenUsed/>
    <w:rsid w:val="00791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CE9"/>
    <w:rPr>
      <w:rFonts w:ascii="Segoe UI" w:hAnsi="Segoe UI" w:cs="Segoe UI"/>
      <w:sz w:val="18"/>
      <w:szCs w:val="18"/>
    </w:rPr>
  </w:style>
  <w:style w:type="paragraph" w:styleId="ListParagraph">
    <w:name w:val="List Paragraph"/>
    <w:basedOn w:val="Normal"/>
    <w:uiPriority w:val="34"/>
    <w:qFormat/>
    <w:rsid w:val="00753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359">
      <w:bodyDiv w:val="1"/>
      <w:marLeft w:val="0"/>
      <w:marRight w:val="0"/>
      <w:marTop w:val="0"/>
      <w:marBottom w:val="0"/>
      <w:divBdr>
        <w:top w:val="none" w:sz="0" w:space="0" w:color="auto"/>
        <w:left w:val="none" w:sz="0" w:space="0" w:color="auto"/>
        <w:bottom w:val="none" w:sz="0" w:space="0" w:color="auto"/>
        <w:right w:val="none" w:sz="0" w:space="0" w:color="auto"/>
      </w:divBdr>
    </w:div>
    <w:div w:id="89007556">
      <w:bodyDiv w:val="1"/>
      <w:marLeft w:val="0"/>
      <w:marRight w:val="0"/>
      <w:marTop w:val="0"/>
      <w:marBottom w:val="0"/>
      <w:divBdr>
        <w:top w:val="none" w:sz="0" w:space="0" w:color="auto"/>
        <w:left w:val="none" w:sz="0" w:space="0" w:color="auto"/>
        <w:bottom w:val="none" w:sz="0" w:space="0" w:color="auto"/>
        <w:right w:val="none" w:sz="0" w:space="0" w:color="auto"/>
      </w:divBdr>
    </w:div>
    <w:div w:id="99420822">
      <w:bodyDiv w:val="1"/>
      <w:marLeft w:val="0"/>
      <w:marRight w:val="0"/>
      <w:marTop w:val="0"/>
      <w:marBottom w:val="0"/>
      <w:divBdr>
        <w:top w:val="none" w:sz="0" w:space="0" w:color="auto"/>
        <w:left w:val="none" w:sz="0" w:space="0" w:color="auto"/>
        <w:bottom w:val="none" w:sz="0" w:space="0" w:color="auto"/>
        <w:right w:val="none" w:sz="0" w:space="0" w:color="auto"/>
      </w:divBdr>
    </w:div>
    <w:div w:id="148520154">
      <w:bodyDiv w:val="1"/>
      <w:marLeft w:val="0"/>
      <w:marRight w:val="0"/>
      <w:marTop w:val="0"/>
      <w:marBottom w:val="0"/>
      <w:divBdr>
        <w:top w:val="none" w:sz="0" w:space="0" w:color="auto"/>
        <w:left w:val="none" w:sz="0" w:space="0" w:color="auto"/>
        <w:bottom w:val="none" w:sz="0" w:space="0" w:color="auto"/>
        <w:right w:val="none" w:sz="0" w:space="0" w:color="auto"/>
      </w:divBdr>
    </w:div>
    <w:div w:id="160316529">
      <w:bodyDiv w:val="1"/>
      <w:marLeft w:val="0"/>
      <w:marRight w:val="0"/>
      <w:marTop w:val="0"/>
      <w:marBottom w:val="0"/>
      <w:divBdr>
        <w:top w:val="none" w:sz="0" w:space="0" w:color="auto"/>
        <w:left w:val="none" w:sz="0" w:space="0" w:color="auto"/>
        <w:bottom w:val="none" w:sz="0" w:space="0" w:color="auto"/>
        <w:right w:val="none" w:sz="0" w:space="0" w:color="auto"/>
      </w:divBdr>
    </w:div>
    <w:div w:id="192042570">
      <w:bodyDiv w:val="1"/>
      <w:marLeft w:val="0"/>
      <w:marRight w:val="0"/>
      <w:marTop w:val="0"/>
      <w:marBottom w:val="0"/>
      <w:divBdr>
        <w:top w:val="none" w:sz="0" w:space="0" w:color="auto"/>
        <w:left w:val="none" w:sz="0" w:space="0" w:color="auto"/>
        <w:bottom w:val="none" w:sz="0" w:space="0" w:color="auto"/>
        <w:right w:val="none" w:sz="0" w:space="0" w:color="auto"/>
      </w:divBdr>
    </w:div>
    <w:div w:id="282420016">
      <w:bodyDiv w:val="1"/>
      <w:marLeft w:val="0"/>
      <w:marRight w:val="0"/>
      <w:marTop w:val="0"/>
      <w:marBottom w:val="0"/>
      <w:divBdr>
        <w:top w:val="none" w:sz="0" w:space="0" w:color="auto"/>
        <w:left w:val="none" w:sz="0" w:space="0" w:color="auto"/>
        <w:bottom w:val="none" w:sz="0" w:space="0" w:color="auto"/>
        <w:right w:val="none" w:sz="0" w:space="0" w:color="auto"/>
      </w:divBdr>
    </w:div>
    <w:div w:id="365562737">
      <w:bodyDiv w:val="1"/>
      <w:marLeft w:val="0"/>
      <w:marRight w:val="0"/>
      <w:marTop w:val="0"/>
      <w:marBottom w:val="0"/>
      <w:divBdr>
        <w:top w:val="none" w:sz="0" w:space="0" w:color="auto"/>
        <w:left w:val="none" w:sz="0" w:space="0" w:color="auto"/>
        <w:bottom w:val="none" w:sz="0" w:space="0" w:color="auto"/>
        <w:right w:val="none" w:sz="0" w:space="0" w:color="auto"/>
      </w:divBdr>
    </w:div>
    <w:div w:id="426535191">
      <w:bodyDiv w:val="1"/>
      <w:marLeft w:val="0"/>
      <w:marRight w:val="0"/>
      <w:marTop w:val="0"/>
      <w:marBottom w:val="0"/>
      <w:divBdr>
        <w:top w:val="none" w:sz="0" w:space="0" w:color="auto"/>
        <w:left w:val="none" w:sz="0" w:space="0" w:color="auto"/>
        <w:bottom w:val="none" w:sz="0" w:space="0" w:color="auto"/>
        <w:right w:val="none" w:sz="0" w:space="0" w:color="auto"/>
      </w:divBdr>
    </w:div>
    <w:div w:id="471142664">
      <w:bodyDiv w:val="1"/>
      <w:marLeft w:val="0"/>
      <w:marRight w:val="0"/>
      <w:marTop w:val="0"/>
      <w:marBottom w:val="0"/>
      <w:divBdr>
        <w:top w:val="none" w:sz="0" w:space="0" w:color="auto"/>
        <w:left w:val="none" w:sz="0" w:space="0" w:color="auto"/>
        <w:bottom w:val="none" w:sz="0" w:space="0" w:color="auto"/>
        <w:right w:val="none" w:sz="0" w:space="0" w:color="auto"/>
      </w:divBdr>
    </w:div>
    <w:div w:id="494417618">
      <w:bodyDiv w:val="1"/>
      <w:marLeft w:val="0"/>
      <w:marRight w:val="0"/>
      <w:marTop w:val="0"/>
      <w:marBottom w:val="0"/>
      <w:divBdr>
        <w:top w:val="none" w:sz="0" w:space="0" w:color="auto"/>
        <w:left w:val="none" w:sz="0" w:space="0" w:color="auto"/>
        <w:bottom w:val="none" w:sz="0" w:space="0" w:color="auto"/>
        <w:right w:val="none" w:sz="0" w:space="0" w:color="auto"/>
      </w:divBdr>
    </w:div>
    <w:div w:id="709653054">
      <w:bodyDiv w:val="1"/>
      <w:marLeft w:val="0"/>
      <w:marRight w:val="0"/>
      <w:marTop w:val="0"/>
      <w:marBottom w:val="0"/>
      <w:divBdr>
        <w:top w:val="none" w:sz="0" w:space="0" w:color="auto"/>
        <w:left w:val="none" w:sz="0" w:space="0" w:color="auto"/>
        <w:bottom w:val="none" w:sz="0" w:space="0" w:color="auto"/>
        <w:right w:val="none" w:sz="0" w:space="0" w:color="auto"/>
      </w:divBdr>
    </w:div>
    <w:div w:id="770052971">
      <w:bodyDiv w:val="1"/>
      <w:marLeft w:val="0"/>
      <w:marRight w:val="0"/>
      <w:marTop w:val="0"/>
      <w:marBottom w:val="0"/>
      <w:divBdr>
        <w:top w:val="none" w:sz="0" w:space="0" w:color="auto"/>
        <w:left w:val="none" w:sz="0" w:space="0" w:color="auto"/>
        <w:bottom w:val="none" w:sz="0" w:space="0" w:color="auto"/>
        <w:right w:val="none" w:sz="0" w:space="0" w:color="auto"/>
      </w:divBdr>
    </w:div>
    <w:div w:id="780104060">
      <w:bodyDiv w:val="1"/>
      <w:marLeft w:val="0"/>
      <w:marRight w:val="0"/>
      <w:marTop w:val="0"/>
      <w:marBottom w:val="0"/>
      <w:divBdr>
        <w:top w:val="none" w:sz="0" w:space="0" w:color="auto"/>
        <w:left w:val="none" w:sz="0" w:space="0" w:color="auto"/>
        <w:bottom w:val="none" w:sz="0" w:space="0" w:color="auto"/>
        <w:right w:val="none" w:sz="0" w:space="0" w:color="auto"/>
      </w:divBdr>
    </w:div>
    <w:div w:id="795565401">
      <w:bodyDiv w:val="1"/>
      <w:marLeft w:val="0"/>
      <w:marRight w:val="0"/>
      <w:marTop w:val="0"/>
      <w:marBottom w:val="0"/>
      <w:divBdr>
        <w:top w:val="none" w:sz="0" w:space="0" w:color="auto"/>
        <w:left w:val="none" w:sz="0" w:space="0" w:color="auto"/>
        <w:bottom w:val="none" w:sz="0" w:space="0" w:color="auto"/>
        <w:right w:val="none" w:sz="0" w:space="0" w:color="auto"/>
      </w:divBdr>
    </w:div>
    <w:div w:id="819884211">
      <w:bodyDiv w:val="1"/>
      <w:marLeft w:val="0"/>
      <w:marRight w:val="0"/>
      <w:marTop w:val="0"/>
      <w:marBottom w:val="0"/>
      <w:divBdr>
        <w:top w:val="none" w:sz="0" w:space="0" w:color="auto"/>
        <w:left w:val="none" w:sz="0" w:space="0" w:color="auto"/>
        <w:bottom w:val="none" w:sz="0" w:space="0" w:color="auto"/>
        <w:right w:val="none" w:sz="0" w:space="0" w:color="auto"/>
      </w:divBdr>
    </w:div>
    <w:div w:id="925041179">
      <w:bodyDiv w:val="1"/>
      <w:marLeft w:val="0"/>
      <w:marRight w:val="0"/>
      <w:marTop w:val="0"/>
      <w:marBottom w:val="0"/>
      <w:divBdr>
        <w:top w:val="none" w:sz="0" w:space="0" w:color="auto"/>
        <w:left w:val="none" w:sz="0" w:space="0" w:color="auto"/>
        <w:bottom w:val="none" w:sz="0" w:space="0" w:color="auto"/>
        <w:right w:val="none" w:sz="0" w:space="0" w:color="auto"/>
      </w:divBdr>
    </w:div>
    <w:div w:id="1009210911">
      <w:bodyDiv w:val="1"/>
      <w:marLeft w:val="0"/>
      <w:marRight w:val="0"/>
      <w:marTop w:val="0"/>
      <w:marBottom w:val="0"/>
      <w:divBdr>
        <w:top w:val="none" w:sz="0" w:space="0" w:color="auto"/>
        <w:left w:val="none" w:sz="0" w:space="0" w:color="auto"/>
        <w:bottom w:val="none" w:sz="0" w:space="0" w:color="auto"/>
        <w:right w:val="none" w:sz="0" w:space="0" w:color="auto"/>
      </w:divBdr>
    </w:div>
    <w:div w:id="1118985181">
      <w:bodyDiv w:val="1"/>
      <w:marLeft w:val="0"/>
      <w:marRight w:val="0"/>
      <w:marTop w:val="0"/>
      <w:marBottom w:val="0"/>
      <w:divBdr>
        <w:top w:val="none" w:sz="0" w:space="0" w:color="auto"/>
        <w:left w:val="none" w:sz="0" w:space="0" w:color="auto"/>
        <w:bottom w:val="none" w:sz="0" w:space="0" w:color="auto"/>
        <w:right w:val="none" w:sz="0" w:space="0" w:color="auto"/>
      </w:divBdr>
    </w:div>
    <w:div w:id="1184395630">
      <w:bodyDiv w:val="1"/>
      <w:marLeft w:val="0"/>
      <w:marRight w:val="0"/>
      <w:marTop w:val="0"/>
      <w:marBottom w:val="0"/>
      <w:divBdr>
        <w:top w:val="none" w:sz="0" w:space="0" w:color="auto"/>
        <w:left w:val="none" w:sz="0" w:space="0" w:color="auto"/>
        <w:bottom w:val="none" w:sz="0" w:space="0" w:color="auto"/>
        <w:right w:val="none" w:sz="0" w:space="0" w:color="auto"/>
      </w:divBdr>
    </w:div>
    <w:div w:id="1329019853">
      <w:bodyDiv w:val="1"/>
      <w:marLeft w:val="0"/>
      <w:marRight w:val="0"/>
      <w:marTop w:val="0"/>
      <w:marBottom w:val="0"/>
      <w:divBdr>
        <w:top w:val="none" w:sz="0" w:space="0" w:color="auto"/>
        <w:left w:val="none" w:sz="0" w:space="0" w:color="auto"/>
        <w:bottom w:val="none" w:sz="0" w:space="0" w:color="auto"/>
        <w:right w:val="none" w:sz="0" w:space="0" w:color="auto"/>
      </w:divBdr>
    </w:div>
    <w:div w:id="1461453547">
      <w:bodyDiv w:val="1"/>
      <w:marLeft w:val="0"/>
      <w:marRight w:val="0"/>
      <w:marTop w:val="0"/>
      <w:marBottom w:val="0"/>
      <w:divBdr>
        <w:top w:val="none" w:sz="0" w:space="0" w:color="auto"/>
        <w:left w:val="none" w:sz="0" w:space="0" w:color="auto"/>
        <w:bottom w:val="none" w:sz="0" w:space="0" w:color="auto"/>
        <w:right w:val="none" w:sz="0" w:space="0" w:color="auto"/>
      </w:divBdr>
    </w:div>
    <w:div w:id="1470391656">
      <w:bodyDiv w:val="1"/>
      <w:marLeft w:val="0"/>
      <w:marRight w:val="0"/>
      <w:marTop w:val="0"/>
      <w:marBottom w:val="0"/>
      <w:divBdr>
        <w:top w:val="none" w:sz="0" w:space="0" w:color="auto"/>
        <w:left w:val="none" w:sz="0" w:space="0" w:color="auto"/>
        <w:bottom w:val="none" w:sz="0" w:space="0" w:color="auto"/>
        <w:right w:val="none" w:sz="0" w:space="0" w:color="auto"/>
      </w:divBdr>
    </w:div>
    <w:div w:id="1593664938">
      <w:bodyDiv w:val="1"/>
      <w:marLeft w:val="0"/>
      <w:marRight w:val="0"/>
      <w:marTop w:val="0"/>
      <w:marBottom w:val="0"/>
      <w:divBdr>
        <w:top w:val="none" w:sz="0" w:space="0" w:color="auto"/>
        <w:left w:val="none" w:sz="0" w:space="0" w:color="auto"/>
        <w:bottom w:val="none" w:sz="0" w:space="0" w:color="auto"/>
        <w:right w:val="none" w:sz="0" w:space="0" w:color="auto"/>
      </w:divBdr>
    </w:div>
    <w:div w:id="1693605466">
      <w:bodyDiv w:val="1"/>
      <w:marLeft w:val="0"/>
      <w:marRight w:val="0"/>
      <w:marTop w:val="0"/>
      <w:marBottom w:val="0"/>
      <w:divBdr>
        <w:top w:val="none" w:sz="0" w:space="0" w:color="auto"/>
        <w:left w:val="none" w:sz="0" w:space="0" w:color="auto"/>
        <w:bottom w:val="none" w:sz="0" w:space="0" w:color="auto"/>
        <w:right w:val="none" w:sz="0" w:space="0" w:color="auto"/>
      </w:divBdr>
    </w:div>
    <w:div w:id="1715039967">
      <w:bodyDiv w:val="1"/>
      <w:marLeft w:val="0"/>
      <w:marRight w:val="0"/>
      <w:marTop w:val="0"/>
      <w:marBottom w:val="0"/>
      <w:divBdr>
        <w:top w:val="none" w:sz="0" w:space="0" w:color="auto"/>
        <w:left w:val="none" w:sz="0" w:space="0" w:color="auto"/>
        <w:bottom w:val="none" w:sz="0" w:space="0" w:color="auto"/>
        <w:right w:val="none" w:sz="0" w:space="0" w:color="auto"/>
      </w:divBdr>
    </w:div>
    <w:div w:id="1749035671">
      <w:bodyDiv w:val="1"/>
      <w:marLeft w:val="0"/>
      <w:marRight w:val="0"/>
      <w:marTop w:val="0"/>
      <w:marBottom w:val="0"/>
      <w:divBdr>
        <w:top w:val="none" w:sz="0" w:space="0" w:color="auto"/>
        <w:left w:val="none" w:sz="0" w:space="0" w:color="auto"/>
        <w:bottom w:val="none" w:sz="0" w:space="0" w:color="auto"/>
        <w:right w:val="none" w:sz="0" w:space="0" w:color="auto"/>
      </w:divBdr>
    </w:div>
    <w:div w:id="1899391911">
      <w:bodyDiv w:val="1"/>
      <w:marLeft w:val="0"/>
      <w:marRight w:val="0"/>
      <w:marTop w:val="0"/>
      <w:marBottom w:val="0"/>
      <w:divBdr>
        <w:top w:val="none" w:sz="0" w:space="0" w:color="auto"/>
        <w:left w:val="none" w:sz="0" w:space="0" w:color="auto"/>
        <w:bottom w:val="none" w:sz="0" w:space="0" w:color="auto"/>
        <w:right w:val="none" w:sz="0" w:space="0" w:color="auto"/>
      </w:divBdr>
      <w:divsChild>
        <w:div w:id="1259831255">
          <w:marLeft w:val="0"/>
          <w:marRight w:val="0"/>
          <w:marTop w:val="0"/>
          <w:marBottom w:val="0"/>
          <w:divBdr>
            <w:top w:val="none" w:sz="0" w:space="0" w:color="auto"/>
            <w:left w:val="none" w:sz="0" w:space="0" w:color="auto"/>
            <w:bottom w:val="none" w:sz="0" w:space="0" w:color="auto"/>
            <w:right w:val="none" w:sz="0" w:space="0" w:color="auto"/>
          </w:divBdr>
          <w:divsChild>
            <w:div w:id="603390825">
              <w:marLeft w:val="0"/>
              <w:marRight w:val="0"/>
              <w:marTop w:val="0"/>
              <w:marBottom w:val="0"/>
              <w:divBdr>
                <w:top w:val="none" w:sz="0" w:space="0" w:color="auto"/>
                <w:left w:val="none" w:sz="0" w:space="0" w:color="auto"/>
                <w:bottom w:val="none" w:sz="0" w:space="0" w:color="auto"/>
                <w:right w:val="none" w:sz="0" w:space="0" w:color="auto"/>
              </w:divBdr>
              <w:divsChild>
                <w:div w:id="10073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02944">
          <w:marLeft w:val="0"/>
          <w:marRight w:val="0"/>
          <w:marTop w:val="0"/>
          <w:marBottom w:val="0"/>
          <w:divBdr>
            <w:top w:val="none" w:sz="0" w:space="0" w:color="auto"/>
            <w:left w:val="none" w:sz="0" w:space="0" w:color="auto"/>
            <w:bottom w:val="none" w:sz="0" w:space="0" w:color="auto"/>
            <w:right w:val="none" w:sz="0" w:space="0" w:color="auto"/>
          </w:divBdr>
          <w:divsChild>
            <w:div w:id="440760457">
              <w:marLeft w:val="0"/>
              <w:marRight w:val="0"/>
              <w:marTop w:val="0"/>
              <w:marBottom w:val="0"/>
              <w:divBdr>
                <w:top w:val="none" w:sz="0" w:space="0" w:color="auto"/>
                <w:left w:val="none" w:sz="0" w:space="0" w:color="auto"/>
                <w:bottom w:val="none" w:sz="0" w:space="0" w:color="auto"/>
                <w:right w:val="none" w:sz="0" w:space="0" w:color="auto"/>
              </w:divBdr>
              <w:divsChild>
                <w:div w:id="4421187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61064761">
      <w:bodyDiv w:val="1"/>
      <w:marLeft w:val="0"/>
      <w:marRight w:val="0"/>
      <w:marTop w:val="0"/>
      <w:marBottom w:val="0"/>
      <w:divBdr>
        <w:top w:val="none" w:sz="0" w:space="0" w:color="auto"/>
        <w:left w:val="none" w:sz="0" w:space="0" w:color="auto"/>
        <w:bottom w:val="none" w:sz="0" w:space="0" w:color="auto"/>
        <w:right w:val="none" w:sz="0" w:space="0" w:color="auto"/>
      </w:divBdr>
    </w:div>
    <w:div w:id="1989088612">
      <w:bodyDiv w:val="1"/>
      <w:marLeft w:val="0"/>
      <w:marRight w:val="0"/>
      <w:marTop w:val="0"/>
      <w:marBottom w:val="0"/>
      <w:divBdr>
        <w:top w:val="none" w:sz="0" w:space="0" w:color="auto"/>
        <w:left w:val="none" w:sz="0" w:space="0" w:color="auto"/>
        <w:bottom w:val="none" w:sz="0" w:space="0" w:color="auto"/>
        <w:right w:val="none" w:sz="0" w:space="0" w:color="auto"/>
      </w:divBdr>
    </w:div>
    <w:div w:id="2036927321">
      <w:bodyDiv w:val="1"/>
      <w:marLeft w:val="0"/>
      <w:marRight w:val="0"/>
      <w:marTop w:val="0"/>
      <w:marBottom w:val="0"/>
      <w:divBdr>
        <w:top w:val="none" w:sz="0" w:space="0" w:color="auto"/>
        <w:left w:val="none" w:sz="0" w:space="0" w:color="auto"/>
        <w:bottom w:val="none" w:sz="0" w:space="0" w:color="auto"/>
        <w:right w:val="none" w:sz="0" w:space="0" w:color="auto"/>
      </w:divBdr>
    </w:div>
    <w:div w:id="2056198466">
      <w:bodyDiv w:val="1"/>
      <w:marLeft w:val="0"/>
      <w:marRight w:val="0"/>
      <w:marTop w:val="0"/>
      <w:marBottom w:val="0"/>
      <w:divBdr>
        <w:top w:val="none" w:sz="0" w:space="0" w:color="auto"/>
        <w:left w:val="none" w:sz="0" w:space="0" w:color="auto"/>
        <w:bottom w:val="none" w:sz="0" w:space="0" w:color="auto"/>
        <w:right w:val="none" w:sz="0" w:space="0" w:color="auto"/>
      </w:divBdr>
      <w:divsChild>
        <w:div w:id="1988971325">
          <w:marLeft w:val="0"/>
          <w:marRight w:val="0"/>
          <w:marTop w:val="0"/>
          <w:marBottom w:val="0"/>
          <w:divBdr>
            <w:top w:val="none" w:sz="0" w:space="0" w:color="auto"/>
            <w:left w:val="none" w:sz="0" w:space="0" w:color="auto"/>
            <w:bottom w:val="none" w:sz="0" w:space="0" w:color="auto"/>
            <w:right w:val="none" w:sz="0" w:space="0" w:color="auto"/>
          </w:divBdr>
          <w:divsChild>
            <w:div w:id="631984881">
              <w:marLeft w:val="0"/>
              <w:marRight w:val="0"/>
              <w:marTop w:val="0"/>
              <w:marBottom w:val="0"/>
              <w:divBdr>
                <w:top w:val="none" w:sz="0" w:space="0" w:color="auto"/>
                <w:left w:val="none" w:sz="0" w:space="0" w:color="auto"/>
                <w:bottom w:val="none" w:sz="0" w:space="0" w:color="auto"/>
                <w:right w:val="none" w:sz="0" w:space="0" w:color="auto"/>
              </w:divBdr>
              <w:divsChild>
                <w:div w:id="5328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5113">
          <w:marLeft w:val="0"/>
          <w:marRight w:val="0"/>
          <w:marTop w:val="0"/>
          <w:marBottom w:val="0"/>
          <w:divBdr>
            <w:top w:val="none" w:sz="0" w:space="0" w:color="auto"/>
            <w:left w:val="none" w:sz="0" w:space="0" w:color="auto"/>
            <w:bottom w:val="none" w:sz="0" w:space="0" w:color="auto"/>
            <w:right w:val="none" w:sz="0" w:space="0" w:color="auto"/>
          </w:divBdr>
          <w:divsChild>
            <w:div w:id="372853234">
              <w:marLeft w:val="0"/>
              <w:marRight w:val="0"/>
              <w:marTop w:val="0"/>
              <w:marBottom w:val="0"/>
              <w:divBdr>
                <w:top w:val="none" w:sz="0" w:space="0" w:color="auto"/>
                <w:left w:val="none" w:sz="0" w:space="0" w:color="auto"/>
                <w:bottom w:val="none" w:sz="0" w:space="0" w:color="auto"/>
                <w:right w:val="none" w:sz="0" w:space="0" w:color="auto"/>
              </w:divBdr>
              <w:divsChild>
                <w:div w:id="20243616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05953233">
      <w:bodyDiv w:val="1"/>
      <w:marLeft w:val="0"/>
      <w:marRight w:val="0"/>
      <w:marTop w:val="0"/>
      <w:marBottom w:val="0"/>
      <w:divBdr>
        <w:top w:val="none" w:sz="0" w:space="0" w:color="auto"/>
        <w:left w:val="none" w:sz="0" w:space="0" w:color="auto"/>
        <w:bottom w:val="none" w:sz="0" w:space="0" w:color="auto"/>
        <w:right w:val="none" w:sz="0" w:space="0" w:color="auto"/>
      </w:divBdr>
    </w:div>
    <w:div w:id="2129547609">
      <w:bodyDiv w:val="1"/>
      <w:marLeft w:val="0"/>
      <w:marRight w:val="0"/>
      <w:marTop w:val="0"/>
      <w:marBottom w:val="0"/>
      <w:divBdr>
        <w:top w:val="none" w:sz="0" w:space="0" w:color="auto"/>
        <w:left w:val="none" w:sz="0" w:space="0" w:color="auto"/>
        <w:bottom w:val="none" w:sz="0" w:space="0" w:color="auto"/>
        <w:right w:val="none" w:sz="0" w:space="0" w:color="auto"/>
      </w:divBdr>
    </w:div>
    <w:div w:id="21334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Natia%20Skhvitaridze\Desktop\MPH%20UG%20edited%209Feb.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Sheet1!$B$4:$B$13</cx:f>
        <cx:lvl ptCount="10">
          <cx:pt idx="0">იაპონია</cx:pt>
          <cx:pt idx="1">კანადა</cx:pt>
          <cx:pt idx="2">იტალია</cx:pt>
          <cx:pt idx="3">საფრანგეთი</cx:pt>
          <cx:pt idx="4">გერმანია</cx:pt>
          <cx:pt idx="5">ისრაელი</cx:pt>
          <cx:pt idx="6">გაერთიანებული სამეფო</cx:pt>
          <cx:pt idx="7">ევროკავშირი</cx:pt>
          <cx:pt idx="8">ჩინეთი</cx:pt>
          <cx:pt idx="9">აშშ</cx:pt>
        </cx:lvl>
      </cx:strDim>
      <cx:numDim type="val">
        <cx:f>Sheet1!$C$4:$C$13</cx:f>
        <cx:lvl ptCount="10" formatCode="General">
          <cx:pt idx="0">0.01</cx:pt>
          <cx:pt idx="1">0.77000000000000002</cx:pt>
          <cx:pt idx="2">1.78</cx:pt>
          <cx:pt idx="3">1.8899999999999999</cx:pt>
          <cx:pt idx="4">2.5</cx:pt>
          <cx:pt idx="5">3.3799999999999999</cx:pt>
          <cx:pt idx="6">8.6400000000000006</cx:pt>
          <cx:pt idx="7">13.640000000000001</cx:pt>
          <cx:pt idx="8">17.120000000000001</cx:pt>
          <cx:pt idx="9">30.77</cx:pt>
        </cx:lvl>
      </cx:numDim>
    </cx:data>
  </cx:chartData>
  <cx:chart>
    <cx:title pos="t" align="ctr" overlay="0">
      <cx:tx>
        <cx:rich>
          <a:bodyPr spcFirstLastPara="1" vertOverflow="ellipsis" horzOverflow="overflow" wrap="square" lIns="0" tIns="0" rIns="0" bIns="0" anchor="ctr" anchorCtr="1"/>
          <a:lstStyle/>
          <a:p>
            <a:pPr algn="ctr" rtl="0">
              <a:defRPr/>
            </a:pPr>
            <a:r>
              <a:rPr lang="ka-GE" sz="1400" b="0" i="0" u="none" strike="noStrike" baseline="0">
                <a:solidFill>
                  <a:sysClr val="windowText" lastClr="000000">
                    <a:lumMod val="65000"/>
                    <a:lumOff val="35000"/>
                  </a:sysClr>
                </a:solidFill>
                <a:latin typeface="Calibri" panose="020F0502020204030204"/>
              </a:rPr>
              <a:t>მოხმარებული ვაქცინების წილი გახარჯული ვაქცინებიდან, 28.02.2021</a:t>
            </a:r>
            <a:endParaRPr lang="en-US" sz="1400" b="0" i="0" u="none" strike="noStrike" baseline="0">
              <a:solidFill>
                <a:sysClr val="windowText" lastClr="000000">
                  <a:lumMod val="65000"/>
                  <a:lumOff val="35000"/>
                </a:sysClr>
              </a:solidFill>
              <a:latin typeface="Calibri" panose="020F0502020204030204"/>
            </a:endParaRPr>
          </a:p>
        </cx:rich>
      </cx:tx>
    </cx:title>
    <cx:plotArea>
      <cx:plotAreaRegion>
        <cx:series layoutId="funnel" uniqueId="{5DBF224A-D392-4061-8226-908AF48F4A44}">
          <cx:tx>
            <cx:txData>
              <cx:f>Sheet1!$C$3</cx:f>
              <cx:v>%</cx:v>
            </cx:txData>
          </cx:tx>
          <cx:dataLabels>
            <cx:txPr>
              <a:bodyPr spcFirstLastPara="1" vertOverflow="ellipsis" horzOverflow="overflow" wrap="square" lIns="0" tIns="0" rIns="0" bIns="0" anchor="ctr" anchorCtr="1"/>
              <a:lstStyle/>
              <a:p>
                <a:pPr algn="ctr" rtl="0">
                  <a:defRPr sz="1000" b="1"/>
                </a:pPr>
                <a:endParaRPr lang="en-US" sz="1000" b="1" i="0" u="none" strike="noStrike" baseline="0">
                  <a:solidFill>
                    <a:sysClr val="windowText" lastClr="000000">
                      <a:lumMod val="65000"/>
                      <a:lumOff val="35000"/>
                    </a:sysClr>
                  </a:solidFill>
                  <a:latin typeface="Calibri" panose="020F0502020204030204"/>
                </a:endParaRPr>
              </a:p>
            </cx:txPr>
            <cx:visibility seriesName="0" categoryName="0" value="1"/>
          </cx:dataLabels>
          <cx:dataId val="0"/>
        </cx:series>
      </cx:plotAreaRegion>
      <cx:axis id="0">
        <cx:catScaling gapWidth="0.0599999987"/>
        <cx:tickLabels/>
        <cx:txPr>
          <a:bodyPr spcFirstLastPara="1" vertOverflow="ellipsis" horzOverflow="overflow" wrap="square" lIns="0" tIns="0" rIns="0" bIns="0" anchor="ctr" anchorCtr="1"/>
          <a:lstStyle/>
          <a:p>
            <a:pPr algn="ctr" rtl="0">
              <a:defRPr sz="800"/>
            </a:pPr>
            <a:endParaRPr lang="en-US" sz="800" b="0" i="0" u="none" strike="noStrike" baseline="0">
              <a:solidFill>
                <a:sysClr val="windowText" lastClr="000000">
                  <a:lumMod val="65000"/>
                  <a:lumOff val="35000"/>
                </a:sysClr>
              </a:solidFill>
              <a:latin typeface="Calibri" panose="020F0502020204030204"/>
            </a:endParaRPr>
          </a:p>
        </cx:txPr>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558D4-08D3-4301-8AFE-EAFA99A7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Natia Skhvitaridze</cp:lastModifiedBy>
  <cp:revision>7</cp:revision>
  <dcterms:created xsi:type="dcterms:W3CDTF">2021-02-27T18:50:00Z</dcterms:created>
  <dcterms:modified xsi:type="dcterms:W3CDTF">2021-02-28T10:49:00Z</dcterms:modified>
</cp:coreProperties>
</file>