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45185061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F0282F">
        <w:rPr>
          <w:b/>
          <w:bCs/>
          <w:lang w:val="en-US"/>
        </w:rPr>
        <w:t>0</w:t>
      </w:r>
      <w:r w:rsidR="00983101">
        <w:rPr>
          <w:b/>
          <w:bCs/>
          <w:lang w:val="en-US"/>
        </w:rPr>
        <w:t>4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6B73806A" w:rsidR="004D4340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F87A3E">
        <w:rPr>
          <w:lang w:val="en-US"/>
        </w:rPr>
        <w:t>2</w:t>
      </w:r>
      <w:r w:rsidR="00983101">
        <w:rPr>
          <w:lang w:val="en-US"/>
        </w:rPr>
        <w:t>7</w:t>
      </w:r>
      <w:r w:rsidR="00983101">
        <w:t>5</w:t>
      </w:r>
      <w:r w:rsidR="00F0282F">
        <w:rPr>
          <w:lang w:val="en-US"/>
        </w:rPr>
        <w:t xml:space="preserve"> </w:t>
      </w:r>
      <w:r w:rsidR="00F0282F">
        <w:t>მლნ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440355">
        <w:t>აცრა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F0282F">
        <w:t>1</w:t>
      </w:r>
      <w:r w:rsidR="00983101">
        <w:t>9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4D4340">
        <w:t>.</w:t>
      </w:r>
      <w:r w:rsidR="00BE7658">
        <w:t xml:space="preserve"> </w:t>
      </w:r>
      <w:r w:rsidR="00543CE7">
        <w:t>ბოლო დღეებში</w:t>
      </w:r>
      <w:r w:rsidR="00BE7658">
        <w:t xml:space="preserve"> ვაქცინაცია დაიწყო დამატებით </w:t>
      </w:r>
      <w:r w:rsidR="00F0282F">
        <w:t>5</w:t>
      </w:r>
      <w:r w:rsidR="00BE7658">
        <w:t xml:space="preserve"> ქვეყანა</w:t>
      </w:r>
      <w:r w:rsidR="00625780">
        <w:t>სა და 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აღნიშნული ტემპით გაგრძელების შემთხვევაში, მოსახლეობის ორი დოზით ასაცრელად და კოლექტიური იმუნიტეტის მისაღწევად (75%) გათვლებით </w:t>
      </w:r>
      <w:r w:rsidR="00012043" w:rsidRPr="00D20709">
        <w:rPr>
          <w:u w:val="single"/>
        </w:rPr>
        <w:t xml:space="preserve">საჭიროა </w:t>
      </w:r>
      <w:r w:rsidR="00625780">
        <w:rPr>
          <w:u w:val="single"/>
        </w:rPr>
        <w:t>4.</w:t>
      </w:r>
      <w:r w:rsidR="00983101">
        <w:rPr>
          <w:u w:val="single"/>
          <w:lang w:val="en-US"/>
        </w:rPr>
        <w:t>9</w:t>
      </w:r>
      <w:r w:rsidR="00012043" w:rsidRPr="00D20709">
        <w:rPr>
          <w:u w:val="single"/>
        </w:rPr>
        <w:t xml:space="preserve"> წელი</w:t>
      </w:r>
      <w:r w:rsidR="00012043">
        <w:t>.</w:t>
      </w:r>
    </w:p>
    <w:p w14:paraId="7B4725A1" w14:textId="75FE4BE7" w:rsidR="002E5F4D" w:rsidRDefault="002E5F4D" w:rsidP="00F45F99">
      <w:r>
        <w:t xml:space="preserve">წინა კვირასთან შედარებით, გლობალურად </w:t>
      </w:r>
      <w:r w:rsidR="0048742D">
        <w:t>17</w:t>
      </w:r>
      <w:r w:rsidR="00255BE9">
        <w:rPr>
          <w:lang w:val="en-US"/>
        </w:rPr>
        <w:t>%</w:t>
      </w:r>
      <w:r>
        <w:t>-ით გაზრდილია ვაქცინაცია.</w:t>
      </w:r>
    </w:p>
    <w:p w14:paraId="6B7641EE" w14:textId="14B33852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983101">
        <w:rPr>
          <w:lang w:val="en-US"/>
        </w:rPr>
        <w:t>80 540 474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983101">
        <w:rPr>
          <w:lang w:val="en-US"/>
        </w:rPr>
        <w:t>52 500 000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 xml:space="preserve">მესამეზეა </w:t>
      </w:r>
      <w:r w:rsidR="00726277">
        <w:t>გაერთიანებული სამეფო</w:t>
      </w:r>
      <w:r w:rsidR="00121646">
        <w:t xml:space="preserve"> (</w:t>
      </w:r>
      <w:r w:rsidR="00625780">
        <w:t>2</w:t>
      </w:r>
      <w:r w:rsidR="00983101">
        <w:rPr>
          <w:lang w:val="en-US"/>
        </w:rPr>
        <w:t>1 599 027</w:t>
      </w:r>
      <w:r w:rsidR="004C34CD">
        <w:t>)</w:t>
      </w:r>
      <w:r w:rsidR="00625780">
        <w:t>, მეოთხე</w:t>
      </w:r>
      <w:r w:rsidR="00625780" w:rsidRPr="00625780">
        <w:t xml:space="preserve"> </w:t>
      </w:r>
      <w:r w:rsidR="00625780">
        <w:t>ინდოეთი (</w:t>
      </w:r>
      <w:r w:rsidR="00983101">
        <w:rPr>
          <w:lang w:val="en-US"/>
        </w:rPr>
        <w:t>16 314 485</w:t>
      </w:r>
      <w:r w:rsidR="00625780">
        <w:t>)</w:t>
      </w:r>
      <w:r w:rsidR="00983101">
        <w:rPr>
          <w:lang w:val="en-US"/>
        </w:rPr>
        <w:t xml:space="preserve"> </w:t>
      </w:r>
      <w:r w:rsidR="00983101">
        <w:t xml:space="preserve">და </w:t>
      </w:r>
      <w:r w:rsidR="00F0282F">
        <w:t>მეხუთე</w:t>
      </w:r>
      <w:r w:rsidR="00625780">
        <w:t xml:space="preserve"> </w:t>
      </w:r>
      <w:r w:rsidR="00983101">
        <w:t>ადგილზე ამ კვირიდან არის ბრაზილია, რომელმაც გადაასწრო თურქეთს</w:t>
      </w:r>
      <w:r w:rsidR="00625780">
        <w:t xml:space="preserve"> (</w:t>
      </w:r>
      <w:r w:rsidR="00983101">
        <w:t>9 432 768</w:t>
      </w:r>
      <w:r w:rsidR="00625780">
        <w:t>)</w:t>
      </w:r>
      <w:r w:rsidR="00A33292">
        <w:t>.</w:t>
      </w:r>
    </w:p>
    <w:bookmarkEnd w:id="1"/>
    <w:p w14:paraId="63D9A039" w14:textId="04B4A897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ორი დოზით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983101">
        <w:t>41.9</w:t>
      </w:r>
      <w:r w:rsidR="003512F0">
        <w:t xml:space="preserve">%), მეორე ადგილზეა </w:t>
      </w:r>
      <w:r w:rsidR="00F45F99">
        <w:t>ისრაელი (</w:t>
      </w:r>
      <w:r w:rsidR="00983101">
        <w:t>41.3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F87A3E">
        <w:rPr>
          <w:lang w:val="en-US"/>
        </w:rPr>
        <w:t>2</w:t>
      </w:r>
      <w:r w:rsidR="005C258B">
        <w:t>4.</w:t>
      </w:r>
      <w:r w:rsidR="00983101">
        <w:t>6</w:t>
      </w:r>
      <w:r w:rsidR="00121646">
        <w:t>%), მე</w:t>
      </w:r>
      <w:r w:rsidR="003512F0">
        <w:t>ოთხე</w:t>
      </w:r>
      <w:r w:rsidR="00121646">
        <w:t xml:space="preserve"> </w:t>
      </w:r>
      <w:r w:rsidR="00F0282F">
        <w:t>კუნძული მენი (</w:t>
      </w:r>
      <w:r w:rsidR="00983101">
        <w:t>9.1</w:t>
      </w:r>
      <w:r w:rsidR="00F0282F">
        <w:t>%), მეხუთე</w:t>
      </w:r>
      <w:r w:rsidR="00983101">
        <w:t xml:space="preserve"> ადგილზე დაწინაურდა აშშ (8.1%), მეექვსე სერბეთი (7.9%), </w:t>
      </w:r>
      <w:r w:rsidR="00625780">
        <w:t>მერვე</w:t>
      </w:r>
      <w:r w:rsidR="00121646">
        <w:t xml:space="preserve"> </w:t>
      </w:r>
      <w:r w:rsidR="00F87A3E">
        <w:t>მალტა</w:t>
      </w:r>
      <w:r w:rsidR="00121646">
        <w:t xml:space="preserve"> (</w:t>
      </w:r>
      <w:r w:rsidR="00F0282F">
        <w:t>6.</w:t>
      </w:r>
      <w:r w:rsidR="00983101">
        <w:t>7</w:t>
      </w:r>
      <w:r w:rsidR="00121646">
        <w:t>%)</w:t>
      </w:r>
      <w:r w:rsidR="00F0282F">
        <w:t>, მეცხრე ფაროს კუნძულები (5.</w:t>
      </w:r>
      <w:r w:rsidR="00983101">
        <w:t>8</w:t>
      </w:r>
      <w:r w:rsidR="00F0282F">
        <w:t>%) და მეათე ისლანდია (3.7%)</w:t>
      </w:r>
      <w:r w:rsidR="00121646">
        <w:t>.</w:t>
      </w:r>
      <w:bookmarkEnd w:id="2"/>
    </w:p>
    <w:p w14:paraId="3AF5502A" w14:textId="14ABD118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>ბის მოცვის მიხედვით (</w:t>
      </w:r>
      <w:r w:rsidR="00983101">
        <w:t>92.46</w:t>
      </w:r>
      <w:r>
        <w:t>%)</w:t>
      </w:r>
      <w:r w:rsidR="00411497">
        <w:rPr>
          <w:lang w:val="en-US"/>
        </w:rPr>
        <w:t xml:space="preserve"> </w:t>
      </w:r>
      <w:r w:rsidR="00731E92">
        <w:t xml:space="preserve">რაც შეადგენს ჯამში </w:t>
      </w:r>
      <w:r w:rsidR="00F0282F">
        <w:t>8</w:t>
      </w:r>
      <w:r w:rsidR="00983101">
        <w:t> 368 983</w:t>
      </w:r>
      <w:r w:rsidR="00411497">
        <w:rPr>
          <w:lang w:val="en-US"/>
        </w:rPr>
        <w:t xml:space="preserve"> </w:t>
      </w:r>
      <w:r w:rsidR="00411497">
        <w:t>ადამიან</w:t>
      </w:r>
      <w:r w:rsidR="00731E92">
        <w:t>ს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(</w:t>
      </w:r>
      <w:r w:rsidR="00983101">
        <w:t>84.09</w:t>
      </w:r>
      <w:r>
        <w:t>%</w:t>
      </w:r>
      <w:r w:rsidR="004D6FB9">
        <w:t>)</w:t>
      </w:r>
      <w:r w:rsidR="00411497">
        <w:t xml:space="preserve"> </w:t>
      </w:r>
      <w:r w:rsidR="00731E92">
        <w:t xml:space="preserve">– </w:t>
      </w:r>
      <w:r w:rsidR="00983101">
        <w:t>80 729</w:t>
      </w:r>
      <w:r w:rsidR="00411497">
        <w:t xml:space="preserve"> ადამიანი</w:t>
      </w:r>
      <w:r>
        <w:t xml:space="preserve"> </w:t>
      </w:r>
      <w:r w:rsidR="00FD6A5D">
        <w:t>და გაერთიანებულ არაბთა ემირატებ</w:t>
      </w:r>
      <w:r w:rsidR="004D5C83">
        <w:t>ი</w:t>
      </w:r>
      <w:r w:rsidR="00FD6A5D">
        <w:t xml:space="preserve"> (</w:t>
      </w:r>
      <w:r w:rsidR="00F87A3E">
        <w:t>5</w:t>
      </w:r>
      <w:r w:rsidR="00983101">
        <w:t>7.39</w:t>
      </w:r>
      <w:r w:rsidR="00FD6A5D">
        <w:t>%)</w:t>
      </w:r>
      <w:r w:rsidR="00700367">
        <w:t xml:space="preserve"> - </w:t>
      </w:r>
      <w:r w:rsidR="00411497">
        <w:t xml:space="preserve"> </w:t>
      </w:r>
      <w:r w:rsidR="005C258B">
        <w:t>6</w:t>
      </w:r>
      <w:r w:rsidR="00983101">
        <w:t> 168 330</w:t>
      </w:r>
      <w:r w:rsidR="00411497">
        <w:t xml:space="preserve"> ადამიანი</w:t>
      </w:r>
      <w:r w:rsidR="004D6FB9">
        <w:t xml:space="preserve">, </w:t>
      </w:r>
      <w:r w:rsidR="00983101">
        <w:t xml:space="preserve">მალდივები (34.79%) – 129 424 ადამიანი, </w:t>
      </w:r>
      <w:r w:rsidR="00611A46">
        <w:t xml:space="preserve">3-ჯერ მეტი ვიდრე </w:t>
      </w:r>
      <w:r w:rsidR="00F45F99">
        <w:t xml:space="preserve">გაერთიანებულ სამეფო </w:t>
      </w:r>
      <w:r w:rsidR="00FD6A5D">
        <w:t>(</w:t>
      </w:r>
      <w:r w:rsidR="005C258B">
        <w:t>3</w:t>
      </w:r>
      <w:r w:rsidR="00983101">
        <w:t>2.34</w:t>
      </w:r>
      <w:r w:rsidR="00FD6A5D">
        <w:t>%)</w:t>
      </w:r>
      <w:r w:rsidR="00411497">
        <w:t xml:space="preserve"> </w:t>
      </w:r>
      <w:r w:rsidR="00700367">
        <w:t xml:space="preserve">- აცრილი ჯამში </w:t>
      </w:r>
      <w:r w:rsidR="005C258B">
        <w:t>2</w:t>
      </w:r>
      <w:r w:rsidR="00983101">
        <w:t>1 599 027</w:t>
      </w:r>
      <w:r w:rsidR="00411497">
        <w:t xml:space="preserve"> ადამიანი</w:t>
      </w:r>
      <w:r w:rsidR="00983101">
        <w:t xml:space="preserve"> </w:t>
      </w:r>
      <w:r w:rsidR="00F87A3E">
        <w:t xml:space="preserve">და </w:t>
      </w:r>
      <w:r w:rsidR="00983101">
        <w:t>3</w:t>
      </w:r>
      <w:r w:rsidR="00F0282F">
        <w:t>.5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726277">
        <w:t>აშშ</w:t>
      </w:r>
      <w:r w:rsidR="00611A46">
        <w:t xml:space="preserve"> </w:t>
      </w:r>
      <w:r w:rsidR="00FD6A5D">
        <w:t>(</w:t>
      </w:r>
      <w:r w:rsidR="005C258B">
        <w:t>2</w:t>
      </w:r>
      <w:r w:rsidR="00983101">
        <w:t>4.26</w:t>
      </w:r>
      <w:r w:rsidR="00FD6A5D">
        <w:t>%)</w:t>
      </w:r>
      <w:r w:rsidR="0086352D">
        <w:t xml:space="preserve"> </w:t>
      </w:r>
      <w:r w:rsidR="00700367">
        <w:t xml:space="preserve">– </w:t>
      </w:r>
      <w:r w:rsidR="00983101">
        <w:t>80 540 474</w:t>
      </w:r>
      <w:r w:rsidR="00411497">
        <w:t xml:space="preserve"> ადამიანი</w:t>
      </w:r>
      <w:r w:rsidR="00F45F99">
        <w:t>.</w:t>
      </w:r>
      <w:r w:rsidR="004C34CD">
        <w:t xml:space="preserve"> </w:t>
      </w:r>
    </w:p>
    <w:p w14:paraId="5AA3A5BD" w14:textId="738B2C75" w:rsidR="004C0BB7" w:rsidRDefault="004C34CD" w:rsidP="00891374">
      <w:r>
        <w:t>ევროკავშირში 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აცრილია </w:t>
      </w:r>
      <w:bookmarkStart w:id="3" w:name="_Hlk65394696"/>
      <w:r w:rsidR="005C258B">
        <w:t>3</w:t>
      </w:r>
      <w:r w:rsidR="00A27BD9">
        <w:t>5 637 738</w:t>
      </w:r>
      <w:r w:rsidR="00FD6A5D">
        <w:t xml:space="preserve"> </w:t>
      </w:r>
      <w:r>
        <w:t>ადამიანი</w:t>
      </w:r>
      <w:r w:rsidR="0024127A">
        <w:t xml:space="preserve"> (</w:t>
      </w:r>
      <w:r w:rsidR="00A27BD9">
        <w:t>8.02</w:t>
      </w:r>
      <w:r w:rsidR="0024127A">
        <w:t>%)</w:t>
      </w:r>
      <w:r w:rsidR="004F610C">
        <w:t xml:space="preserve">, საიდანაც ორი დოზით აცრილია </w:t>
      </w:r>
      <w:r w:rsidR="00F87A3E">
        <w:t>2</w:t>
      </w:r>
      <w:r w:rsidR="004D5C83">
        <w:rPr>
          <w:lang w:val="en-US"/>
        </w:rPr>
        <w:t>.</w:t>
      </w:r>
      <w:r w:rsidR="00A27BD9">
        <w:t>6</w:t>
      </w:r>
      <w:r w:rsidR="004F610C">
        <w:t>%</w:t>
      </w:r>
      <w:bookmarkEnd w:id="3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582"/>
        <w:gridCol w:w="3230"/>
        <w:gridCol w:w="848"/>
        <w:gridCol w:w="2970"/>
      </w:tblGrid>
      <w:tr w:rsidR="00A27BD9" w:rsidRPr="00423AE1" w14:paraId="2D06C640" w14:textId="77777777" w:rsidTr="00E34C40">
        <w:trPr>
          <w:trHeight w:val="76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vAlign w:val="center"/>
            <w:hideMark/>
          </w:tcPr>
          <w:p w14:paraId="7CB0412D" w14:textId="77777777" w:rsidR="00A27BD9" w:rsidRPr="00423AE1" w:rsidRDefault="00A27BD9" w:rsidP="00A2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8"/>
                <w:szCs w:val="28"/>
                <w:lang w:val="en-US"/>
              </w:rPr>
            </w:pPr>
            <w:proofErr w:type="spellStart"/>
            <w:r w:rsidRPr="00F976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ქვეყანა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vAlign w:val="bottom"/>
            <w:hideMark/>
          </w:tcPr>
          <w:p w14:paraId="10C16119" w14:textId="77777777" w:rsidR="00A27BD9" w:rsidRPr="00423AE1" w:rsidRDefault="00A27BD9" w:rsidP="00A2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აცრილი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მოსახალეობა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vAlign w:val="bottom"/>
            <w:hideMark/>
          </w:tcPr>
          <w:p w14:paraId="65B6B866" w14:textId="77777777" w:rsidR="00A27BD9" w:rsidRPr="00423AE1" w:rsidRDefault="00A27BD9" w:rsidP="00A2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მოცვა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vAlign w:val="bottom"/>
            <w:hideMark/>
          </w:tcPr>
          <w:p w14:paraId="2DCD035D" w14:textId="77777777" w:rsidR="00A27BD9" w:rsidRPr="00423AE1" w:rsidRDefault="00A27BD9" w:rsidP="00A2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სრულად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აცრილი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</w:tc>
      </w:tr>
      <w:tr w:rsidR="00A27BD9" w:rsidRPr="00423AE1" w14:paraId="4819D3F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7F05951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ავსტრია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A9F70FC" w14:textId="42D002A0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95 516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1BE576D" w14:textId="6C7448F2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E2CCF4E" w14:textId="00AF58D3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27BD9" w:rsidRPr="00423AE1" w14:paraId="05C64E77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1E511C8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აზერბაიჯანი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BE7ECD6" w14:textId="399A02CF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313 582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B75BD03" w14:textId="4675809B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EE0EBE4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0765D7CB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3BCED65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ალბანეთი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1EBFE14" w14:textId="7FA56539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5 027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57F1C8E" w14:textId="4B4AEFAD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87764E1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2062183D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914483B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ანდორა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A23F632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0A8B22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2C87CA2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0D54D74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E489747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ბელარუსი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1E064B1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944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883DBB4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590568B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12C157C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AD3B54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ბელგია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6DD5F1E" w14:textId="4FBB3E4B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45 113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597004E" w14:textId="7FD25F20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CF3744C" w14:textId="2270E8A0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27BD9" w:rsidRPr="00423AE1" w14:paraId="3195E98A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E517B2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ბოსნია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ჰერცოგოვინა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6ED9B46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?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46A90B0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?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73D9BFD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?</w:t>
            </w:r>
          </w:p>
        </w:tc>
      </w:tr>
      <w:tr w:rsidR="00A27BD9" w:rsidRPr="00423AE1" w14:paraId="6DDC924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F2D288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ბულგარეთი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27985C2" w14:textId="6D6D0E87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43 772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B0D49D4" w14:textId="751FA43C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7D6287F" w14:textId="6184D45F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27BD9" w:rsidRPr="00423AE1" w14:paraId="22FF6CB0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1E4E7F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გერმანია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5A4BD4A" w14:textId="582FB588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6 604 578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BFE7456" w14:textId="10ED76F3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.95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BC1C06A" w14:textId="6D06D3F4" w:rsidR="00A27BD9" w:rsidRPr="00A27BD9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27BD9" w:rsidRPr="00423AE1" w14:paraId="6537AFD2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3BF96F09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დანია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B25709A" w14:textId="62115A1A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E34C40">
              <w:rPr>
                <w:rFonts w:ascii="Calibri" w:eastAsia="Times New Roman" w:hAnsi="Calibri" w:cs="Calibri"/>
                <w:color w:val="000000"/>
              </w:rPr>
              <w:t>53 450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65DB6F7" w14:textId="45ACDE92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E34C40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440CE51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3.2</w:t>
            </w:r>
          </w:p>
        </w:tc>
      </w:tr>
      <w:tr w:rsidR="00A27BD9" w:rsidRPr="00423AE1" w14:paraId="2876DC37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461068C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ესპანეთი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944FAFB" w14:textId="2D79DB59" w:rsidR="00A27BD9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4 059 320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65D4C06" w14:textId="4DDECB35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  <w:r w:rsidR="00E34C40">
              <w:rPr>
                <w:rFonts w:ascii="Calibri" w:eastAsia="Times New Roman" w:hAnsi="Calibri" w:cs="Calibri"/>
                <w:color w:val="000000"/>
              </w:rPr>
              <w:t>.73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43A37AD" w14:textId="1E4CF838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E34C4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27BD9" w:rsidRPr="00423AE1" w14:paraId="6AD973B6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2EAE0D3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ესტონეთი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7BFFD5B" w14:textId="5974276F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E34C40">
              <w:rPr>
                <w:rFonts w:ascii="Calibri" w:eastAsia="Times New Roman" w:hAnsi="Calibri" w:cs="Calibri"/>
                <w:color w:val="000000"/>
              </w:rPr>
              <w:t>21 544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B676BE4" w14:textId="439D61C3" w:rsidR="00A27BD9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9A2EFE2" w14:textId="5D2FE48E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E34C4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27BD9" w:rsidRPr="00423AE1" w14:paraId="7FC38D1E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3338F951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lastRenderedPageBreak/>
              <w:t>თურქეთი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BC156FE" w14:textId="1BF9B91B" w:rsidR="00A27BD9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9 432 768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3331B73" w14:textId="1CE32D2C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E34C40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AB0E810" w14:textId="4BC26789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E34C40">
              <w:rPr>
                <w:rFonts w:ascii="Calibri" w:eastAsia="Times New Roman" w:hAnsi="Calibri" w:cs="Calibri"/>
                <w:color w:val="000000"/>
              </w:rPr>
              <w:t>.6</w:t>
            </w:r>
          </w:p>
        </w:tc>
      </w:tr>
      <w:tr w:rsidR="00A27BD9" w:rsidRPr="00423AE1" w14:paraId="7FFC52B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C09B9E7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ინგლისი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C2D8C16" w14:textId="7788E990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E34C40">
              <w:rPr>
                <w:rFonts w:ascii="Calibri" w:eastAsia="Times New Roman" w:hAnsi="Calibri" w:cs="Calibri"/>
                <w:color w:val="000000"/>
              </w:rPr>
              <w:t>1 599 027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A641889" w14:textId="602DFB92" w:rsidR="00A27BD9" w:rsidRPr="00E34C40" w:rsidRDefault="00E34C40" w:rsidP="00E3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D0E1303" w14:textId="3FCB1E79" w:rsidR="00A27BD9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</w:tr>
      <w:tr w:rsidR="00A27BD9" w:rsidRPr="00423AE1" w14:paraId="09388B18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DFE6DFC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ირლანდია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4CE09E0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409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F5DD275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8.27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D5FA48C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2.8</w:t>
            </w:r>
          </w:p>
        </w:tc>
      </w:tr>
      <w:tr w:rsidR="00A27BD9" w:rsidRPr="00423AE1" w14:paraId="4CBDFB83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93CD17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ისლანდია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D3D83FA" w14:textId="2A5E88B4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  <w:r w:rsidR="00E34C40">
              <w:rPr>
                <w:rFonts w:ascii="Calibri" w:eastAsia="Times New Roman" w:hAnsi="Calibri" w:cs="Calibri"/>
                <w:color w:val="000000"/>
                <w:lang w:val="en-US"/>
              </w:rPr>
              <w:t>6 317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BFCBFF3" w14:textId="581A1477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10.17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A5C949B" w14:textId="5343D120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A27BD9" w:rsidRPr="00423AE1" w14:paraId="66D92B6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F66BE83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ისრაელი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3A76CFA" w14:textId="6298EE5A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8 368 983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90C6DF1" w14:textId="65457CF6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92.46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CE27618" w14:textId="5A489AFC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9.1</w:t>
            </w:r>
          </w:p>
        </w:tc>
      </w:tr>
      <w:tr w:rsidR="00A27BD9" w:rsidRPr="00423AE1" w14:paraId="75C4EBCB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34628FC5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იტალია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4323662" w14:textId="03F19B83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8E27D4">
              <w:rPr>
                <w:rFonts w:ascii="Calibri" w:eastAsia="Times New Roman" w:hAnsi="Calibri" w:cs="Calibri"/>
                <w:color w:val="000000"/>
              </w:rPr>
              <w:t> 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718 726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55D21D2" w14:textId="38944BDB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0E7556B" w14:textId="1D05F232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A27BD9" w:rsidRPr="00423AE1" w14:paraId="7E369E7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E96C9C0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კვიპროსი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9C6A019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3F88E49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17770FF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2.6</w:t>
            </w:r>
          </w:p>
        </w:tc>
      </w:tr>
      <w:tr w:rsidR="00A27BD9" w:rsidRPr="00423AE1" w14:paraId="52F7166D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069D4B6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ლატვია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711F44D" w14:textId="5CE282CB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6 244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6D611EE" w14:textId="2926C75B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D7A96C7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0.9</w:t>
            </w:r>
          </w:p>
        </w:tc>
      </w:tr>
      <w:tr w:rsidR="00A27BD9" w:rsidRPr="00423AE1" w14:paraId="6FB9060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C242E09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ლიეტუვა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306F253" w14:textId="72D70DE4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54 046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C8B3915" w14:textId="45120193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419E028" w14:textId="6A2FB4DF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A27BD9" w:rsidRPr="00423AE1" w14:paraId="3AF5E84F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828BD18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ლიხტენშტეინი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DEAFC17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AD5C4EF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5.78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5F10912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7A7CD88B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6DDE06A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ლუქსემბურგი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8F70174" w14:textId="3FE547ED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40 460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6FF6270" w14:textId="2835E36E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6.59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E700502" w14:textId="468C10EA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A27BD9" w:rsidRPr="00423AE1" w14:paraId="090F2EB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28C3CE4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მალტა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908BBFC" w14:textId="5022F662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84 129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F20A57C" w14:textId="365AC14B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7.03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2797877" w14:textId="74D393A4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A27BD9" w:rsidRPr="00423AE1" w14:paraId="20FE798A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680193F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მოლდოვა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B554C8A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265F960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D1CB2A7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A27BD9" w:rsidRPr="00423AE1" w14:paraId="25BEAA12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D895C30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მონაკო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9A296B5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D7C8A3F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DD093B0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2CB359B6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E8F33EE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მონტენეგრო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6C7FE8F" w14:textId="612E286E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17DB0A1" w14:textId="0C08272D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0.2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DEDF3EA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2A0B2C47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7855EC6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ნიდერლანდები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291D2F5" w14:textId="569A105B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1 011 426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F56D2C0" w14:textId="74F6AB51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0DFF01D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6D3DEC97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9AE6BE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ნორვეგია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36F10B2" w14:textId="3053E309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510991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6E0313A" w14:textId="3B1F30C7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9 54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1CD54DF" w14:textId="546A03AC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3.1</w:t>
            </w:r>
          </w:p>
        </w:tc>
      </w:tr>
      <w:tr w:rsidR="00A27BD9" w:rsidRPr="00423AE1" w14:paraId="1558634B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BAA472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პოლონეთი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E797FF5" w14:textId="5D85C5B2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  <w:r w:rsidR="008E27D4">
              <w:rPr>
                <w:rFonts w:ascii="Calibri" w:eastAsia="Times New Roman" w:hAnsi="Calibri" w:cs="Calibri"/>
                <w:color w:val="000000"/>
              </w:rPr>
              <w:t> 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465 576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62EC886" w14:textId="1D7FFCDD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BCF9372" w14:textId="75D2CFB4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A27BD9" w:rsidRPr="00423AE1" w14:paraId="5CCBDC45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AE5F6DB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პორტუგალია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33C1BC1" w14:textId="065C1623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900 831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401A00B" w14:textId="0062370D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D65932D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2.6</w:t>
            </w:r>
          </w:p>
        </w:tc>
      </w:tr>
      <w:tr w:rsidR="00A27BD9" w:rsidRPr="00423AE1" w14:paraId="6E18AA0A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3CE2261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რუმინეთი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6099883" w14:textId="1DA5F7C2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8E27D4">
              <w:rPr>
                <w:rFonts w:ascii="Calibri" w:eastAsia="Times New Roman" w:hAnsi="Calibri" w:cs="Calibri"/>
                <w:color w:val="000000"/>
              </w:rPr>
              <w:t> 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641 874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92CB90D" w14:textId="6B279C39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8 46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3C3EAE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3.2</w:t>
            </w:r>
          </w:p>
        </w:tc>
      </w:tr>
      <w:tr w:rsidR="00A27BD9" w:rsidRPr="00423AE1" w14:paraId="0BDDD0DE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3402BF5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რუსეთი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FE32641" w14:textId="33300FC9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5 489 342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83F53B2" w14:textId="393C0D30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07AA376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37EF3526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7A296CF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საბერძნეთი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3806BF4" w14:textId="558A71EA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991 409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0BA2092" w14:textId="5221844A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F804BF8" w14:textId="2CFF7367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3.2</w:t>
            </w:r>
          </w:p>
        </w:tc>
      </w:tr>
      <w:tr w:rsidR="00A27BD9" w:rsidRPr="00423AE1" w14:paraId="6D3CC35F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ED6B44A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სან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მარინო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DCF71A5" w14:textId="1D9B138D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A479D08" w14:textId="68A3864E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86030CC" w14:textId="756CB544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</w:tr>
      <w:tr w:rsidR="00A27BD9" w:rsidRPr="00423AE1" w14:paraId="25F6F02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F1FF55E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საფრანგეთი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814F9AF" w14:textId="44D11311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E34C40">
              <w:rPr>
                <w:rFonts w:ascii="Calibri" w:eastAsia="Times New Roman" w:hAnsi="Calibri" w:cs="Calibri"/>
                <w:color w:val="000000"/>
              </w:rPr>
              <w:t> </w:t>
            </w:r>
            <w:r w:rsidR="00E34C40">
              <w:rPr>
                <w:rFonts w:ascii="Calibri" w:eastAsia="Times New Roman" w:hAnsi="Calibri" w:cs="Calibri"/>
                <w:color w:val="000000"/>
                <w:lang w:val="en-US"/>
              </w:rPr>
              <w:t>839 444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7BB5C94" w14:textId="11EC1084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  <w:r w:rsidR="00E34C4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9DB87D5" w14:textId="13238353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E34C4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A27BD9" w:rsidRPr="00423AE1" w14:paraId="7BFF2EFD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D674EE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საქართველო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F4B9644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1D08313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741379C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A27BD9" w:rsidRPr="00423AE1" w14:paraId="1E8246A0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7BA9F84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სერბეთი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D864B52" w14:textId="16845B54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8E27D4">
              <w:rPr>
                <w:rFonts w:ascii="Calibri" w:eastAsia="Times New Roman" w:hAnsi="Calibri" w:cs="Calibri"/>
                <w:color w:val="000000"/>
              </w:rPr>
              <w:t> 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530 671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4043D64" w14:textId="7FC7F820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1.98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1B3EC6F" w14:textId="0FDCB06D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A27BD9" w:rsidRPr="00423AE1" w14:paraId="28CD3CD5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6DC3BF9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სლოვაკეთი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9F57CC0" w14:textId="3FC016A1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75 567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9BF9B8D" w14:textId="2BDC5FC8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.73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6BF6D33" w14:textId="54C22050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A27BD9" w:rsidRPr="00423AE1" w14:paraId="6EA6037C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4A3823B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სლოვენია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FC7FCE1" w14:textId="57FDF00D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6 934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63D2FB5" w14:textId="1628DE53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45C2937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2.5</w:t>
            </w:r>
          </w:p>
        </w:tc>
      </w:tr>
      <w:tr w:rsidR="00A27BD9" w:rsidRPr="00423AE1" w14:paraId="788D382F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1E0AA73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სომხეთი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2F7E81A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B8FFDB2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E045DBF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A27BD9" w:rsidRPr="00423AE1" w14:paraId="0CA9D73E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CB14E1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ტაჯიკეთი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90CF111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088DB91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D5BFA9B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A27BD9" w:rsidRPr="00423AE1" w14:paraId="2802CBAD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6AB30B36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უზბეკეთი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1C1FE77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A4C11F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35B135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A27BD9" w:rsidRPr="00423AE1" w14:paraId="2683525B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0E4C6D1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უკრაინა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502AD08" w14:textId="2D6BCADB" w:rsidR="00A27BD9" w:rsidRPr="00423AE1" w:rsidRDefault="00E07AD5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6 888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2B4C7EC" w14:textId="336ECF88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0.0</w:t>
            </w:r>
            <w:r w:rsidR="00E07AD5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C669588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59CE1FC1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6FB3FA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უნგრეთი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FC4E3C5" w14:textId="524A0F5F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1 011 405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F62E610" w14:textId="77472FC7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10.35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020EA6D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2.6</w:t>
            </w:r>
          </w:p>
        </w:tc>
      </w:tr>
      <w:tr w:rsidR="00A27BD9" w:rsidRPr="00423AE1" w14:paraId="39684BC6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53A505E1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ფინეთი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CDF6F9D" w14:textId="32DD3E94" w:rsidR="00A27BD9" w:rsidRPr="00423AE1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487 619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2C9C2F0" w14:textId="7267EF09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8.</w:t>
            </w:r>
            <w:r w:rsidR="00E34C4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148300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1.5</w:t>
            </w:r>
          </w:p>
        </w:tc>
      </w:tr>
      <w:tr w:rsidR="00A27BD9" w:rsidRPr="00423AE1" w14:paraId="324CD453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712FB7BA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ყაზახეთი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EA861BE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801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CBA8393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0.09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0A56782C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_</w:t>
            </w:r>
          </w:p>
        </w:tc>
      </w:tr>
      <w:tr w:rsidR="00A27BD9" w:rsidRPr="00423AE1" w14:paraId="55186625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87A51AA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ყირგიზეთი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79BB49C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B6C93F2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F748B80" w14:textId="77777777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27BD9" w:rsidRPr="00423AE1" w14:paraId="73A15CFE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24137F9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შვედეთი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B11CD9F" w14:textId="165D1A83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817 706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50A0E7A" w14:textId="4F8B916A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7.92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DDA1D43" w14:textId="67BAD9FE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8E27D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A27BD9" w:rsidRPr="00423AE1" w14:paraId="498FFD34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10796B52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lastRenderedPageBreak/>
              <w:t>შვეიცარია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D16E3C3" w14:textId="1946E17B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807 799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122C6172" w14:textId="7687A784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BA30F55" w14:textId="68308FEA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E34C40" w:rsidRPr="00423AE1" w14:paraId="59181618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</w:tcPr>
          <w:p w14:paraId="70C6D0F0" w14:textId="1FA0B524" w:rsidR="00E34C40" w:rsidRPr="00E34C40" w:rsidRDefault="00E34C40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</w:rPr>
              <w:t>ჩინეთი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</w:tcPr>
          <w:p w14:paraId="164A6839" w14:textId="169487C6" w:rsidR="00E34C40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52 500 000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</w:tcPr>
          <w:p w14:paraId="3F8D0EE0" w14:textId="378A699B" w:rsidR="00E34C40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</w:tcPr>
          <w:p w14:paraId="21807BBF" w14:textId="54022AFC" w:rsidR="00E34C40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27BD9" w:rsidRPr="00423AE1" w14:paraId="57326EF9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33F19F1D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ჩეხეთი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771F29A" w14:textId="1535AFAD" w:rsidR="00A27BD9" w:rsidRPr="00E34C40" w:rsidRDefault="00E34C40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702 023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4974DA55" w14:textId="3E88FF5E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6.</w:t>
            </w:r>
            <w:r w:rsidR="00E34C4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22E8C74C" w14:textId="742E8FB9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E34C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27BD9" w:rsidRPr="00423AE1" w14:paraId="7CB1DF5A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4D8216C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ჩრდ</w:t>
            </w:r>
            <w:proofErr w:type="spellEnd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მაკედონია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3286F358" w14:textId="509ECF60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1 510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E3238E7" w14:textId="25D0868A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7BDF020" w14:textId="09CD1447" w:rsidR="00A27BD9" w:rsidRPr="00423AE1" w:rsidRDefault="008E27D4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</w:tr>
      <w:tr w:rsidR="00A27BD9" w:rsidRPr="00423AE1" w14:paraId="0FFCD80C" w14:textId="77777777" w:rsidTr="00E34C40">
        <w:trPr>
          <w:trHeight w:val="375"/>
        </w:trPr>
        <w:tc>
          <w:tcPr>
            <w:tcW w:w="2582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bottom"/>
            <w:hideMark/>
          </w:tcPr>
          <w:p w14:paraId="4ED276D5" w14:textId="77777777" w:rsidR="00A27BD9" w:rsidRPr="00423AE1" w:rsidRDefault="00A27BD9" w:rsidP="00A2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</w:pPr>
            <w:proofErr w:type="spellStart"/>
            <w:r w:rsidRPr="00423AE1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val="en-US"/>
              </w:rPr>
              <w:t>ხორვატია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7B259C06" w14:textId="30612D6F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E34C40">
              <w:rPr>
                <w:rFonts w:ascii="Calibri" w:eastAsia="Times New Roman" w:hAnsi="Calibri" w:cs="Calibri"/>
                <w:color w:val="000000"/>
              </w:rPr>
              <w:t>13 068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6CDF796E" w14:textId="20CDD3EB" w:rsidR="00A27BD9" w:rsidRPr="00423AE1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5.</w:t>
            </w:r>
            <w:r w:rsidR="00E34C40">
              <w:rPr>
                <w:rFonts w:ascii="Calibri" w:eastAsia="Times New Roman" w:hAnsi="Calibri" w:cs="Calibri"/>
                <w:color w:val="000000"/>
              </w:rPr>
              <w:t>2</w:t>
            </w: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DDEBF7"/>
            <w:noWrap/>
            <w:vAlign w:val="bottom"/>
            <w:hideMark/>
          </w:tcPr>
          <w:p w14:paraId="5442567D" w14:textId="3D22F2F3" w:rsidR="00A27BD9" w:rsidRPr="00E34C40" w:rsidRDefault="00A27BD9" w:rsidP="00A27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AE1">
              <w:rPr>
                <w:rFonts w:ascii="Calibri" w:eastAsia="Times New Roman" w:hAnsi="Calibri" w:cs="Calibri"/>
                <w:color w:val="000000"/>
                <w:lang w:val="en-US"/>
              </w:rPr>
              <w:t>1.</w:t>
            </w:r>
            <w:r w:rsidR="00E34C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14:paraId="4724568D" w14:textId="16FFDF44" w:rsidR="002A349F" w:rsidRPr="002A349F" w:rsidRDefault="002A349F" w:rsidP="002A349F"/>
    <w:p w14:paraId="7124EAC6" w14:textId="1BDD4184" w:rsidR="002A349F" w:rsidRPr="002A349F" w:rsidRDefault="00007FDE" w:rsidP="002A349F">
      <w:r w:rsidRPr="00007FDE">
        <w:t>Pfizer</w:t>
      </w:r>
      <w:r w:rsidRPr="00007FDE">
        <w:t>-</w:t>
      </w:r>
      <w:r>
        <w:t xml:space="preserve">ისა და </w:t>
      </w:r>
      <w:r w:rsidRPr="00007FDE">
        <w:t>AstraZeneca</w:t>
      </w:r>
      <w:r>
        <w:t xml:space="preserve">-ს ერთი დოზაც საგრძნობლად ამცირებს ჰოსპიტალიზაციას 80 და მეტი ასაკის აცრილებში - </w:t>
      </w:r>
      <w:r w:rsidRPr="00007FDE">
        <w:t>Pfizer-</w:t>
      </w:r>
      <w:r>
        <w:t>ის</w:t>
      </w:r>
      <w:r>
        <w:t xml:space="preserve"> მიერ დაფინანსებული მიდევნების პროექტის შუალედური ანგარიშის თანახმად</w:t>
      </w:r>
      <w:r>
        <w:rPr>
          <w:rStyle w:val="FootnoteReference"/>
        </w:rPr>
        <w:footnoteReference w:id="5"/>
      </w:r>
      <w:r>
        <w:t xml:space="preserve">. </w:t>
      </w:r>
      <w:r w:rsidR="00580124">
        <w:t xml:space="preserve">თუმცა, </w:t>
      </w:r>
      <w:r w:rsidR="00580124" w:rsidRPr="00007FDE">
        <w:t>Pfizer</w:t>
      </w:r>
      <w:r w:rsidR="00580124">
        <w:t xml:space="preserve"> ნაკლებად ეფექტურია ჭარბ-წონიანებში</w:t>
      </w:r>
      <w:r w:rsidR="00580124">
        <w:rPr>
          <w:rStyle w:val="FootnoteReference"/>
        </w:rPr>
        <w:footnoteReference w:id="6"/>
      </w:r>
      <w:r w:rsidR="00580124">
        <w:t>.</w:t>
      </w:r>
    </w:p>
    <w:p w14:paraId="7900E0E4" w14:textId="08E81F24" w:rsidR="002A349F" w:rsidRPr="00007FDE" w:rsidRDefault="00007FDE" w:rsidP="002A349F">
      <w:r>
        <w:t>გარკვეული წინააღმდეგობა ხვდება</w:t>
      </w:r>
      <w:r w:rsidRPr="00007FDE">
        <w:t xml:space="preserve"> J&amp;J</w:t>
      </w:r>
      <w:r>
        <w:t>-ის ვაქცინას აშშ-ს გარკვეულ რელიგიურ ჯგუფებში, რადგან მისი შექმნისას გამოყენებულია აბორტული უჯრედები</w:t>
      </w:r>
      <w:r>
        <w:rPr>
          <w:rStyle w:val="FootnoteReference"/>
        </w:rPr>
        <w:footnoteReference w:id="7"/>
      </w:r>
      <w:r w:rsidRPr="00007FDE">
        <w:t>.</w:t>
      </w:r>
    </w:p>
    <w:p w14:paraId="3591B100" w14:textId="13BA51B9" w:rsidR="002A349F" w:rsidRDefault="00007FDE" w:rsidP="002A349F">
      <w:r>
        <w:t xml:space="preserve">თურქეთში გამოქვეყნებული ბოლო კვლევის შესაბამისად, </w:t>
      </w:r>
      <w:r w:rsidRPr="00007FDE">
        <w:t>Sinovac</w:t>
      </w:r>
      <w:r>
        <w:t>-ის ეფექტურობა შედარებით დაბალია და 83.5%-ს შეადგენს</w:t>
      </w:r>
      <w:r>
        <w:rPr>
          <w:rStyle w:val="FootnoteReference"/>
        </w:rPr>
        <w:footnoteReference w:id="8"/>
      </w:r>
      <w:r>
        <w:t>.</w:t>
      </w:r>
    </w:p>
    <w:p w14:paraId="6A5DA818" w14:textId="193A4F4C" w:rsidR="00580124" w:rsidRDefault="00580124" w:rsidP="002A349F">
      <w:r w:rsidRPr="00580124">
        <w:t>Bharat Biotech’</w:t>
      </w:r>
      <w:r>
        <w:t xml:space="preserve">-ის ვაქცინამ </w:t>
      </w:r>
      <w:r>
        <w:rPr>
          <w:lang w:val="en-US"/>
        </w:rPr>
        <w:t>COVAXIN</w:t>
      </w:r>
      <w:r>
        <w:t xml:space="preserve">-მა უჩვენა </w:t>
      </w:r>
      <w:r w:rsidRPr="00580124">
        <w:t>81%</w:t>
      </w:r>
      <w:r>
        <w:t xml:space="preserve">-იანი ეფექტურობა, გვიანი </w:t>
      </w:r>
      <w:r>
        <w:rPr>
          <w:lang w:val="en-US"/>
        </w:rPr>
        <w:t xml:space="preserve">III </w:t>
      </w:r>
      <w:r>
        <w:t>ფაზის შუალედური შეფასების შესაბამისად</w:t>
      </w:r>
      <w:r>
        <w:rPr>
          <w:rStyle w:val="FootnoteReference"/>
        </w:rPr>
        <w:footnoteReference w:id="9"/>
      </w:r>
      <w:r>
        <w:t xml:space="preserve">. </w:t>
      </w:r>
      <w:r w:rsidRPr="00580124">
        <w:t xml:space="preserve"> </w:t>
      </w:r>
    </w:p>
    <w:p w14:paraId="401D35B4" w14:textId="543E0549" w:rsidR="002A349F" w:rsidRDefault="00007FDE" w:rsidP="002A349F">
      <w:r>
        <w:t>ევროკავშირმა განაცხადა, რომ დროში უფრო გაჭიანურებული პირობითი ნებართვის ნაცვლად (</w:t>
      </w:r>
      <w:r w:rsidRPr="00007FDE">
        <w:t>conditional marketing authorisation</w:t>
      </w:r>
      <w:r>
        <w:t>) გამოყენებული იქნება გადაუდებელი მოხმარებისთვის გამოყენება (</w:t>
      </w:r>
      <w:r w:rsidRPr="00007FDE">
        <w:t>emergency approvals</w:t>
      </w:r>
      <w:r>
        <w:t>), რაც პროცესის უფრო სწრაფად წარმართვას ნიშნავს</w:t>
      </w:r>
      <w:r>
        <w:rPr>
          <w:rStyle w:val="FootnoteReference"/>
        </w:rPr>
        <w:footnoteReference w:id="10"/>
      </w:r>
      <w:r>
        <w:t xml:space="preserve">. </w:t>
      </w:r>
    </w:p>
    <w:p w14:paraId="450E9B69" w14:textId="54635E4F" w:rsidR="002A349F" w:rsidRDefault="00007FDE" w:rsidP="002A349F">
      <w:r w:rsidRPr="00007FDE">
        <w:t>The Economist</w:t>
      </w:r>
      <w:r>
        <w:t xml:space="preserve">-ის გამოცემა განიხილავს ვაქცინის ხელმისაწვდომობას და აღნიშნავს, რომ სამხრეთ ამერიკაში, აფრიკასა და აზიაში ვერ იქნება მიღწეული საჭირო მოცვა 2023 წლამდე. ასევე ეჭვის ქვეშ ატენებენ </w:t>
      </w:r>
      <w:r w:rsidRPr="00580124">
        <w:t>COVAX</w:t>
      </w:r>
      <w:r>
        <w:t xml:space="preserve">-ის მიერ </w:t>
      </w:r>
      <w:r w:rsidR="00580124">
        <w:t>1.8 მილიარდი ვაქცინის მიწოდებას 2021 წლის მანძლზე, მიწოდების მკვეთრი ჩამორჩენის გამო</w:t>
      </w:r>
      <w:r w:rsidR="00580124">
        <w:rPr>
          <w:rStyle w:val="FootnoteReference"/>
        </w:rPr>
        <w:footnoteReference w:id="11"/>
      </w:r>
      <w:r w:rsidR="00580124">
        <w:t>.</w:t>
      </w:r>
      <w:r w:rsidR="002A349F" w:rsidRPr="002A349F">
        <w:t xml:space="preserve"> </w:t>
      </w:r>
    </w:p>
    <w:p w14:paraId="18D6E0C1" w14:textId="1F7077D8" w:rsidR="0031489F" w:rsidRPr="00580124" w:rsidRDefault="00580124" w:rsidP="0031489F">
      <w:r w:rsidRPr="00580124">
        <w:t>ჯანმო</w:t>
      </w:r>
      <w:r>
        <w:t xml:space="preserve"> მწარმოებლებს სთავაზობს, რომ მოხდეს ტექნოლოგიის გაზიარება, მათ შორის ე.წ. </w:t>
      </w:r>
      <w:r w:rsidRPr="00580124">
        <w:t>“patent pool”</w:t>
      </w:r>
      <w:r>
        <w:t>-ის გზით, რაც მანამდე გამოყენებული და პოპულარული პლატფორმა იყო აივ, ტუბერკულოზის და ჰეპატიტის სამკურნალოდ</w:t>
      </w:r>
      <w:r>
        <w:rPr>
          <w:rStyle w:val="FootnoteReference"/>
        </w:rPr>
        <w:footnoteReference w:id="12"/>
      </w:r>
      <w:r>
        <w:t xml:space="preserve">. </w:t>
      </w:r>
    </w:p>
    <w:p w14:paraId="7693C895" w14:textId="003D340F" w:rsidR="001477FA" w:rsidRDefault="001477FA" w:rsidP="001477FA">
      <w:r w:rsidRPr="00580124">
        <w:t> </w:t>
      </w:r>
      <w:r w:rsidRPr="00580124">
        <w:br/>
      </w:r>
    </w:p>
    <w:p w14:paraId="4939B932" w14:textId="46828523" w:rsidR="001477FA" w:rsidRDefault="001477FA" w:rsidP="001477FA"/>
    <w:p w14:paraId="183A5E9E" w14:textId="124C9124" w:rsidR="001477FA" w:rsidRDefault="001477FA" w:rsidP="001477FA"/>
    <w:sectPr w:rsidR="001477FA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85EBF" w14:textId="77777777" w:rsidR="00C9782F" w:rsidRDefault="00C9782F" w:rsidP="00EB4CC3">
      <w:pPr>
        <w:spacing w:after="0" w:line="240" w:lineRule="auto"/>
      </w:pPr>
      <w:r>
        <w:separator/>
      </w:r>
    </w:p>
  </w:endnote>
  <w:endnote w:type="continuationSeparator" w:id="0">
    <w:p w14:paraId="59B80DD1" w14:textId="77777777" w:rsidR="00C9782F" w:rsidRDefault="00C9782F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05309" w14:textId="77777777" w:rsidR="00C9782F" w:rsidRDefault="00C9782F" w:rsidP="00EB4CC3">
      <w:pPr>
        <w:spacing w:after="0" w:line="240" w:lineRule="auto"/>
      </w:pPr>
      <w:r>
        <w:separator/>
      </w:r>
    </w:p>
  </w:footnote>
  <w:footnote w:type="continuationSeparator" w:id="0">
    <w:p w14:paraId="5165A76F" w14:textId="77777777" w:rsidR="00C9782F" w:rsidRDefault="00C9782F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A27BD9" w:rsidRPr="00FE6EAB" w:rsidRDefault="00A27BD9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FE6EAB">
          <w:rPr>
            <w:rStyle w:val="Hyperlink"/>
            <w:sz w:val="18"/>
            <w:szCs w:val="18"/>
          </w:rPr>
          <w:t>https://www.bloomberg.com/graphics/covi</w:t>
        </w:r>
        <w:r w:rsidRPr="00FE6EAB">
          <w:rPr>
            <w:rStyle w:val="Hyperlink"/>
            <w:sz w:val="18"/>
            <w:szCs w:val="18"/>
          </w:rPr>
          <w:t>d</w:t>
        </w:r>
        <w:r w:rsidRPr="00FE6EAB">
          <w:rPr>
            <w:rStyle w:val="Hyperlink"/>
            <w:sz w:val="18"/>
            <w:szCs w:val="18"/>
          </w:rPr>
          <w:t>-vaccine-tracker-global-distribution/</w:t>
        </w:r>
      </w:hyperlink>
      <w:r w:rsidRPr="00FE6EAB">
        <w:rPr>
          <w:sz w:val="18"/>
          <w:szCs w:val="18"/>
        </w:rPr>
        <w:t xml:space="preserve"> </w:t>
      </w:r>
    </w:p>
  </w:footnote>
  <w:footnote w:id="2">
    <w:p w14:paraId="2FA02DA0" w14:textId="7D06E2F5" w:rsidR="00A27BD9" w:rsidRPr="00FE6EAB" w:rsidRDefault="00A27BD9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2" w:history="1">
        <w:r w:rsidRPr="00FE6EAB">
          <w:rPr>
            <w:rStyle w:val="Hyperlink"/>
            <w:sz w:val="18"/>
            <w:szCs w:val="18"/>
          </w:rPr>
          <w:t>https://edition.cnn.com/inte</w:t>
        </w:r>
        <w:r w:rsidRPr="00FE6EAB">
          <w:rPr>
            <w:rStyle w:val="Hyperlink"/>
            <w:sz w:val="18"/>
            <w:szCs w:val="18"/>
          </w:rPr>
          <w:t>r</w:t>
        </w:r>
        <w:r w:rsidRPr="00FE6EAB">
          <w:rPr>
            <w:rStyle w:val="Hyperlink"/>
            <w:sz w:val="18"/>
            <w:szCs w:val="18"/>
          </w:rPr>
          <w:t>active/2021/health/global-covid-vaccinations/</w:t>
        </w:r>
      </w:hyperlink>
      <w:r w:rsidRPr="00FE6EAB">
        <w:rPr>
          <w:sz w:val="18"/>
          <w:szCs w:val="18"/>
        </w:rPr>
        <w:t xml:space="preserve"> </w:t>
      </w:r>
    </w:p>
  </w:footnote>
  <w:footnote w:id="3">
    <w:p w14:paraId="77CDF092" w14:textId="48FD2C7A" w:rsidR="00A27BD9" w:rsidRPr="00FE6EAB" w:rsidRDefault="00A27BD9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3" w:anchor="uptake-tab" w:history="1">
        <w:r w:rsidRPr="00FE6EAB">
          <w:rPr>
            <w:rStyle w:val="Hyperlink"/>
            <w:sz w:val="18"/>
            <w:szCs w:val="18"/>
          </w:rPr>
          <w:t>https://qap.ecdc.europa.eu/p</w:t>
        </w:r>
        <w:r w:rsidRPr="00FE6EAB">
          <w:rPr>
            <w:rStyle w:val="Hyperlink"/>
            <w:sz w:val="18"/>
            <w:szCs w:val="18"/>
          </w:rPr>
          <w:t>u</w:t>
        </w:r>
        <w:r w:rsidRPr="00FE6EAB">
          <w:rPr>
            <w:rStyle w:val="Hyperlink"/>
            <w:sz w:val="18"/>
            <w:szCs w:val="18"/>
          </w:rPr>
          <w:t>blic/extensions/COVID-19/vaccine-tracker.html#uptake-tab</w:t>
        </w:r>
      </w:hyperlink>
      <w:r w:rsidRPr="00FE6EAB">
        <w:rPr>
          <w:sz w:val="18"/>
          <w:szCs w:val="18"/>
        </w:rPr>
        <w:t xml:space="preserve"> </w:t>
      </w:r>
    </w:p>
  </w:footnote>
  <w:footnote w:id="4">
    <w:p w14:paraId="1CDDDFF8" w14:textId="5B3C63C6" w:rsidR="00A27BD9" w:rsidRDefault="00A27BD9" w:rsidP="00EE49ED"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4" w:history="1">
        <w:r w:rsidRPr="00FE6EAB">
          <w:rPr>
            <w:rStyle w:val="Hyperlink"/>
            <w:sz w:val="18"/>
            <w:szCs w:val="18"/>
          </w:rPr>
          <w:t>https://covid19-vaccine-</w:t>
        </w:r>
        <w:r w:rsidRPr="00FE6EAB">
          <w:rPr>
            <w:rStyle w:val="Hyperlink"/>
            <w:sz w:val="18"/>
            <w:szCs w:val="18"/>
          </w:rPr>
          <w:t>r</w:t>
        </w:r>
        <w:r w:rsidRPr="00FE6EAB">
          <w:rPr>
            <w:rStyle w:val="Hyperlink"/>
            <w:sz w:val="18"/>
            <w:szCs w:val="18"/>
          </w:rPr>
          <w:t>eport.ecdc.europa.eu/</w:t>
        </w:r>
      </w:hyperlink>
      <w:r w:rsidRPr="00FE6EAB">
        <w:rPr>
          <w:sz w:val="18"/>
          <w:szCs w:val="18"/>
        </w:rPr>
        <w:t xml:space="preserve"> </w:t>
      </w:r>
    </w:p>
  </w:footnote>
  <w:footnote w:id="5">
    <w:p w14:paraId="40C42920" w14:textId="61FE8A82" w:rsidR="00007FDE" w:rsidRPr="00580124" w:rsidRDefault="00007FDE" w:rsidP="00580124">
      <w:pPr>
        <w:spacing w:after="0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5" w:history="1">
        <w:r w:rsidRPr="00580124">
          <w:rPr>
            <w:rStyle w:val="Hyperlink"/>
            <w:sz w:val="18"/>
            <w:szCs w:val="18"/>
          </w:rPr>
          <w:t>https://www.reuters.com/article/us-health-coronavirus-vaccines-singledos/interim-uk-study-finds-one-dose-of-covid-shots-reduces-hospitalisation-idUSKBN2AV14I</w:t>
        </w:r>
      </w:hyperlink>
      <w:r w:rsidRPr="00580124">
        <w:rPr>
          <w:sz w:val="18"/>
          <w:szCs w:val="18"/>
        </w:rPr>
        <w:t xml:space="preserve"> </w:t>
      </w:r>
    </w:p>
  </w:footnote>
  <w:footnote w:id="6">
    <w:p w14:paraId="0852D4C6" w14:textId="3F989B8A" w:rsidR="00580124" w:rsidRPr="00580124" w:rsidRDefault="00580124" w:rsidP="00580124">
      <w:pPr>
        <w:spacing w:after="0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6" w:history="1">
        <w:r w:rsidRPr="00580124">
          <w:rPr>
            <w:rStyle w:val="Hyperlink"/>
            <w:sz w:val="18"/>
            <w:szCs w:val="18"/>
          </w:rPr>
          <w:t>https://www.theguardian.com/world/2021/feb/28/pfizer-vaccine-less-effective-obesity-study</w:t>
        </w:r>
      </w:hyperlink>
      <w:r w:rsidRPr="00580124">
        <w:rPr>
          <w:sz w:val="18"/>
          <w:szCs w:val="18"/>
        </w:rPr>
        <w:t xml:space="preserve"> </w:t>
      </w:r>
    </w:p>
  </w:footnote>
  <w:footnote w:id="7">
    <w:p w14:paraId="4BFF6C56" w14:textId="528122CB" w:rsidR="00007FDE" w:rsidRPr="00580124" w:rsidRDefault="00007FDE" w:rsidP="00580124">
      <w:pPr>
        <w:pStyle w:val="FootnoteText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7" w:history="1">
        <w:r w:rsidRPr="00580124">
          <w:rPr>
            <w:rStyle w:val="Hyperlink"/>
            <w:sz w:val="18"/>
            <w:szCs w:val="18"/>
          </w:rPr>
          <w:t>https://www.washingtonpost.com/nation/2021/03/02/archdiocese-new-orleans-johnson-vaccine/</w:t>
        </w:r>
      </w:hyperlink>
    </w:p>
  </w:footnote>
  <w:footnote w:id="8">
    <w:p w14:paraId="6DDDD3C3" w14:textId="70264684" w:rsidR="00007FDE" w:rsidRPr="00580124" w:rsidRDefault="00007FDE" w:rsidP="00580124">
      <w:pPr>
        <w:spacing w:after="0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8" w:history="1">
        <w:r w:rsidRPr="00580124">
          <w:rPr>
            <w:rStyle w:val="Hyperlink"/>
            <w:sz w:val="18"/>
            <w:szCs w:val="18"/>
          </w:rPr>
          <w:t>https://www.reuters.com/article/us-health-coronavirus-turkey-sinovac/turkish-study-revises-down-sinovac-covid-19-vaccine-efficacy-to-83-5-idUSKBN2AV13A</w:t>
        </w:r>
      </w:hyperlink>
      <w:r w:rsidRPr="00580124">
        <w:rPr>
          <w:sz w:val="18"/>
          <w:szCs w:val="18"/>
        </w:rPr>
        <w:t xml:space="preserve"> </w:t>
      </w:r>
    </w:p>
  </w:footnote>
  <w:footnote w:id="9">
    <w:p w14:paraId="6D00C2E4" w14:textId="2CB2BCD6" w:rsidR="00580124" w:rsidRPr="00580124" w:rsidRDefault="00580124" w:rsidP="00580124">
      <w:pPr>
        <w:spacing w:after="0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9" w:history="1">
        <w:r w:rsidRPr="00580124">
          <w:rPr>
            <w:rStyle w:val="Hyperlink"/>
            <w:sz w:val="18"/>
            <w:szCs w:val="18"/>
          </w:rPr>
          <w:t>https://www.reuters.com/article/us-health-coronavirus-vaccine-india-idUSKBN2AV192?taid=603f7dcd13851800019e56c4&amp;utm_campaign=trueanthem&amp;utm_medium=trueanthem&amp;utm_source=twitter</w:t>
        </w:r>
      </w:hyperlink>
      <w:r w:rsidRPr="00580124">
        <w:rPr>
          <w:sz w:val="18"/>
          <w:szCs w:val="18"/>
        </w:rPr>
        <w:t xml:space="preserve"> </w:t>
      </w:r>
    </w:p>
  </w:footnote>
  <w:footnote w:id="10">
    <w:p w14:paraId="6C05E217" w14:textId="6ADCF0C7" w:rsidR="00007FDE" w:rsidRPr="00580124" w:rsidRDefault="00007FDE" w:rsidP="00580124">
      <w:pPr>
        <w:spacing w:after="0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10" w:history="1">
        <w:r w:rsidRPr="00580124">
          <w:rPr>
            <w:rStyle w:val="Hyperlink"/>
            <w:sz w:val="18"/>
            <w:szCs w:val="18"/>
          </w:rPr>
          <w:t>https://www.reuters.com/article/us-health-coronavirus-eu-vaccines/eu-under-pressure-over-vaccine-rollouts-considers-switch-to-emergency-approvals-idUSKBN2AU1PC</w:t>
        </w:r>
      </w:hyperlink>
      <w:r w:rsidRPr="00580124">
        <w:rPr>
          <w:sz w:val="18"/>
          <w:szCs w:val="18"/>
        </w:rPr>
        <w:t xml:space="preserve"> </w:t>
      </w:r>
    </w:p>
  </w:footnote>
  <w:footnote w:id="11">
    <w:p w14:paraId="0325DC63" w14:textId="4284C31D" w:rsidR="00580124" w:rsidRPr="00580124" w:rsidRDefault="00580124" w:rsidP="00580124">
      <w:pPr>
        <w:pStyle w:val="FootnoteText"/>
        <w:rPr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11" w:history="1">
        <w:r w:rsidRPr="00580124">
          <w:rPr>
            <w:rStyle w:val="Hyperlink"/>
            <w:sz w:val="18"/>
            <w:szCs w:val="18"/>
          </w:rPr>
          <w:t>https://www.eiu.com/n/85-poor-countries-will-not-have-access-to-coronavirus-vaccines/</w:t>
        </w:r>
      </w:hyperlink>
    </w:p>
  </w:footnote>
  <w:footnote w:id="12">
    <w:p w14:paraId="1915D63F" w14:textId="77777777" w:rsidR="00580124" w:rsidRPr="00580124" w:rsidRDefault="00580124" w:rsidP="00580124">
      <w:pPr>
        <w:spacing w:after="0"/>
        <w:rPr>
          <w:rStyle w:val="Hyperlink"/>
          <w:sz w:val="18"/>
          <w:szCs w:val="18"/>
        </w:rPr>
      </w:pPr>
      <w:r w:rsidRPr="00580124">
        <w:rPr>
          <w:rStyle w:val="FootnoteReference"/>
          <w:sz w:val="18"/>
          <w:szCs w:val="18"/>
        </w:rPr>
        <w:footnoteRef/>
      </w:r>
      <w:r w:rsidRPr="00580124">
        <w:rPr>
          <w:sz w:val="18"/>
          <w:szCs w:val="18"/>
        </w:rPr>
        <w:t xml:space="preserve"> </w:t>
      </w:r>
      <w:hyperlink r:id="rId12" w:history="1">
        <w:r w:rsidRPr="00580124">
          <w:rPr>
            <w:rStyle w:val="Hyperlink"/>
            <w:sz w:val="18"/>
            <w:szCs w:val="18"/>
          </w:rPr>
          <w:t>https://apnews.com/article/drug-companies-called-share-vaccine-info-22d92afbc3ea9ed519be007f8887bcf6</w:t>
        </w:r>
      </w:hyperlink>
      <w:r w:rsidRPr="00580124">
        <w:rPr>
          <w:sz w:val="18"/>
          <w:szCs w:val="18"/>
        </w:rPr>
        <w:t xml:space="preserve"> </w:t>
      </w:r>
    </w:p>
    <w:p w14:paraId="2472A632" w14:textId="75C8F22B" w:rsidR="00580124" w:rsidRDefault="0058012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7FDE"/>
    <w:rsid w:val="00012043"/>
    <w:rsid w:val="0001430C"/>
    <w:rsid w:val="00022CC5"/>
    <w:rsid w:val="000341AF"/>
    <w:rsid w:val="000439FF"/>
    <w:rsid w:val="00045E62"/>
    <w:rsid w:val="0005065A"/>
    <w:rsid w:val="0006028F"/>
    <w:rsid w:val="00075F94"/>
    <w:rsid w:val="00082C5A"/>
    <w:rsid w:val="0008393F"/>
    <w:rsid w:val="0009557E"/>
    <w:rsid w:val="000B2853"/>
    <w:rsid w:val="000B44EE"/>
    <w:rsid w:val="000B79EA"/>
    <w:rsid w:val="000D1D2F"/>
    <w:rsid w:val="000D6133"/>
    <w:rsid w:val="000E0BCA"/>
    <w:rsid w:val="000F0640"/>
    <w:rsid w:val="000F5FE4"/>
    <w:rsid w:val="000F772C"/>
    <w:rsid w:val="00101FD5"/>
    <w:rsid w:val="0010212B"/>
    <w:rsid w:val="00115CAB"/>
    <w:rsid w:val="00117E45"/>
    <w:rsid w:val="00121646"/>
    <w:rsid w:val="001332C4"/>
    <w:rsid w:val="001477FA"/>
    <w:rsid w:val="00161CA6"/>
    <w:rsid w:val="0016585B"/>
    <w:rsid w:val="001717B7"/>
    <w:rsid w:val="00183E69"/>
    <w:rsid w:val="00193C5E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D671B"/>
    <w:rsid w:val="001E2B71"/>
    <w:rsid w:val="001E2FCC"/>
    <w:rsid w:val="001E46E3"/>
    <w:rsid w:val="001F6436"/>
    <w:rsid w:val="001F72FD"/>
    <w:rsid w:val="00211A78"/>
    <w:rsid w:val="0021371D"/>
    <w:rsid w:val="00223959"/>
    <w:rsid w:val="00225AE2"/>
    <w:rsid w:val="002267AE"/>
    <w:rsid w:val="0024127A"/>
    <w:rsid w:val="00242D3F"/>
    <w:rsid w:val="00253887"/>
    <w:rsid w:val="00255BE9"/>
    <w:rsid w:val="00255DAF"/>
    <w:rsid w:val="00270156"/>
    <w:rsid w:val="0028121C"/>
    <w:rsid w:val="00286058"/>
    <w:rsid w:val="002876EC"/>
    <w:rsid w:val="002916D8"/>
    <w:rsid w:val="00292D4C"/>
    <w:rsid w:val="002A0CD1"/>
    <w:rsid w:val="002A349F"/>
    <w:rsid w:val="002B5904"/>
    <w:rsid w:val="002C2092"/>
    <w:rsid w:val="002C79B3"/>
    <w:rsid w:val="002C7A16"/>
    <w:rsid w:val="002D3A86"/>
    <w:rsid w:val="002D5E9D"/>
    <w:rsid w:val="002E0309"/>
    <w:rsid w:val="002E5F4D"/>
    <w:rsid w:val="002F64BA"/>
    <w:rsid w:val="00304472"/>
    <w:rsid w:val="003070C3"/>
    <w:rsid w:val="0030783A"/>
    <w:rsid w:val="0031489F"/>
    <w:rsid w:val="00323F51"/>
    <w:rsid w:val="00324827"/>
    <w:rsid w:val="003357B5"/>
    <w:rsid w:val="00335C76"/>
    <w:rsid w:val="00337724"/>
    <w:rsid w:val="00344225"/>
    <w:rsid w:val="0035079B"/>
    <w:rsid w:val="003512F0"/>
    <w:rsid w:val="00351EF7"/>
    <w:rsid w:val="0036020A"/>
    <w:rsid w:val="003620B7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3B08"/>
    <w:rsid w:val="003E4D90"/>
    <w:rsid w:val="003F18A5"/>
    <w:rsid w:val="003F4E1B"/>
    <w:rsid w:val="004043E8"/>
    <w:rsid w:val="00411497"/>
    <w:rsid w:val="00413F70"/>
    <w:rsid w:val="004345EE"/>
    <w:rsid w:val="00437ABB"/>
    <w:rsid w:val="00440355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742D"/>
    <w:rsid w:val="004936FE"/>
    <w:rsid w:val="004A23F0"/>
    <w:rsid w:val="004A60AB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5275F6"/>
    <w:rsid w:val="00532B2C"/>
    <w:rsid w:val="00543CE7"/>
    <w:rsid w:val="00546856"/>
    <w:rsid w:val="00555B5E"/>
    <w:rsid w:val="00556502"/>
    <w:rsid w:val="00564151"/>
    <w:rsid w:val="00580124"/>
    <w:rsid w:val="005903BD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BE1"/>
    <w:rsid w:val="00655989"/>
    <w:rsid w:val="006648B4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3D73"/>
    <w:rsid w:val="00785F2B"/>
    <w:rsid w:val="00790C8A"/>
    <w:rsid w:val="007A0FD7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6A60"/>
    <w:rsid w:val="0080039A"/>
    <w:rsid w:val="0080271C"/>
    <w:rsid w:val="00805A66"/>
    <w:rsid w:val="0083004B"/>
    <w:rsid w:val="00835545"/>
    <w:rsid w:val="0085312A"/>
    <w:rsid w:val="0085453B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E1250"/>
    <w:rsid w:val="008E27D4"/>
    <w:rsid w:val="008E2DD0"/>
    <w:rsid w:val="008E3611"/>
    <w:rsid w:val="008E5434"/>
    <w:rsid w:val="008F6B26"/>
    <w:rsid w:val="009105CE"/>
    <w:rsid w:val="009114BE"/>
    <w:rsid w:val="00916B76"/>
    <w:rsid w:val="00921F1A"/>
    <w:rsid w:val="009246DD"/>
    <w:rsid w:val="009258A9"/>
    <w:rsid w:val="0095303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D3135"/>
    <w:rsid w:val="009E6EF6"/>
    <w:rsid w:val="009F2BBD"/>
    <w:rsid w:val="009F7156"/>
    <w:rsid w:val="00A176E7"/>
    <w:rsid w:val="00A27BD9"/>
    <w:rsid w:val="00A33292"/>
    <w:rsid w:val="00A37E18"/>
    <w:rsid w:val="00A4760E"/>
    <w:rsid w:val="00A509F6"/>
    <w:rsid w:val="00A514CF"/>
    <w:rsid w:val="00A51501"/>
    <w:rsid w:val="00A527F1"/>
    <w:rsid w:val="00A613A3"/>
    <w:rsid w:val="00AA125B"/>
    <w:rsid w:val="00AA32BF"/>
    <w:rsid w:val="00AC0041"/>
    <w:rsid w:val="00AD4560"/>
    <w:rsid w:val="00AE2273"/>
    <w:rsid w:val="00AE6089"/>
    <w:rsid w:val="00AF0200"/>
    <w:rsid w:val="00AF7919"/>
    <w:rsid w:val="00B10A7C"/>
    <w:rsid w:val="00B11A71"/>
    <w:rsid w:val="00B12CF2"/>
    <w:rsid w:val="00B17CAE"/>
    <w:rsid w:val="00B22E27"/>
    <w:rsid w:val="00B303DE"/>
    <w:rsid w:val="00B50475"/>
    <w:rsid w:val="00B52E4C"/>
    <w:rsid w:val="00B720AE"/>
    <w:rsid w:val="00B7285F"/>
    <w:rsid w:val="00B8056A"/>
    <w:rsid w:val="00B9418E"/>
    <w:rsid w:val="00BA1470"/>
    <w:rsid w:val="00BB2E7E"/>
    <w:rsid w:val="00BC1CFF"/>
    <w:rsid w:val="00BD3C07"/>
    <w:rsid w:val="00BE3C02"/>
    <w:rsid w:val="00BE7658"/>
    <w:rsid w:val="00BE7C81"/>
    <w:rsid w:val="00BE7DEF"/>
    <w:rsid w:val="00BF4626"/>
    <w:rsid w:val="00BF74D6"/>
    <w:rsid w:val="00C11319"/>
    <w:rsid w:val="00C1386E"/>
    <w:rsid w:val="00C26AAA"/>
    <w:rsid w:val="00C27DC0"/>
    <w:rsid w:val="00C37C5A"/>
    <w:rsid w:val="00C531B0"/>
    <w:rsid w:val="00C77611"/>
    <w:rsid w:val="00C80102"/>
    <w:rsid w:val="00C86AEC"/>
    <w:rsid w:val="00C96FCB"/>
    <w:rsid w:val="00C9782F"/>
    <w:rsid w:val="00CA5D50"/>
    <w:rsid w:val="00CB681E"/>
    <w:rsid w:val="00CD4910"/>
    <w:rsid w:val="00CE2636"/>
    <w:rsid w:val="00CE48E2"/>
    <w:rsid w:val="00CF12BD"/>
    <w:rsid w:val="00CF2B5B"/>
    <w:rsid w:val="00D01145"/>
    <w:rsid w:val="00D02F06"/>
    <w:rsid w:val="00D13779"/>
    <w:rsid w:val="00D20709"/>
    <w:rsid w:val="00D35D1F"/>
    <w:rsid w:val="00D367B2"/>
    <w:rsid w:val="00D401DC"/>
    <w:rsid w:val="00D57B11"/>
    <w:rsid w:val="00D63457"/>
    <w:rsid w:val="00D670EE"/>
    <w:rsid w:val="00D9174B"/>
    <w:rsid w:val="00D94281"/>
    <w:rsid w:val="00DA0984"/>
    <w:rsid w:val="00DA63D8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4C40"/>
    <w:rsid w:val="00E4049E"/>
    <w:rsid w:val="00E40B0B"/>
    <w:rsid w:val="00E45D6B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282F"/>
    <w:rsid w:val="00F12424"/>
    <w:rsid w:val="00F156C4"/>
    <w:rsid w:val="00F2158A"/>
    <w:rsid w:val="00F32D95"/>
    <w:rsid w:val="00F41BBF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A7C06"/>
    <w:rsid w:val="00FB0CD7"/>
    <w:rsid w:val="00FB29BD"/>
    <w:rsid w:val="00FB64AB"/>
    <w:rsid w:val="00FB7080"/>
    <w:rsid w:val="00FC7E19"/>
    <w:rsid w:val="00FD6A5D"/>
    <w:rsid w:val="00FE2E04"/>
    <w:rsid w:val="00FE3611"/>
    <w:rsid w:val="00FE6146"/>
    <w:rsid w:val="00FE6EAB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article/us-health-coronavirus-turkey-sinovac/turkish-study-revises-down-sinovac-covid-19-vaccine-efficacy-to-83-5-idUSKBN2AV13A" TargetMode="External"/><Relationship Id="rId3" Type="http://schemas.openxmlformats.org/officeDocument/2006/relationships/hyperlink" Target="https://qap.ecdc.europa.eu/public/extensions/COVID-19/vaccine-tracker.html" TargetMode="External"/><Relationship Id="rId7" Type="http://schemas.openxmlformats.org/officeDocument/2006/relationships/hyperlink" Target="https://www.washingtonpost.com/nation/2021/03/02/archdiocese-new-orleans-johnson-vaccine/" TargetMode="External"/><Relationship Id="rId12" Type="http://schemas.openxmlformats.org/officeDocument/2006/relationships/hyperlink" Target="https://apnews.com/article/drug-companies-called-share-vaccine-info-22d92afbc3ea9ed519be007f8887bcf6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theguardian.com/world/2021/feb/28/pfizer-vaccine-less-effective-obesity-study" TargetMode="External"/><Relationship Id="rId11" Type="http://schemas.openxmlformats.org/officeDocument/2006/relationships/hyperlink" Target="https://www.eiu.com/n/85-poor-countries-will-not-have-access-to-coronavirus-vaccines/" TargetMode="External"/><Relationship Id="rId5" Type="http://schemas.openxmlformats.org/officeDocument/2006/relationships/hyperlink" Target="https://www.reuters.com/article/us-health-coronavirus-vaccines-singledos/interim-uk-study-finds-one-dose-of-covid-shots-reduces-hospitalisation-idUSKBN2AV14I" TargetMode="External"/><Relationship Id="rId10" Type="http://schemas.openxmlformats.org/officeDocument/2006/relationships/hyperlink" Target="https://www.reuters.com/article/us-health-coronavirus-eu-vaccines/eu-under-pressure-over-vaccine-rollouts-considers-switch-to-emergency-approvals-idUSKBN2AU1PC" TargetMode="External"/><Relationship Id="rId4" Type="http://schemas.openxmlformats.org/officeDocument/2006/relationships/hyperlink" Target="https://covid19-vaccine-report.ecdc.europa.eu/" TargetMode="External"/><Relationship Id="rId9" Type="http://schemas.openxmlformats.org/officeDocument/2006/relationships/hyperlink" Target="https://www.reuters.com/article/us-health-coronavirus-vaccine-india-idUSKBN2AV192?taid=603f7dcd13851800019e56c4&amp;utm_campaign=trueanthem&amp;utm_medium=trueanthem&amp;utm_source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2021-03-04T17:59:00Z</dcterms:created>
  <dcterms:modified xsi:type="dcterms:W3CDTF">2021-03-04T17:59:00Z</dcterms:modified>
</cp:coreProperties>
</file>