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EC13" w14:textId="54C1E1A1" w:rsidR="00457809" w:rsidRPr="00457809" w:rsidRDefault="00D62E2F">
      <w:r>
        <w:rPr>
          <w:b/>
          <w:bCs/>
        </w:rPr>
        <w:t>All comments</w:t>
      </w:r>
    </w:p>
    <w:tbl>
      <w:tblPr>
        <w:tblStyle w:val="TableGrid"/>
        <w:tblW w:w="10165" w:type="dxa"/>
        <w:tblLook w:val="04A0" w:firstRow="1" w:lastRow="0" w:firstColumn="1" w:lastColumn="0" w:noHBand="0" w:noVBand="1"/>
      </w:tblPr>
      <w:tblGrid>
        <w:gridCol w:w="1724"/>
        <w:gridCol w:w="2411"/>
        <w:gridCol w:w="6030"/>
      </w:tblGrid>
      <w:tr w:rsidR="00DF1F6F" w14:paraId="6CE0912A" w14:textId="77777777" w:rsidTr="00C45756">
        <w:tc>
          <w:tcPr>
            <w:tcW w:w="1724" w:type="dxa"/>
          </w:tcPr>
          <w:p w14:paraId="57BE03D2" w14:textId="2955500E" w:rsidR="00DF1F6F" w:rsidRPr="00FE4FF1" w:rsidRDefault="007F0C81">
            <w:pPr>
              <w:rPr>
                <w:b/>
                <w:bCs/>
              </w:rPr>
            </w:pPr>
            <w:r w:rsidRPr="00FE4FF1">
              <w:rPr>
                <w:b/>
                <w:bCs/>
              </w:rPr>
              <w:t>Variable</w:t>
            </w:r>
          </w:p>
        </w:tc>
        <w:tc>
          <w:tcPr>
            <w:tcW w:w="2411" w:type="dxa"/>
          </w:tcPr>
          <w:p w14:paraId="56703256" w14:textId="23B66A60" w:rsidR="00DF1F6F" w:rsidRPr="00FE4FF1" w:rsidRDefault="00DF1F6F">
            <w:pPr>
              <w:rPr>
                <w:b/>
                <w:bCs/>
              </w:rPr>
            </w:pPr>
            <w:r w:rsidRPr="00FE4FF1">
              <w:rPr>
                <w:b/>
                <w:bCs/>
              </w:rPr>
              <w:t>Ministry’s comment</w:t>
            </w:r>
          </w:p>
        </w:tc>
        <w:tc>
          <w:tcPr>
            <w:tcW w:w="6030" w:type="dxa"/>
          </w:tcPr>
          <w:p w14:paraId="2947F0C0" w14:textId="0FFD7C07" w:rsidR="00DF1F6F" w:rsidRPr="00FE4FF1" w:rsidRDefault="00DF1F6F">
            <w:pPr>
              <w:rPr>
                <w:b/>
                <w:bCs/>
              </w:rPr>
            </w:pPr>
            <w:r w:rsidRPr="00FE4FF1">
              <w:rPr>
                <w:b/>
                <w:bCs/>
              </w:rPr>
              <w:t>WB response</w:t>
            </w:r>
          </w:p>
        </w:tc>
      </w:tr>
      <w:tr w:rsidR="00DF1F6F" w14:paraId="25A00698" w14:textId="77777777" w:rsidTr="00C45756">
        <w:tc>
          <w:tcPr>
            <w:tcW w:w="1724" w:type="dxa"/>
          </w:tcPr>
          <w:p w14:paraId="27ED57F1" w14:textId="20C7BDE8" w:rsidR="00DF1F6F" w:rsidRDefault="007F0C81">
            <w:r>
              <w:t>Disabled members</w:t>
            </w:r>
          </w:p>
        </w:tc>
        <w:tc>
          <w:tcPr>
            <w:tcW w:w="2411" w:type="dxa"/>
          </w:tcPr>
          <w:p w14:paraId="7E2DF070" w14:textId="57824B03" w:rsidR="00DF1F6F" w:rsidRDefault="00DF1F6F">
            <w:r>
              <w:t xml:space="preserve">It is important politically to consider </w:t>
            </w:r>
            <w:r w:rsidR="008E3BDD">
              <w:t>this</w:t>
            </w:r>
            <w:r>
              <w:t xml:space="preserve"> in all four settlements.</w:t>
            </w:r>
          </w:p>
        </w:tc>
        <w:tc>
          <w:tcPr>
            <w:tcW w:w="6030" w:type="dxa"/>
          </w:tcPr>
          <w:p w14:paraId="436E0661" w14:textId="5D431CDF" w:rsidR="00DF1F6F" w:rsidRDefault="00BA0B16">
            <w:r>
              <w:t>OK</w:t>
            </w:r>
            <w:r w:rsidR="00DF1F6F">
              <w:t>. Addressed in latest WB email.</w:t>
            </w:r>
          </w:p>
        </w:tc>
      </w:tr>
      <w:tr w:rsidR="008E3BDD" w14:paraId="6A7B12D9" w14:textId="77777777" w:rsidTr="00C45756">
        <w:tc>
          <w:tcPr>
            <w:tcW w:w="1724" w:type="dxa"/>
          </w:tcPr>
          <w:p w14:paraId="7E9E693F" w14:textId="6A5EABA5" w:rsidR="008E3BDD" w:rsidRDefault="008E3BDD">
            <w:r>
              <w:t>Fridge, washing machines, satellite, parquet</w:t>
            </w:r>
          </w:p>
        </w:tc>
        <w:tc>
          <w:tcPr>
            <w:tcW w:w="2411" w:type="dxa"/>
          </w:tcPr>
          <w:p w14:paraId="1E389D82" w14:textId="16CFB000" w:rsidR="008E3BDD" w:rsidRDefault="008E3BDD">
            <w:r>
              <w:t>It is politically important to remove this in all four settlements</w:t>
            </w:r>
          </w:p>
        </w:tc>
        <w:tc>
          <w:tcPr>
            <w:tcW w:w="6030" w:type="dxa"/>
          </w:tcPr>
          <w:p w14:paraId="7CFF555F" w14:textId="3964CFE7" w:rsidR="008E3BDD" w:rsidRDefault="00536966">
            <w:proofErr w:type="spellStart"/>
            <w:r>
              <w:t>OK</w:t>
            </w:r>
            <w:r w:rsidR="002F4623">
              <w:t>.</w:t>
            </w:r>
            <w:r>
              <w:t xml:space="preserve"> </w:t>
            </w:r>
            <w:proofErr w:type="spellEnd"/>
            <w:r>
              <w:t>This was p</w:t>
            </w:r>
            <w:r w:rsidR="002F4623">
              <w:t>artly addressed in latest WB email.</w:t>
            </w:r>
          </w:p>
        </w:tc>
      </w:tr>
      <w:tr w:rsidR="00DF1F6F" w14:paraId="40A6723C" w14:textId="77777777" w:rsidTr="00C45756">
        <w:tc>
          <w:tcPr>
            <w:tcW w:w="1724" w:type="dxa"/>
          </w:tcPr>
          <w:p w14:paraId="142D5F2B" w14:textId="6455AE3B" w:rsidR="00DF1F6F" w:rsidRDefault="00DF1F6F">
            <w:r>
              <w:t>HH members living abroad</w:t>
            </w:r>
          </w:p>
        </w:tc>
        <w:tc>
          <w:tcPr>
            <w:tcW w:w="2411" w:type="dxa"/>
          </w:tcPr>
          <w:p w14:paraId="0729BB35" w14:textId="4609FD87" w:rsidR="00DF1F6F" w:rsidRDefault="00DF1F6F">
            <w:r>
              <w:t>Why is this variable considered only in other urban area and not in all four settlements?</w:t>
            </w:r>
          </w:p>
        </w:tc>
        <w:tc>
          <w:tcPr>
            <w:tcW w:w="6030" w:type="dxa"/>
          </w:tcPr>
          <w:p w14:paraId="66FF8664" w14:textId="56234BE2" w:rsidR="005B2FA7" w:rsidRPr="00F401A6" w:rsidRDefault="008629B8" w:rsidP="00E87538">
            <w:r>
              <w:t xml:space="preserve">This variable is found to have little significance </w:t>
            </w:r>
            <w:r w:rsidR="003D211A">
              <w:t>in other settlement types</w:t>
            </w:r>
            <w:r w:rsidR="002E035E">
              <w:t>.</w:t>
            </w:r>
          </w:p>
        </w:tc>
      </w:tr>
      <w:tr w:rsidR="00DF1F6F" w14:paraId="323DEFED" w14:textId="77777777" w:rsidTr="00C45756">
        <w:tc>
          <w:tcPr>
            <w:tcW w:w="1724" w:type="dxa"/>
          </w:tcPr>
          <w:p w14:paraId="5A683644" w14:textId="3E64F2DF" w:rsidR="00DF1F6F" w:rsidRDefault="00524E67">
            <w:r>
              <w:t>Property income</w:t>
            </w:r>
          </w:p>
        </w:tc>
        <w:tc>
          <w:tcPr>
            <w:tcW w:w="2411" w:type="dxa"/>
          </w:tcPr>
          <w:p w14:paraId="4C79478E" w14:textId="223806C3" w:rsidR="00DF1F6F" w:rsidRDefault="00DF1F6F">
            <w:r>
              <w:t>Why is property an income related and not housing variable? And why is it only considered only in Tbilisi and Rural settlement?</w:t>
            </w:r>
          </w:p>
        </w:tc>
        <w:tc>
          <w:tcPr>
            <w:tcW w:w="6030" w:type="dxa"/>
          </w:tcPr>
          <w:p w14:paraId="26B2648E" w14:textId="1F2ECD47" w:rsidR="00BD0832" w:rsidRDefault="00DF1F6F">
            <w:r>
              <w:t xml:space="preserve">This variable measures income from property in the form of </w:t>
            </w:r>
            <w:r w:rsidRPr="00F900BD">
              <w:t>leasing</w:t>
            </w:r>
            <w:r>
              <w:t xml:space="preserve"> and</w:t>
            </w:r>
            <w:r w:rsidRPr="00F900BD">
              <w:t xml:space="preserve"> interest on deposits</w:t>
            </w:r>
            <w:r>
              <w:t xml:space="preserve">. It is a subcomponent of variable Y4,11 in the current formula and this is why it is grouped with other income and revenue variables. </w:t>
            </w:r>
          </w:p>
          <w:p w14:paraId="63BAF1AB" w14:textId="1145B8AC" w:rsidR="00DF1F6F" w:rsidRDefault="00F65F75">
            <w:r>
              <w:t>This variable is found to have little</w:t>
            </w:r>
            <w:r w:rsidR="00712D3D">
              <w:t xml:space="preserve"> to no</w:t>
            </w:r>
            <w:r>
              <w:t xml:space="preserve"> significance in </w:t>
            </w:r>
            <w:r>
              <w:t>“other urban”</w:t>
            </w:r>
            <w:r w:rsidR="00712D3D">
              <w:t xml:space="preserve"> and “large urban”</w:t>
            </w:r>
            <w:r>
              <w:t>.</w:t>
            </w:r>
          </w:p>
        </w:tc>
      </w:tr>
      <w:tr w:rsidR="00DF1F6F" w14:paraId="6C6142D2" w14:textId="77777777" w:rsidTr="00C45756">
        <w:tc>
          <w:tcPr>
            <w:tcW w:w="1724" w:type="dxa"/>
          </w:tcPr>
          <w:p w14:paraId="79693C94" w14:textId="4D97C1DE" w:rsidR="00DF1F6F" w:rsidRDefault="00DF1F6F" w:rsidP="00C36C04">
            <w:pPr>
              <w:pStyle w:val="CommentText"/>
              <w:rPr>
                <w:rStyle w:val="CommentReference"/>
              </w:rPr>
            </w:pPr>
            <w:r>
              <w:t>S</w:t>
            </w:r>
            <w:r>
              <w:t>elf-employment</w:t>
            </w:r>
            <w:r w:rsidR="004C36D5">
              <w:t xml:space="preserve"> income</w:t>
            </w:r>
          </w:p>
        </w:tc>
        <w:tc>
          <w:tcPr>
            <w:tcW w:w="2411" w:type="dxa"/>
          </w:tcPr>
          <w:p w14:paraId="0D2A1285" w14:textId="7829DF52" w:rsidR="00DF1F6F" w:rsidRDefault="00DF1F6F" w:rsidP="00C36C04">
            <w:pPr>
              <w:pStyle w:val="CommentText"/>
            </w:pPr>
            <w:r>
              <w:rPr>
                <w:rStyle w:val="CommentReference"/>
              </w:rPr>
              <w:annotationRef/>
            </w:r>
            <w:r>
              <w:t>Why is self-employment not considered for Tbilisi?</w:t>
            </w:r>
          </w:p>
        </w:tc>
        <w:tc>
          <w:tcPr>
            <w:tcW w:w="6030" w:type="dxa"/>
          </w:tcPr>
          <w:p w14:paraId="29AD8D7F" w14:textId="77777777" w:rsidR="007C307E" w:rsidRDefault="00DF1F6F">
            <w:r>
              <w:t>Comment addressed in latest Bank email.</w:t>
            </w:r>
            <w:r w:rsidR="007C307E">
              <w:t xml:space="preserve"> </w:t>
            </w:r>
          </w:p>
          <w:p w14:paraId="22152D5E" w14:textId="0C9026EA" w:rsidR="00DF1F6F" w:rsidRDefault="00381BE2">
            <w:r>
              <w:t xml:space="preserve">This variable </w:t>
            </w:r>
            <w:r w:rsidR="00096717">
              <w:t xml:space="preserve">was excluded because its significance is borderline: it can be included if </w:t>
            </w:r>
            <w:r w:rsidR="00BA0B16">
              <w:t>needed</w:t>
            </w:r>
            <w:r w:rsidR="0058729E">
              <w:t>.</w:t>
            </w:r>
          </w:p>
        </w:tc>
      </w:tr>
      <w:tr w:rsidR="00DF1F6F" w14:paraId="088070DA" w14:textId="77777777" w:rsidTr="00C45756">
        <w:tc>
          <w:tcPr>
            <w:tcW w:w="1724" w:type="dxa"/>
          </w:tcPr>
          <w:p w14:paraId="4EB4884B" w14:textId="57BFEA91" w:rsidR="00DF1F6F" w:rsidRDefault="00DF1F6F">
            <w:r>
              <w:t>HH members whose employer pay SI contributions</w:t>
            </w:r>
          </w:p>
        </w:tc>
        <w:tc>
          <w:tcPr>
            <w:tcW w:w="2411" w:type="dxa"/>
          </w:tcPr>
          <w:p w14:paraId="6A4D672D" w14:textId="2AF79ABC" w:rsidR="00DF1F6F" w:rsidRDefault="00DF1F6F" w:rsidP="00280D74">
            <w:pPr>
              <w:pStyle w:val="CommentText"/>
            </w:pPr>
            <w:r>
              <w:rPr>
                <w:rStyle w:val="CommentReference"/>
              </w:rPr>
              <w:annotationRef/>
            </w:r>
            <w:r>
              <w:t>Do you mean pension fund contributions? And if so, why is it not considered for Tbilisi as a variable, since formal employment in Tbilisi is higher than in the regions?</w:t>
            </w:r>
          </w:p>
        </w:tc>
        <w:tc>
          <w:tcPr>
            <w:tcW w:w="6030" w:type="dxa"/>
          </w:tcPr>
          <w:p w14:paraId="458C55D0" w14:textId="77777777" w:rsidR="007B2E6C" w:rsidRDefault="00DF1F6F">
            <w:r>
              <w:t xml:space="preserve">SI is social insurance, so it should include pension fund contributions. </w:t>
            </w:r>
          </w:p>
          <w:p w14:paraId="367C10F9" w14:textId="61BD87ED" w:rsidR="0051080F" w:rsidRPr="00280D74" w:rsidRDefault="007B2E6C" w:rsidP="00457809">
            <w:r>
              <w:t>The variable</w:t>
            </w:r>
            <w:r w:rsidR="00DF1F6F">
              <w:t xml:space="preserve"> is used as a proxy for formal employ</w:t>
            </w:r>
            <w:r>
              <w:t>ed members</w:t>
            </w:r>
            <w:r w:rsidR="00DF1F6F">
              <w:t xml:space="preserve">. </w:t>
            </w:r>
            <w:r w:rsidR="00C703C8">
              <w:t>This variable was excluded</w:t>
            </w:r>
            <w:r w:rsidR="00C703C8">
              <w:t xml:space="preserve"> from Tbilisi</w:t>
            </w:r>
            <w:r w:rsidR="00C703C8">
              <w:t xml:space="preserve"> because its significance is borderline: it can be included if </w:t>
            </w:r>
            <w:r w:rsidR="00BA0B16">
              <w:t>needed</w:t>
            </w:r>
            <w:r w:rsidR="00C703C8">
              <w:t>.</w:t>
            </w:r>
          </w:p>
        </w:tc>
      </w:tr>
      <w:tr w:rsidR="00DF1F6F" w14:paraId="432E706A" w14:textId="77777777" w:rsidTr="00C45756">
        <w:tc>
          <w:tcPr>
            <w:tcW w:w="1724" w:type="dxa"/>
          </w:tcPr>
          <w:p w14:paraId="59693934" w14:textId="5BE6F675" w:rsidR="00DF1F6F" w:rsidRDefault="00DF1F6F">
            <w:r>
              <w:t>Electricity expenditure</w:t>
            </w:r>
          </w:p>
        </w:tc>
        <w:tc>
          <w:tcPr>
            <w:tcW w:w="2411" w:type="dxa"/>
          </w:tcPr>
          <w:p w14:paraId="427604C8" w14:textId="3BDD5CFC" w:rsidR="00DF1F6F" w:rsidRDefault="00DF1F6F" w:rsidP="006E20D2">
            <w:pPr>
              <w:pStyle w:val="CommentText"/>
            </w:pPr>
            <w:r>
              <w:rPr>
                <w:rStyle w:val="CommentReference"/>
              </w:rPr>
              <w:annotationRef/>
            </w:r>
            <w:r>
              <w:t>No utility expenditure variables in Tbilisi?</w:t>
            </w:r>
          </w:p>
        </w:tc>
        <w:tc>
          <w:tcPr>
            <w:tcW w:w="6030" w:type="dxa"/>
          </w:tcPr>
          <w:p w14:paraId="44A23F3A" w14:textId="1E30395F" w:rsidR="00843BD2" w:rsidRPr="00635C24" w:rsidRDefault="006F3023">
            <w:r>
              <w:t xml:space="preserve">This variable was excluded because its significance is borderline: it can be included if </w:t>
            </w:r>
            <w:r w:rsidR="004F54D6">
              <w:t>needed</w:t>
            </w:r>
            <w:r>
              <w:t>.</w:t>
            </w:r>
          </w:p>
        </w:tc>
      </w:tr>
      <w:tr w:rsidR="00DF1F6F" w14:paraId="2B882FE8" w14:textId="77777777" w:rsidTr="00C45756">
        <w:tc>
          <w:tcPr>
            <w:tcW w:w="1724" w:type="dxa"/>
          </w:tcPr>
          <w:p w14:paraId="56BF890C" w14:textId="12E6A598" w:rsidR="00DF1F6F" w:rsidRDefault="00DF1F6F" w:rsidP="0097632B">
            <w:r>
              <w:t>Electricity expenditure</w:t>
            </w:r>
          </w:p>
        </w:tc>
        <w:tc>
          <w:tcPr>
            <w:tcW w:w="2411" w:type="dxa"/>
          </w:tcPr>
          <w:p w14:paraId="679B5A96" w14:textId="19330BEC" w:rsidR="00DF1F6F" w:rsidRDefault="00DF1F6F" w:rsidP="0097632B">
            <w:r>
              <w:t>In this table you mention only electricity expenditure, which in Table A1.1 of this document Utilities include el, natural gas, water, cleaning.  Please clarify.</w:t>
            </w:r>
          </w:p>
        </w:tc>
        <w:tc>
          <w:tcPr>
            <w:tcW w:w="6030" w:type="dxa"/>
          </w:tcPr>
          <w:p w14:paraId="4DEF22A7" w14:textId="25C7CA31" w:rsidR="00DF1F6F" w:rsidRDefault="00DF1F6F" w:rsidP="0097632B">
            <w:r>
              <w:t xml:space="preserve">Table A1.1. refers to </w:t>
            </w:r>
            <w:r w:rsidRPr="00912038">
              <w:rPr>
                <w:i/>
                <w:iCs/>
              </w:rPr>
              <w:t>the current</w:t>
            </w:r>
            <w:r>
              <w:t xml:space="preserve"> formula, </w:t>
            </w:r>
            <w:r w:rsidR="00F465AC">
              <w:t>not to the proposed model</w:t>
            </w:r>
            <w:r w:rsidR="00912038">
              <w:t xml:space="preserve"> (which is instead detailed in Table B1.1)</w:t>
            </w:r>
            <w:r w:rsidR="00F465AC">
              <w:t xml:space="preserve">. </w:t>
            </w:r>
            <w:r>
              <w:t xml:space="preserve">In the proposed formula we are only considering electricity expenditure. </w:t>
            </w:r>
            <w:r w:rsidR="00976344">
              <w:t>The explanation is in the</w:t>
            </w:r>
            <w:r>
              <w:t xml:space="preserve"> latest WB email.</w:t>
            </w:r>
          </w:p>
        </w:tc>
      </w:tr>
      <w:tr w:rsidR="00DF1F6F" w14:paraId="59B4E4E8" w14:textId="77777777" w:rsidTr="00C45756">
        <w:tc>
          <w:tcPr>
            <w:tcW w:w="1724" w:type="dxa"/>
          </w:tcPr>
          <w:p w14:paraId="32352012" w14:textId="1357637D" w:rsidR="00DF1F6F" w:rsidRDefault="00DF1F6F" w:rsidP="0097632B">
            <w:r w:rsidRPr="00AA070F">
              <w:t>Land   area   owned</w:t>
            </w:r>
          </w:p>
        </w:tc>
        <w:tc>
          <w:tcPr>
            <w:tcW w:w="2411" w:type="dxa"/>
          </w:tcPr>
          <w:p w14:paraId="3B1C1334" w14:textId="501C00A3" w:rsidR="00DF1F6F" w:rsidRDefault="00DF1F6F" w:rsidP="0097632B">
            <w:r w:rsidRPr="00AA070F">
              <w:t>Why is land area owned only considered in rural settlement?  Households of other settlements might also own substantial land.</w:t>
            </w:r>
          </w:p>
        </w:tc>
        <w:tc>
          <w:tcPr>
            <w:tcW w:w="6030" w:type="dxa"/>
          </w:tcPr>
          <w:p w14:paraId="2F6AFAA0" w14:textId="6D9D2663" w:rsidR="0052540C" w:rsidRDefault="00DF1F6F" w:rsidP="0097632B">
            <w:r>
              <w:t>As above, it has been excluded due to</w:t>
            </w:r>
            <w:r w:rsidR="00FD1D7C">
              <w:t xml:space="preserve"> its relatively low significance</w:t>
            </w:r>
            <w:r>
              <w:t xml:space="preserve">. </w:t>
            </w:r>
            <w:r w:rsidR="00EC3142">
              <w:t xml:space="preserve">This means that the correlation between land owned and </w:t>
            </w:r>
            <w:r w:rsidR="00F42FCC">
              <w:t xml:space="preserve">welfare of the household was not found to be strong </w:t>
            </w:r>
            <w:r w:rsidR="005E1AF8">
              <w:t>in those settlement types.</w:t>
            </w:r>
          </w:p>
          <w:p w14:paraId="74DE6017" w14:textId="77777777" w:rsidR="008B0A43" w:rsidRDefault="00FD2AB5" w:rsidP="0097632B">
            <w:r>
              <w:t xml:space="preserve">It is borderline significant in “other urban” areas and </w:t>
            </w:r>
            <w:r w:rsidR="008B0A43">
              <w:t>can be included if needed.</w:t>
            </w:r>
          </w:p>
          <w:p w14:paraId="3F19825D" w14:textId="67CCF537" w:rsidR="00027BEA" w:rsidRDefault="008B0A43" w:rsidP="0097632B">
            <w:r>
              <w:t xml:space="preserve">It </w:t>
            </w:r>
            <w:r w:rsidR="00FD2AB5">
              <w:t>has low significance in Tbilisi and large urban areas</w:t>
            </w:r>
            <w:r w:rsidR="002E035E">
              <w:t>.</w:t>
            </w:r>
          </w:p>
        </w:tc>
      </w:tr>
      <w:tr w:rsidR="00DF1F6F" w14:paraId="1A244F9F" w14:textId="77777777" w:rsidTr="00C45756">
        <w:tc>
          <w:tcPr>
            <w:tcW w:w="1724" w:type="dxa"/>
          </w:tcPr>
          <w:p w14:paraId="0D53F762" w14:textId="39C5E126" w:rsidR="00DF1F6F" w:rsidRDefault="00DF1F6F" w:rsidP="002F1323">
            <w:r w:rsidRPr="00680419">
              <w:lastRenderedPageBreak/>
              <w:t>Livestock index</w:t>
            </w:r>
          </w:p>
        </w:tc>
        <w:tc>
          <w:tcPr>
            <w:tcW w:w="2411" w:type="dxa"/>
          </w:tcPr>
          <w:p w14:paraId="69462E69" w14:textId="1F4BBBCA" w:rsidR="00DF1F6F" w:rsidRDefault="00DF1F6F" w:rsidP="002F1323">
            <w:r>
              <w:t>C</w:t>
            </w:r>
            <w:r w:rsidRPr="00680419">
              <w:t>an you please list animals comprising livestock index.  As we read  from Table A1.1 cows, buffaloes, beehives and poultry (while here there are different animals listed).  Also, is there sheep considered?  Is it possible to remove poultry, since income from poultry is minimal and subject  is used for political speculations…</w:t>
            </w:r>
          </w:p>
        </w:tc>
        <w:tc>
          <w:tcPr>
            <w:tcW w:w="6030" w:type="dxa"/>
          </w:tcPr>
          <w:p w14:paraId="4F26B5B0" w14:textId="77777777" w:rsidR="00805F4C" w:rsidRDefault="00DF1F6F" w:rsidP="002F1323">
            <w:r w:rsidRPr="00680419">
              <w:t>The livestock index sums up the number of buffaloes, cows and young cattle, the number of horses, and one tenth of the number of sheep, goats and pigs</w:t>
            </w:r>
            <w:r>
              <w:t xml:space="preserve">. </w:t>
            </w:r>
          </w:p>
          <w:p w14:paraId="446F5ABF" w14:textId="167A075F" w:rsidR="00DF1F6F" w:rsidRDefault="00DF1F6F" w:rsidP="002F1323">
            <w:r>
              <w:t xml:space="preserve">Table A1.1 only refers to the current formula (which to the best of our knowledge includes poultry and beehives – please </w:t>
            </w:r>
            <w:r w:rsidR="00AB784C">
              <w:t>let us know</w:t>
            </w:r>
            <w:r>
              <w:t xml:space="preserve"> if we have incomplete information</w:t>
            </w:r>
            <w:r w:rsidR="00564D07">
              <w:t>)</w:t>
            </w:r>
            <w:r>
              <w:t>.</w:t>
            </w:r>
          </w:p>
        </w:tc>
      </w:tr>
      <w:tr w:rsidR="00DF1F6F" w14:paraId="0E4C223F" w14:textId="77777777" w:rsidTr="00C45756">
        <w:tc>
          <w:tcPr>
            <w:tcW w:w="1724" w:type="dxa"/>
          </w:tcPr>
          <w:p w14:paraId="350B9D2B" w14:textId="6141C7E6" w:rsidR="00DF1F6F" w:rsidRDefault="00805F4C" w:rsidP="002F1323">
            <w:r w:rsidRPr="00805F4C">
              <w:t>Kakheti</w:t>
            </w:r>
          </w:p>
        </w:tc>
        <w:tc>
          <w:tcPr>
            <w:tcW w:w="2411" w:type="dxa"/>
          </w:tcPr>
          <w:p w14:paraId="19994D32" w14:textId="3209E7C7" w:rsidR="00DF1F6F" w:rsidRDefault="00805F4C" w:rsidP="002F1323">
            <w:r w:rsidRPr="00805F4C">
              <w:t xml:space="preserve">Kakheti is a better off region, unlike </w:t>
            </w:r>
            <w:proofErr w:type="spellStart"/>
            <w:r w:rsidRPr="00805F4C">
              <w:t>Guria</w:t>
            </w:r>
            <w:proofErr w:type="spellEnd"/>
            <w:r w:rsidRPr="00805F4C">
              <w:t>, which is poo</w:t>
            </w:r>
            <w:r w:rsidR="00662BB5">
              <w:t>r</w:t>
            </w:r>
            <w:r w:rsidRPr="00805F4C">
              <w:t>er region.  Why is Kakheti chosen here?</w:t>
            </w:r>
          </w:p>
        </w:tc>
        <w:tc>
          <w:tcPr>
            <w:tcW w:w="6030" w:type="dxa"/>
          </w:tcPr>
          <w:p w14:paraId="29333116" w14:textId="770B34F4" w:rsidR="00DF1F6F" w:rsidRDefault="000F03ED" w:rsidP="002F1323">
            <w:r>
              <w:t xml:space="preserve">The explanation here is that, </w:t>
            </w:r>
            <w:r w:rsidRPr="000F03ED">
              <w:rPr>
                <w:i/>
                <w:iCs/>
              </w:rPr>
              <w:t>holding other factors constant</w:t>
            </w:r>
            <w:r>
              <w:t xml:space="preserve">, the welfare of households </w:t>
            </w:r>
            <w:r w:rsidRPr="000F03ED">
              <w:rPr>
                <w:i/>
                <w:iCs/>
              </w:rPr>
              <w:t>from “other urban settlements”</w:t>
            </w:r>
            <w:r>
              <w:t xml:space="preserve"> in Kakheti is less than that of other households </w:t>
            </w:r>
            <w:r w:rsidR="001B44BA" w:rsidRPr="000F03ED">
              <w:rPr>
                <w:i/>
                <w:iCs/>
              </w:rPr>
              <w:t>from “other urban settlements”</w:t>
            </w:r>
            <w:r>
              <w:t xml:space="preserve">. </w:t>
            </w:r>
            <w:r w:rsidR="000B2C2F">
              <w:t>This does not imply that they are poorer: they might simply have more employment and more income that is already been accounted for</w:t>
            </w:r>
            <w:r w:rsidR="00CB549C">
              <w:t>.</w:t>
            </w:r>
            <w:r w:rsidR="00FF74FB">
              <w:t xml:space="preserve"> After accounting for </w:t>
            </w:r>
            <w:r w:rsidR="00C16EFF">
              <w:t>those variables</w:t>
            </w:r>
            <w:r w:rsidR="00FF74FB">
              <w:t>, however, we might be overestimating their welfare</w:t>
            </w:r>
            <w:r w:rsidR="00C16EFF">
              <w:t>: hence the correction with a negative coefficient.</w:t>
            </w:r>
          </w:p>
        </w:tc>
      </w:tr>
    </w:tbl>
    <w:p w14:paraId="6B65FDD0" w14:textId="56D6BCBD" w:rsidR="00643D57" w:rsidRDefault="00643D57"/>
    <w:p w14:paraId="553C5ACF" w14:textId="077499F5" w:rsidR="000637BB" w:rsidRDefault="000637BB">
      <w:bookmarkStart w:id="0" w:name="_GoBack"/>
      <w:bookmarkEnd w:id="0"/>
    </w:p>
    <w:p w14:paraId="6ECFCA16" w14:textId="77777777" w:rsidR="00C02F79" w:rsidRDefault="00C02F79"/>
    <w:sectPr w:rsidR="00C02F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99F11" w14:textId="77777777" w:rsidR="00E173DC" w:rsidRDefault="00E173DC" w:rsidP="00E173DC">
      <w:pPr>
        <w:spacing w:after="0" w:line="240" w:lineRule="auto"/>
      </w:pPr>
      <w:r>
        <w:separator/>
      </w:r>
    </w:p>
  </w:endnote>
  <w:endnote w:type="continuationSeparator" w:id="0">
    <w:p w14:paraId="02AC510D" w14:textId="77777777" w:rsidR="00E173DC" w:rsidRDefault="00E173DC" w:rsidP="00E1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EFB84" w14:textId="77777777" w:rsidR="00E173DC" w:rsidRDefault="00E173DC" w:rsidP="00E173DC">
      <w:pPr>
        <w:spacing w:after="0" w:line="240" w:lineRule="auto"/>
      </w:pPr>
      <w:r>
        <w:separator/>
      </w:r>
    </w:p>
  </w:footnote>
  <w:footnote w:type="continuationSeparator" w:id="0">
    <w:p w14:paraId="0EAE7E9D" w14:textId="77777777" w:rsidR="00E173DC" w:rsidRDefault="00E173DC" w:rsidP="00E173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DD"/>
    <w:rsid w:val="00000991"/>
    <w:rsid w:val="00005D5B"/>
    <w:rsid w:val="00027BEA"/>
    <w:rsid w:val="000637BB"/>
    <w:rsid w:val="00096717"/>
    <w:rsid w:val="000A1ADB"/>
    <w:rsid w:val="000B2C2F"/>
    <w:rsid w:val="000C0105"/>
    <w:rsid w:val="000C7B99"/>
    <w:rsid w:val="000F03ED"/>
    <w:rsid w:val="0014382E"/>
    <w:rsid w:val="001629B0"/>
    <w:rsid w:val="0017447D"/>
    <w:rsid w:val="001943CC"/>
    <w:rsid w:val="001B44BA"/>
    <w:rsid w:val="001C5B5A"/>
    <w:rsid w:val="002126F1"/>
    <w:rsid w:val="002321CB"/>
    <w:rsid w:val="00235958"/>
    <w:rsid w:val="00254691"/>
    <w:rsid w:val="002603DE"/>
    <w:rsid w:val="00266F31"/>
    <w:rsid w:val="00280A98"/>
    <w:rsid w:val="00280D74"/>
    <w:rsid w:val="002A7F26"/>
    <w:rsid w:val="002E035E"/>
    <w:rsid w:val="002E5FF4"/>
    <w:rsid w:val="002F1323"/>
    <w:rsid w:val="002F4623"/>
    <w:rsid w:val="0031363E"/>
    <w:rsid w:val="00330904"/>
    <w:rsid w:val="003511E0"/>
    <w:rsid w:val="003645E4"/>
    <w:rsid w:val="00381BE2"/>
    <w:rsid w:val="00396CCA"/>
    <w:rsid w:val="003D211A"/>
    <w:rsid w:val="00421175"/>
    <w:rsid w:val="00457809"/>
    <w:rsid w:val="00485684"/>
    <w:rsid w:val="00487632"/>
    <w:rsid w:val="004A2435"/>
    <w:rsid w:val="004C36D5"/>
    <w:rsid w:val="004F1076"/>
    <w:rsid w:val="004F54D6"/>
    <w:rsid w:val="004F5965"/>
    <w:rsid w:val="0051080F"/>
    <w:rsid w:val="00524E67"/>
    <w:rsid w:val="0052540C"/>
    <w:rsid w:val="00536966"/>
    <w:rsid w:val="00540C15"/>
    <w:rsid w:val="0055045D"/>
    <w:rsid w:val="005542D9"/>
    <w:rsid w:val="00556183"/>
    <w:rsid w:val="0056255D"/>
    <w:rsid w:val="00564D07"/>
    <w:rsid w:val="0057081F"/>
    <w:rsid w:val="0058729E"/>
    <w:rsid w:val="005B2FA7"/>
    <w:rsid w:val="005E1AF8"/>
    <w:rsid w:val="005F1881"/>
    <w:rsid w:val="005F618A"/>
    <w:rsid w:val="00615A27"/>
    <w:rsid w:val="00624321"/>
    <w:rsid w:val="00627040"/>
    <w:rsid w:val="00635C24"/>
    <w:rsid w:val="00640DDF"/>
    <w:rsid w:val="00641E78"/>
    <w:rsid w:val="00643D57"/>
    <w:rsid w:val="00662BB5"/>
    <w:rsid w:val="0066311A"/>
    <w:rsid w:val="00680419"/>
    <w:rsid w:val="006B0AC4"/>
    <w:rsid w:val="006C724E"/>
    <w:rsid w:val="006E20D2"/>
    <w:rsid w:val="006F3023"/>
    <w:rsid w:val="00712D3D"/>
    <w:rsid w:val="00725853"/>
    <w:rsid w:val="007302BA"/>
    <w:rsid w:val="0076727B"/>
    <w:rsid w:val="007A546F"/>
    <w:rsid w:val="007B2E6C"/>
    <w:rsid w:val="007B37C1"/>
    <w:rsid w:val="007C307E"/>
    <w:rsid w:val="007F0C81"/>
    <w:rsid w:val="007F28B1"/>
    <w:rsid w:val="00805F4C"/>
    <w:rsid w:val="00832B45"/>
    <w:rsid w:val="00843BD2"/>
    <w:rsid w:val="008629B8"/>
    <w:rsid w:val="00866D27"/>
    <w:rsid w:val="008B0A43"/>
    <w:rsid w:val="008C6374"/>
    <w:rsid w:val="008E0036"/>
    <w:rsid w:val="008E3BDD"/>
    <w:rsid w:val="008E7C2D"/>
    <w:rsid w:val="009039E2"/>
    <w:rsid w:val="009101AC"/>
    <w:rsid w:val="00912038"/>
    <w:rsid w:val="0092176B"/>
    <w:rsid w:val="00937874"/>
    <w:rsid w:val="009502C1"/>
    <w:rsid w:val="0097632B"/>
    <w:rsid w:val="00976344"/>
    <w:rsid w:val="00991FE9"/>
    <w:rsid w:val="009C2A8E"/>
    <w:rsid w:val="00A00DF1"/>
    <w:rsid w:val="00A44A62"/>
    <w:rsid w:val="00A80854"/>
    <w:rsid w:val="00AA070F"/>
    <w:rsid w:val="00AA2113"/>
    <w:rsid w:val="00AA4251"/>
    <w:rsid w:val="00AB43E9"/>
    <w:rsid w:val="00AB784C"/>
    <w:rsid w:val="00AD51F6"/>
    <w:rsid w:val="00AE11CE"/>
    <w:rsid w:val="00AF1ED2"/>
    <w:rsid w:val="00B501A8"/>
    <w:rsid w:val="00B50B6F"/>
    <w:rsid w:val="00B51075"/>
    <w:rsid w:val="00B671B6"/>
    <w:rsid w:val="00B7759D"/>
    <w:rsid w:val="00BA0B16"/>
    <w:rsid w:val="00BC56A2"/>
    <w:rsid w:val="00BD0832"/>
    <w:rsid w:val="00BD3785"/>
    <w:rsid w:val="00BF2F4B"/>
    <w:rsid w:val="00C02F79"/>
    <w:rsid w:val="00C16EFF"/>
    <w:rsid w:val="00C3063B"/>
    <w:rsid w:val="00C36C04"/>
    <w:rsid w:val="00C45756"/>
    <w:rsid w:val="00C63A81"/>
    <w:rsid w:val="00C66ADD"/>
    <w:rsid w:val="00C703C8"/>
    <w:rsid w:val="00C74190"/>
    <w:rsid w:val="00C81097"/>
    <w:rsid w:val="00CB549C"/>
    <w:rsid w:val="00CD6039"/>
    <w:rsid w:val="00D62E2F"/>
    <w:rsid w:val="00D81FC4"/>
    <w:rsid w:val="00D839C8"/>
    <w:rsid w:val="00DA1EBC"/>
    <w:rsid w:val="00DF1F6F"/>
    <w:rsid w:val="00E13B59"/>
    <w:rsid w:val="00E173DC"/>
    <w:rsid w:val="00E87538"/>
    <w:rsid w:val="00EC18EB"/>
    <w:rsid w:val="00EC3142"/>
    <w:rsid w:val="00ED7810"/>
    <w:rsid w:val="00EE3651"/>
    <w:rsid w:val="00EF39D7"/>
    <w:rsid w:val="00F2334D"/>
    <w:rsid w:val="00F323FB"/>
    <w:rsid w:val="00F401A6"/>
    <w:rsid w:val="00F42C17"/>
    <w:rsid w:val="00F42FCC"/>
    <w:rsid w:val="00F465AC"/>
    <w:rsid w:val="00F65F75"/>
    <w:rsid w:val="00F660DF"/>
    <w:rsid w:val="00F67BF0"/>
    <w:rsid w:val="00FB4581"/>
    <w:rsid w:val="00FC00F6"/>
    <w:rsid w:val="00FD1D7C"/>
    <w:rsid w:val="00FD2AB5"/>
    <w:rsid w:val="00FE0C3E"/>
    <w:rsid w:val="00FE4FF1"/>
    <w:rsid w:val="00FE57D5"/>
    <w:rsid w:val="00FE6AE0"/>
    <w:rsid w:val="00FF7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FF1D"/>
  <w15:chartTrackingRefBased/>
  <w15:docId w15:val="{0E58CB47-08A5-47B0-A6E0-A36E59E1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7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874"/>
    <w:rPr>
      <w:rFonts w:ascii="Segoe UI" w:hAnsi="Segoe UI" w:cs="Segoe UI"/>
      <w:sz w:val="18"/>
      <w:szCs w:val="18"/>
    </w:rPr>
  </w:style>
  <w:style w:type="character" w:styleId="CommentReference">
    <w:name w:val="annotation reference"/>
    <w:uiPriority w:val="99"/>
    <w:semiHidden/>
    <w:unhideWhenUsed/>
    <w:rsid w:val="00C36C04"/>
    <w:rPr>
      <w:sz w:val="16"/>
      <w:szCs w:val="16"/>
    </w:rPr>
  </w:style>
  <w:style w:type="paragraph" w:styleId="CommentText">
    <w:name w:val="annotation text"/>
    <w:basedOn w:val="Normal"/>
    <w:link w:val="CommentTextChar"/>
    <w:uiPriority w:val="99"/>
    <w:unhideWhenUsed/>
    <w:rsid w:val="00C36C04"/>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C36C04"/>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72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Claudio Sormani</dc:creator>
  <cp:keywords/>
  <dc:description/>
  <cp:lastModifiedBy>Roberto Claudio Sormani</cp:lastModifiedBy>
  <cp:revision>162</cp:revision>
  <dcterms:created xsi:type="dcterms:W3CDTF">2020-09-14T19:13:00Z</dcterms:created>
  <dcterms:modified xsi:type="dcterms:W3CDTF">2020-09-14T23:10:00Z</dcterms:modified>
</cp:coreProperties>
</file>