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894817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bookmarkStart w:id="1" w:name="_GoBack"/>
      <w:r w:rsidRPr="00894817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89481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894817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894817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894817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894817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894817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894817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894817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894817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894817">
        <w:rPr>
          <w:rFonts w:ascii="Sylfaen" w:hAnsi="Sylfaen"/>
          <w:b/>
          <w:sz w:val="24"/>
          <w:szCs w:val="24"/>
          <w:lang w:val="ka-GE"/>
        </w:rPr>
        <w:t>20......</w:t>
      </w:r>
      <w:r w:rsidRPr="00894817">
        <w:rPr>
          <w:rFonts w:ascii="Sylfaen" w:hAnsi="Sylfaen"/>
          <w:b/>
          <w:sz w:val="24"/>
          <w:szCs w:val="24"/>
        </w:rPr>
        <w:t xml:space="preserve"> </w:t>
      </w:r>
      <w:r w:rsidRPr="00894817">
        <w:rPr>
          <w:rFonts w:ascii="Sylfaen" w:hAnsi="Sylfaen"/>
          <w:b/>
          <w:sz w:val="24"/>
          <w:szCs w:val="24"/>
          <w:lang w:val="ka-GE"/>
        </w:rPr>
        <w:t>წლის</w:t>
      </w:r>
      <w:r w:rsidRPr="00894817">
        <w:rPr>
          <w:rFonts w:ascii="Sylfaen" w:hAnsi="Sylfaen"/>
          <w:b/>
          <w:sz w:val="24"/>
          <w:szCs w:val="24"/>
        </w:rPr>
        <w:t xml:space="preserve"> </w:t>
      </w:r>
      <w:r w:rsidRPr="00894817">
        <w:rPr>
          <w:rFonts w:ascii="Sylfaen" w:hAnsi="Sylfaen"/>
          <w:b/>
          <w:sz w:val="24"/>
          <w:szCs w:val="24"/>
          <w:lang w:val="ka-GE"/>
        </w:rPr>
        <w:t>„</w:t>
      </w:r>
      <w:r w:rsidRPr="00894817">
        <w:rPr>
          <w:rFonts w:ascii="Sylfaen" w:hAnsi="Sylfaen"/>
          <w:b/>
          <w:sz w:val="24"/>
          <w:szCs w:val="24"/>
        </w:rPr>
        <w:t xml:space="preserve"> </w:t>
      </w:r>
      <w:r w:rsidRPr="00894817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894817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894817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894817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894817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894817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94817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94817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B56A23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45553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საორგანიზაციო სამმართველო</w:t>
            </w:r>
          </w:p>
        </w:tc>
      </w:tr>
      <w:tr w:rsidR="008B4641" w:rsidRPr="00894817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894817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6336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63362B" w:rsidRPr="00894817">
              <w:rPr>
                <w:rFonts w:ascii="Sylfaen" w:hAnsi="Sylfaen"/>
                <w:b/>
                <w:sz w:val="24"/>
                <w:szCs w:val="24"/>
              </w:rPr>
              <w:t xml:space="preserve"> -</w:t>
            </w:r>
            <w:r w:rsidR="0063362B" w:rsidRPr="00894817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0C2DD6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894817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63362B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უფროსის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63362B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63362B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894817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4817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63362B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89481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8B4641" w:rsidRPr="00894817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894817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4817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8B4641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FF5" w:rsidRPr="00894817" w:rsidRDefault="00EC5FF5" w:rsidP="00EC5FF5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>,,რეფერალური მომსახურების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ფარგლებში</w:t>
            </w: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</w:t>
            </w: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 xml:space="preserve">სამედიცინო 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შესახებ”  საქართველოს მთავრობის 2010 წლის 3 ნოემბრის №331 დადგენილების შესაბამისად შექმნილი კომისიის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წევრი.</w:t>
            </w:r>
          </w:p>
          <w:p w:rsidR="008B4641" w:rsidRPr="00894817" w:rsidRDefault="00EC5FF5" w:rsidP="00EC5F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proofErr w:type="gramStart"/>
            <w:r w:rsidRPr="00894817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proofErr w:type="gram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“ 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სხდომებისათვის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საკითხების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მომზადება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განსახილველად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წარდგენა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>.</w:t>
            </w:r>
          </w:p>
        </w:tc>
      </w:tr>
      <w:tr w:rsidR="008B4641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4817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4817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CB5983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5983" w:rsidRPr="00894817" w:rsidRDefault="00CB5983" w:rsidP="00CB5983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>,,რეფერალური მომსახურების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ფარგლებში</w:t>
            </w: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</w:t>
            </w:r>
            <w:r w:rsidRPr="00894817">
              <w:rPr>
                <w:rFonts w:ascii="Sylfaen" w:hAnsi="Sylfaen"/>
                <w:sz w:val="24"/>
                <w:szCs w:val="24"/>
                <w:lang w:val="af-ZA"/>
              </w:rPr>
              <w:t xml:space="preserve">სამედიცინო 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შესახებ”  საქართველოს მთავრობის 2010 წლის 3 ნოემბრის №331 დადგენილების შესაბამისად შექმნილი კომისიის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წევრი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(საქ. შრომის, ჯანმრთელობისა და სოციალური დაცვის მინისტრის  2012 წლის 16 ნოემბრის N316/ობრძანება).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B5983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5983" w:rsidRPr="00894817" w:rsidRDefault="00CB5983" w:rsidP="00CB59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გაწევის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მიზნით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შემოსული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ინდივიდუალურ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რეჟიმში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განხილვა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განცხადებებზე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თანდართული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დოკუმენტაციის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პირველადი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ექსპერტიზა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განსაზღვრულ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კრიტერიუმებთან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შესაბამისობის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დადგენა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>;</w:t>
            </w: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B5983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5983" w:rsidRPr="00894817" w:rsidRDefault="00CB5983" w:rsidP="00CB59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proofErr w:type="gramStart"/>
            <w:r w:rsidRPr="00894817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proofErr w:type="gram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წარმოდგენილ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დოკუმენტაციასთან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დარგის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ექსპერტების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სერვისის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მიმწოდებელი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დაწესებულებებისაგან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დამატებითი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მოძიება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>.</w:t>
            </w: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B5983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5983" w:rsidRPr="00894817" w:rsidRDefault="00CB5983" w:rsidP="00CB59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შევსება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რევიზია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უზუსტობების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კორექცია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B5983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5983" w:rsidRPr="00894817" w:rsidRDefault="00CB5983" w:rsidP="006631E4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შედეგების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ანალიზი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სხვადასხვა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ჭრილში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B5983" w:rsidRPr="0089481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5983" w:rsidRPr="00894817" w:rsidRDefault="00CB5983" w:rsidP="006631E4">
            <w:pPr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დეპარტამენტის დებულებით გათვალისწინებული სხვა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საქმიანობები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მაღალი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894817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სამედიცინო მომსახურების მიმწოდებელი დაწესებულებები  (გარე) 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სამინისტროს სტრუქტურული ქვედანაყოფები (შიდა) 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სახელმწიფო კონტროლს დაქვემდებარებული საჯარო სამართლის იურიდიული პირები</w:t>
            </w:r>
            <w:r w:rsidRPr="00894817">
              <w:rPr>
                <w:rFonts w:ascii="Sylfaen" w:hAnsi="Sylfaen"/>
                <w:color w:val="auto"/>
                <w:sz w:val="24"/>
                <w:szCs w:val="24"/>
              </w:rPr>
              <w:t xml:space="preserve"> (</w:t>
            </w:r>
            <w:r w:rsidRPr="00894817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შიდა)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თავდაცვის სამინისტრო (გარე)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Times New Roman" w:hAnsi="Sylfaen"/>
                <w:sz w:val="24"/>
                <w:szCs w:val="24"/>
                <w:lang w:val="ka-GE"/>
              </w:rPr>
              <w:t>აჭარის ა/რ ჯანმრთელობისა და სოციალური დაცვის სამინისტრო (გარე)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Times New Roman" w:hAnsi="Sylfaen"/>
                <w:sz w:val="24"/>
                <w:szCs w:val="24"/>
                <w:lang w:val="ka-GE"/>
              </w:rPr>
              <w:t>სამხრეთ ოსეთის ადმინისტრაციის ჯანმრთელობის დაცვისა და სოციალური უზრუნვეყოფის სამსახური (გარე)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CB5983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Times New Roman" w:hAnsi="Sylfaen"/>
                <w:sz w:val="24"/>
                <w:szCs w:val="24"/>
                <w:lang w:val="ka-GE"/>
              </w:rPr>
              <w:t>სოლიდარობის ფონდი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CB5983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CB5983" w:rsidRPr="0089481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5983" w:rsidRPr="00894817" w:rsidRDefault="007343FD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რეფერალური მომსახურების ფარგლებში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შედეგების</w:t>
            </w:r>
            <w:proofErr w:type="spellEnd"/>
            <w:r w:rsidRPr="0089481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ანალიზი თვეში ორჯერ</w:t>
            </w:r>
          </w:p>
        </w:tc>
      </w:tr>
    </w:tbl>
    <w:p w:rsidR="005D776B" w:rsidRPr="00894817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894817">
        <w:rPr>
          <w:rFonts w:ascii="Sylfaen" w:hAnsi="Sylfaen"/>
          <w:b/>
          <w:szCs w:val="24"/>
          <w:lang w:val="ka-GE"/>
        </w:rPr>
        <w:tab/>
      </w:r>
      <w:r w:rsidRPr="00894817">
        <w:rPr>
          <w:rFonts w:ascii="Sylfaen" w:hAnsi="Sylfaen"/>
          <w:b/>
          <w:szCs w:val="24"/>
          <w:lang w:val="ka-GE"/>
        </w:rPr>
        <w:tab/>
      </w:r>
      <w:r w:rsidRPr="00894817">
        <w:rPr>
          <w:rFonts w:ascii="Sylfaen" w:hAnsi="Sylfaen"/>
          <w:b/>
          <w:szCs w:val="24"/>
          <w:lang w:val="ka-GE"/>
        </w:rPr>
        <w:tab/>
      </w:r>
      <w:r w:rsidRPr="00894817">
        <w:rPr>
          <w:rFonts w:ascii="Sylfaen" w:hAnsi="Sylfaen"/>
          <w:b/>
          <w:szCs w:val="24"/>
          <w:lang w:val="ka-GE"/>
        </w:rPr>
        <w:tab/>
      </w:r>
      <w:r w:rsidRPr="00894817">
        <w:rPr>
          <w:rFonts w:ascii="Sylfaen" w:hAnsi="Sylfaen"/>
          <w:b/>
          <w:szCs w:val="24"/>
          <w:lang w:val="ka-GE"/>
        </w:rPr>
        <w:tab/>
      </w:r>
      <w:r w:rsidRPr="00894817">
        <w:rPr>
          <w:rFonts w:ascii="Sylfaen" w:hAnsi="Sylfaen"/>
          <w:b/>
          <w:szCs w:val="24"/>
          <w:lang w:val="ka-GE"/>
        </w:rPr>
        <w:tab/>
      </w:r>
      <w:r w:rsidRPr="00894817">
        <w:rPr>
          <w:rFonts w:ascii="Sylfaen" w:hAnsi="Sylfaen"/>
          <w:b/>
          <w:szCs w:val="24"/>
          <w:lang w:val="ka-GE"/>
        </w:rPr>
        <w:tab/>
      </w:r>
    </w:p>
    <w:p w:rsidR="0074698E" w:rsidRPr="00894817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894817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894817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894817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4817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894817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481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481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89481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894817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94817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894817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7343FD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7343FD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894817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94817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894817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7343FD" w:rsidP="0016142B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7343FD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 ან საზოგადოებრივი ჯანდაცვა</w:t>
            </w:r>
          </w:p>
        </w:tc>
      </w:tr>
      <w:tr w:rsidR="00B313DF" w:rsidRPr="00894817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94817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94817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94817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894817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894817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7343FD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8D395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სერტიფიკატი</w:t>
            </w:r>
          </w:p>
        </w:tc>
      </w:tr>
      <w:tr w:rsidR="007275E6" w:rsidRPr="0089481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4817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894817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4817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4817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89481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894817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4817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B43694" w:rsidRPr="00894817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/>
                <w:sz w:val="24"/>
                <w:szCs w:val="24"/>
              </w:rPr>
              <w:t>   </w:t>
            </w:r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proofErr w:type="spellStart"/>
            <w:r w:rsidRPr="00894817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/>
                <w:bCs/>
                <w:sz w:val="24"/>
                <w:szCs w:val="24"/>
              </w:rPr>
              <w:t>კანონები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კონსტიტუცია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სტრუქტურის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,     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უფლებამოსილებისა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წესის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 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;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;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ნორმატიული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აქტების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;</w:t>
            </w:r>
          </w:p>
          <w:p w:rsidR="00B43694" w:rsidRPr="00894817" w:rsidRDefault="00B43694" w:rsidP="00B43694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894817">
              <w:rPr>
                <w:rFonts w:ascii="Sylfaen" w:hAnsi="Sylfaen" w:cs="Sylfaen"/>
                <w:sz w:val="24"/>
                <w:szCs w:val="24"/>
              </w:rPr>
              <w:t xml:space="preserve">     </w:t>
            </w: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პაციენტის უფლებების დაცვის შესახებ</w:t>
            </w:r>
            <w:r w:rsidRPr="00894817">
              <w:rPr>
                <w:rFonts w:ascii="Sylfaen" w:hAnsi="Sylfaen" w:cs="Sylfaen"/>
                <w:sz w:val="24"/>
                <w:szCs w:val="24"/>
              </w:rPr>
              <w:t xml:space="preserve">;  </w:t>
            </w:r>
          </w:p>
          <w:p w:rsidR="00B43694" w:rsidRPr="00894817" w:rsidRDefault="00B43694" w:rsidP="00B43694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894817">
              <w:rPr>
                <w:rFonts w:ascii="Sylfaen" w:hAnsi="Sylfaen" w:cs="Sylfaen"/>
                <w:sz w:val="24"/>
                <w:szCs w:val="24"/>
              </w:rPr>
              <w:t xml:space="preserve">     </w:t>
            </w: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საექიმო საქმიანობის შესახებ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8F480C" w:rsidP="00B4369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B43694" w:rsidRPr="00894817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</w:rPr>
              <w:t>   </w:t>
            </w:r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    </w:t>
            </w:r>
            <w:proofErr w:type="spellStart"/>
            <w:r w:rsidRPr="00894817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/>
                <w:bCs/>
                <w:sz w:val="24"/>
                <w:szCs w:val="24"/>
              </w:rPr>
              <w:t>მთავრობის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/>
                <w:bCs/>
                <w:sz w:val="24"/>
                <w:szCs w:val="24"/>
              </w:rPr>
              <w:t>დადგენილებები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>  - ,,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894817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;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მოსახლეობის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2009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9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დეკემბრის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№218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lastRenderedPageBreak/>
              <w:t>დადგენილება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;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>    - „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0-5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ჩათვლით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ბავშვების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, 60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ქალების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65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მამაკაცების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საპენსიო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მოსახლეობა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),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სტუდენტების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ბავშვთა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მკვეთრად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გამოხატული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პირთა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2012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7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მაისის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№165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894817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;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894817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;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 xml:space="preserve">   - ,,2013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დამტკიცების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"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31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ოქტომბრის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№279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894817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.</w:t>
            </w:r>
            <w:r w:rsidRPr="00894817">
              <w:rPr>
                <w:rFonts w:ascii="Sylfaen" w:hAnsi="Sylfaen"/>
                <w:sz w:val="24"/>
                <w:szCs w:val="24"/>
              </w:rPr>
              <w:br/>
            </w:r>
            <w:r w:rsidRPr="00894817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სოციალური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>მინისტრის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>ბრძანებ</w:t>
            </w:r>
            <w:proofErr w:type="spellEnd"/>
            <w:r w:rsidRPr="00894817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ით</w:t>
            </w:r>
            <w:r w:rsidRPr="00894817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</w:p>
          <w:p w:rsidR="00B43694" w:rsidRPr="00894817" w:rsidRDefault="00B43694" w:rsidP="008F48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 - ,,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სოციალური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სამინისტროს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სტრუქტურული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ქვედანაყოფების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დებულებების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lastRenderedPageBreak/>
              <w:t>დამტკიცების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“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სოციალური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მინისტრის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2015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6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იანვრი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ს </w:t>
            </w:r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 xml:space="preserve"> №01-1/ნ</w:t>
            </w:r>
            <w:r w:rsidRPr="0089481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894817">
              <w:rPr>
                <w:rFonts w:ascii="Sylfaen" w:hAnsi="Sylfaen" w:cs="Sylfaen"/>
                <w:bCs/>
                <w:sz w:val="24"/>
                <w:szCs w:val="24"/>
              </w:rPr>
              <w:t>ბრძანება</w:t>
            </w:r>
            <w:proofErr w:type="spellEnd"/>
            <w:r w:rsidRPr="0089481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.</w:t>
            </w:r>
          </w:p>
          <w:p w:rsidR="00B43694" w:rsidRPr="00894817" w:rsidRDefault="00B43694" w:rsidP="00B43694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</w:rPr>
              <w:t>- „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რეფერალური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მომსახურების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შესაბამისი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სამედიცინო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დახმარების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გაწევის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მიღების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კომისიის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შემადგენლობის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განსაზღვრისა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მისი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ორგანიზაციულ-ტექნიკური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ღონისძიებების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უზრუნველყოფის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”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სოციალური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მინისტრის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2014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14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იანვრის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 xml:space="preserve"> №01-6/ო </w:t>
            </w:r>
            <w:proofErr w:type="spellStart"/>
            <w:r w:rsidRPr="00894817">
              <w:rPr>
                <w:rFonts w:ascii="Sylfaen" w:hAnsi="Sylfaen"/>
                <w:sz w:val="24"/>
                <w:szCs w:val="24"/>
              </w:rPr>
              <w:t>ბრძანება</w:t>
            </w:r>
            <w:proofErr w:type="spellEnd"/>
            <w:r w:rsidRPr="00894817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8F480C" w:rsidP="00B43694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  <w:r w:rsidRPr="00894817">
              <w:rPr>
                <w:rFonts w:cs="Times New Roman"/>
                <w:b w:val="0"/>
                <w:szCs w:val="24"/>
                <w:lang w:val="ka-GE"/>
              </w:rPr>
              <w:lastRenderedPageBreak/>
              <w:t>-</w:t>
            </w:r>
          </w:p>
        </w:tc>
      </w:tr>
      <w:tr w:rsidR="00B43694" w:rsidRPr="00894817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B43694" w:rsidRPr="00894817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DC3659" w:rsidP="00B4369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პრაქტიკული საქმიანობის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DC3659" w:rsidP="00B4369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ტრენინგი, სერტიფიკატი</w:t>
            </w:r>
          </w:p>
        </w:tc>
      </w:tr>
      <w:tr w:rsidR="00B43694" w:rsidRPr="00894817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B43694" w:rsidRPr="00894817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5014" w:rsidRPr="00894817" w:rsidRDefault="00B43694" w:rsidP="0048501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485014" w:rsidRPr="00894817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485014" w:rsidRPr="00894817" w:rsidRDefault="00485014" w:rsidP="0048501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</w:rPr>
              <w:t xml:space="preserve"> EXCEL  </w:t>
            </w:r>
          </w:p>
          <w:p w:rsidR="00485014" w:rsidRPr="00894817" w:rsidRDefault="00485014" w:rsidP="0048501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894817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485014" w:rsidRPr="00894817" w:rsidRDefault="00485014" w:rsidP="0048501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894817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485014" w:rsidRPr="00894817" w:rsidRDefault="00485014" w:rsidP="0048501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  <w:p w:rsidR="00B43694" w:rsidRPr="00894817" w:rsidRDefault="00B43694" w:rsidP="00B43694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485014" w:rsidRPr="00894817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</w:tc>
      </w:tr>
      <w:tr w:rsidR="00B43694" w:rsidRPr="00894817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B43694" w:rsidRPr="00894817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4A6DA2" w:rsidP="004A6DA2">
            <w:pPr>
              <w:ind w:firstLine="7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ქართული  (მშობლიური)</w:t>
            </w:r>
          </w:p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A6DA2" w:rsidRPr="00894817" w:rsidRDefault="004A6DA2" w:rsidP="004A6DA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     ინგლისური   </w:t>
            </w:r>
            <w:r w:rsidRPr="0089481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</w:rPr>
              <w:t>A1</w:t>
            </w:r>
          </w:p>
          <w:p w:rsidR="00B43694" w:rsidRPr="00894817" w:rsidRDefault="004A6DA2" w:rsidP="004A6DA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      რუსული  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Pr="00894817">
              <w:rPr>
                <w:rFonts w:ascii="Sylfaen" w:hAnsi="Sylfaen"/>
                <w:sz w:val="24"/>
                <w:szCs w:val="24"/>
              </w:rPr>
              <w:t>A1</w:t>
            </w:r>
          </w:p>
        </w:tc>
      </w:tr>
      <w:tr w:rsidR="00B43694" w:rsidRPr="00894817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სხვა</w:t>
            </w:r>
          </w:p>
          <w:p w:rsidR="00B43694" w:rsidRPr="00894817" w:rsidRDefault="00B43694" w:rsidP="00B4369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B43694" w:rsidRPr="00894817" w:rsidRDefault="00B43694" w:rsidP="00B4369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B43694" w:rsidRPr="0089481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B43694" w:rsidRPr="00894817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894817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89481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B43694" w:rsidRPr="00894817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B43694" w:rsidRPr="00894817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C012D8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</w:rPr>
              <w:t xml:space="preserve">1-3  </w:t>
            </w:r>
            <w:proofErr w:type="spellStart"/>
            <w:r w:rsidRPr="00894817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C012D8" w:rsidP="00B4369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B43694" w:rsidRPr="00894817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B43694" w:rsidRPr="00894817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C012D8" w:rsidP="00B43694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თეორიული, პრაქტიკული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C012D8" w:rsidRPr="00894817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B43694" w:rsidRPr="00894817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894817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894817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B43694" w:rsidRPr="00894817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F94122" w:rsidP="00B43694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F94122" w:rsidP="00B4369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B43694" w:rsidRPr="0089481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89481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894817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B43694" w:rsidRPr="0089481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7446" w:rsidRPr="00894817" w:rsidRDefault="00B57446" w:rsidP="00B574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B57446" w:rsidRPr="00894817" w:rsidRDefault="00B57446" w:rsidP="00B5744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B43694" w:rsidRPr="00894817" w:rsidRDefault="00B57446" w:rsidP="00B5744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</w:tc>
      </w:tr>
      <w:tr w:rsidR="00B43694" w:rsidRPr="0089481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თანამდებობის ფარდობითი ღირებულება</w:t>
            </w:r>
          </w:p>
        </w:tc>
      </w:tr>
      <w:tr w:rsidR="00B43694" w:rsidRPr="0089481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694" w:rsidRPr="00894817" w:rsidRDefault="00B43694" w:rsidP="00B43694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4817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127851" w:rsidRPr="00894817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894817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894817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894817">
        <w:rPr>
          <w:rFonts w:ascii="Sylfaen" w:eastAsia="Calibri" w:hAnsi="Sylfaen"/>
          <w:bCs/>
          <w:sz w:val="24"/>
          <w:szCs w:val="24"/>
          <w:lang w:val="ka-GE"/>
        </w:rPr>
        <w:lastRenderedPageBreak/>
        <w:t xml:space="preserve">უშუალო უფროსი (სახელი, გვარი, თანამდებობა) </w:t>
      </w:r>
      <w:r w:rsidRPr="00894817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894817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894817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Pr="00894817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894817">
        <w:rPr>
          <w:rFonts w:ascii="Sylfaen" w:hAnsi="Sylfaen"/>
          <w:sz w:val="24"/>
          <w:szCs w:val="24"/>
          <w:lang w:val="ka-GE"/>
        </w:rPr>
        <w:t>თარიღი  _________________________</w:t>
      </w:r>
      <w:bookmarkEnd w:id="1"/>
    </w:p>
    <w:sectPr w:rsidR="003C05E0" w:rsidRPr="00894817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15240"/>
    <w:multiLevelType w:val="hybridMultilevel"/>
    <w:tmpl w:val="1C16E888"/>
    <w:lvl w:ilvl="0" w:tplc="74BCD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1"/>
  </w:num>
  <w:num w:numId="9">
    <w:abstractNumId w:val="6"/>
  </w:num>
  <w:num w:numId="10">
    <w:abstractNumId w:val="10"/>
  </w:num>
  <w:num w:numId="11">
    <w:abstractNumId w:val="1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C2DD6"/>
    <w:rsid w:val="000F7F4D"/>
    <w:rsid w:val="00127851"/>
    <w:rsid w:val="00140295"/>
    <w:rsid w:val="0014563E"/>
    <w:rsid w:val="00155873"/>
    <w:rsid w:val="0016142B"/>
    <w:rsid w:val="001639C2"/>
    <w:rsid w:val="002041EC"/>
    <w:rsid w:val="00245397"/>
    <w:rsid w:val="003050A0"/>
    <w:rsid w:val="00332E5E"/>
    <w:rsid w:val="00340A2C"/>
    <w:rsid w:val="00341D75"/>
    <w:rsid w:val="003A5F01"/>
    <w:rsid w:val="003B257E"/>
    <w:rsid w:val="003C05E0"/>
    <w:rsid w:val="00410BC1"/>
    <w:rsid w:val="004460B4"/>
    <w:rsid w:val="00455538"/>
    <w:rsid w:val="004666A2"/>
    <w:rsid w:val="00485014"/>
    <w:rsid w:val="004A14D0"/>
    <w:rsid w:val="004A6D77"/>
    <w:rsid w:val="004A6DA2"/>
    <w:rsid w:val="00531671"/>
    <w:rsid w:val="005C32E9"/>
    <w:rsid w:val="005D35CF"/>
    <w:rsid w:val="005D5CDB"/>
    <w:rsid w:val="005D776B"/>
    <w:rsid w:val="0063362B"/>
    <w:rsid w:val="006A06CE"/>
    <w:rsid w:val="006C54B7"/>
    <w:rsid w:val="007275E6"/>
    <w:rsid w:val="007343FD"/>
    <w:rsid w:val="0074698E"/>
    <w:rsid w:val="00765DB6"/>
    <w:rsid w:val="00776486"/>
    <w:rsid w:val="00790C3C"/>
    <w:rsid w:val="00861CD0"/>
    <w:rsid w:val="00884ED7"/>
    <w:rsid w:val="00894817"/>
    <w:rsid w:val="008B4641"/>
    <w:rsid w:val="008D2B69"/>
    <w:rsid w:val="008D395B"/>
    <w:rsid w:val="008F480C"/>
    <w:rsid w:val="009110BB"/>
    <w:rsid w:val="00962D44"/>
    <w:rsid w:val="009722EE"/>
    <w:rsid w:val="009856E3"/>
    <w:rsid w:val="009E42F5"/>
    <w:rsid w:val="00A1618E"/>
    <w:rsid w:val="00A246A4"/>
    <w:rsid w:val="00AC1DDE"/>
    <w:rsid w:val="00B313DF"/>
    <w:rsid w:val="00B43694"/>
    <w:rsid w:val="00B56A23"/>
    <w:rsid w:val="00B57446"/>
    <w:rsid w:val="00C012D8"/>
    <w:rsid w:val="00CB5983"/>
    <w:rsid w:val="00CE7DB0"/>
    <w:rsid w:val="00D1703E"/>
    <w:rsid w:val="00D17C78"/>
    <w:rsid w:val="00DB3C17"/>
    <w:rsid w:val="00DC3659"/>
    <w:rsid w:val="00E035B4"/>
    <w:rsid w:val="00E05CF9"/>
    <w:rsid w:val="00E1292D"/>
    <w:rsid w:val="00E423BA"/>
    <w:rsid w:val="00E73C5C"/>
    <w:rsid w:val="00E8550E"/>
    <w:rsid w:val="00EA3706"/>
    <w:rsid w:val="00EC5FF5"/>
    <w:rsid w:val="00EE5D2A"/>
    <w:rsid w:val="00EF279F"/>
    <w:rsid w:val="00F330D3"/>
    <w:rsid w:val="00F94122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E85E9-934D-4CFB-A640-61B1A143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72</cp:revision>
  <dcterms:created xsi:type="dcterms:W3CDTF">2015-05-22T17:38:00Z</dcterms:created>
  <dcterms:modified xsi:type="dcterms:W3CDTF">2015-10-09T05:39:00Z</dcterms:modified>
</cp:coreProperties>
</file>