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06A" w:rsidRPr="00ED4334" w:rsidRDefault="0057406A" w:rsidP="0057406A">
      <w:pPr>
        <w:jc w:val="both"/>
        <w:rPr>
          <w:b/>
          <w:lang w:val="en-US"/>
        </w:rPr>
      </w:pPr>
      <w:r w:rsidRPr="00176366">
        <w:rPr>
          <w:b/>
          <w:lang w:val="en-US"/>
        </w:rPr>
        <w:t>MEMO</w:t>
      </w:r>
    </w:p>
    <w:p w:rsidR="0057406A" w:rsidRPr="0057406A" w:rsidRDefault="0057406A" w:rsidP="0057406A">
      <w:pPr>
        <w:jc w:val="both"/>
        <w:rPr>
          <w:b/>
          <w:bCs/>
          <w:noProof/>
          <w:lang w:val="en-US" w:eastAsia="fr-CH"/>
        </w:rPr>
      </w:pPr>
      <w:r w:rsidRPr="0057406A">
        <w:rPr>
          <w:b/>
          <w:bCs/>
          <w:noProof/>
          <w:lang w:val="en-US" w:eastAsia="fr-CH"/>
        </w:rPr>
        <w:t>Re: Draft Concept Note HRC40 Side-Event/IAFM Launch</w:t>
      </w:r>
    </w:p>
    <w:p w:rsidR="0057406A" w:rsidRPr="0057406A" w:rsidRDefault="0057406A" w:rsidP="0057406A">
      <w:pPr>
        <w:jc w:val="both"/>
        <w:rPr>
          <w:b/>
          <w:bCs/>
          <w:noProof/>
          <w:u w:val="single"/>
          <w:lang w:val="en-US" w:eastAsia="fr-CH"/>
        </w:rPr>
      </w:pPr>
      <w:r>
        <w:rPr>
          <w:b/>
          <w:bCs/>
          <w:noProof/>
          <w:u w:val="single"/>
          <w:lang w:val="en-US" w:eastAsia="fr-CH"/>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46355</wp:posOffset>
                </wp:positionV>
                <wp:extent cx="5762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26EB677"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3.65pt" to="453.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" strokecolor="black [3200]" strokeweight="1.5pt">
                <v:stroke joinstyle="miter"/>
              </v:line>
            </w:pict>
          </mc:Fallback>
        </mc:AlternateContent>
      </w:r>
    </w:p>
    <w:p w:rsidR="0057406A" w:rsidRDefault="0057406A" w:rsidP="00794181">
      <w:pPr>
        <w:pStyle w:val="ListParagraph"/>
        <w:numPr>
          <w:ilvl w:val="0"/>
          <w:numId w:val="1"/>
        </w:numPr>
        <w:jc w:val="both"/>
        <w:rPr>
          <w:b/>
          <w:bCs/>
          <w:noProof/>
          <w:u w:val="single"/>
          <w:lang w:val="en-US" w:eastAsia="fr-CH"/>
        </w:rPr>
      </w:pPr>
      <w:r>
        <w:rPr>
          <w:b/>
          <w:bCs/>
          <w:noProof/>
          <w:u w:val="single"/>
          <w:lang w:val="en-US" w:eastAsia="fr-CH"/>
        </w:rPr>
        <w:t>Logistics</w:t>
      </w:r>
    </w:p>
    <w:p w:rsidR="0057406A" w:rsidRDefault="0057406A" w:rsidP="0057406A">
      <w:pPr>
        <w:pStyle w:val="ListParagraph"/>
        <w:ind w:left="360"/>
        <w:jc w:val="both"/>
        <w:rPr>
          <w:b/>
          <w:bCs/>
          <w:noProof/>
          <w:highlight w:val="yellow"/>
          <w:u w:val="single"/>
          <w:lang w:val="en-US" w:eastAsia="fr-CH"/>
        </w:rPr>
      </w:pPr>
      <w:r>
        <w:rPr>
          <w:b/>
          <w:bCs/>
          <w:noProof/>
          <w:u w:val="single"/>
          <w:lang w:val="en-US" w:eastAsia="fr-CH"/>
        </w:rPr>
        <w:t xml:space="preserve">The side-event will take place on </w:t>
      </w:r>
      <w:r w:rsidR="00176366">
        <w:rPr>
          <w:b/>
          <w:bCs/>
          <w:noProof/>
          <w:u w:val="single"/>
          <w:lang w:val="en-US" w:eastAsia="fr-CH"/>
        </w:rPr>
        <w:t>February 28thth /</w:t>
      </w:r>
      <w:r>
        <w:rPr>
          <w:b/>
          <w:bCs/>
          <w:noProof/>
          <w:u w:val="single"/>
          <w:lang w:val="en-US" w:eastAsia="fr-CH"/>
        </w:rPr>
        <w:t xml:space="preserve">March </w:t>
      </w:r>
      <w:r w:rsidR="00176366">
        <w:rPr>
          <w:b/>
          <w:bCs/>
          <w:noProof/>
          <w:u w:val="single"/>
          <w:lang w:val="en-US" w:eastAsia="fr-CH"/>
        </w:rPr>
        <w:t>5</w:t>
      </w:r>
      <w:r w:rsidR="00176366" w:rsidRPr="00176366">
        <w:rPr>
          <w:b/>
          <w:bCs/>
          <w:noProof/>
          <w:u w:val="single"/>
          <w:vertAlign w:val="superscript"/>
          <w:lang w:val="en-US" w:eastAsia="fr-CH"/>
        </w:rPr>
        <w:t>th</w:t>
      </w:r>
      <w:r w:rsidR="00176366">
        <w:rPr>
          <w:b/>
          <w:bCs/>
          <w:noProof/>
          <w:u w:val="single"/>
          <w:lang w:val="en-US" w:eastAsia="fr-CH"/>
        </w:rPr>
        <w:t xml:space="preserve"> (TBC)</w:t>
      </w:r>
      <w:r>
        <w:rPr>
          <w:b/>
          <w:bCs/>
          <w:noProof/>
          <w:u w:val="single"/>
          <w:lang w:val="en-US" w:eastAsia="fr-CH"/>
        </w:rPr>
        <w:t xml:space="preserve"> from </w:t>
      </w:r>
      <w:r w:rsidRPr="0057406A">
        <w:rPr>
          <w:b/>
          <w:bCs/>
          <w:noProof/>
          <w:highlight w:val="yellow"/>
          <w:u w:val="single"/>
          <w:lang w:val="en-US" w:eastAsia="fr-CH"/>
        </w:rPr>
        <w:t>XX</w:t>
      </w:r>
      <w:r>
        <w:rPr>
          <w:b/>
          <w:bCs/>
          <w:noProof/>
          <w:u w:val="single"/>
          <w:lang w:val="en-US" w:eastAsia="fr-CH"/>
        </w:rPr>
        <w:t xml:space="preserve"> </w:t>
      </w:r>
      <w:r w:rsidRPr="0057406A">
        <w:rPr>
          <w:b/>
          <w:bCs/>
          <w:noProof/>
          <w:highlight w:val="yellow"/>
          <w:u w:val="single"/>
          <w:lang w:val="en-US" w:eastAsia="fr-CH"/>
        </w:rPr>
        <w:t>to XX</w:t>
      </w:r>
      <w:r>
        <w:rPr>
          <w:b/>
          <w:bCs/>
          <w:noProof/>
          <w:u w:val="single"/>
          <w:lang w:val="en-US" w:eastAsia="fr-CH"/>
        </w:rPr>
        <w:t xml:space="preserve"> in Room </w:t>
      </w:r>
      <w:r w:rsidRPr="0057406A">
        <w:rPr>
          <w:b/>
          <w:bCs/>
          <w:noProof/>
          <w:highlight w:val="yellow"/>
          <w:u w:val="single"/>
          <w:lang w:val="en-US" w:eastAsia="fr-CH"/>
        </w:rPr>
        <w:t>XX</w:t>
      </w:r>
    </w:p>
    <w:p w:rsidR="0057406A" w:rsidRDefault="0057406A" w:rsidP="0057406A">
      <w:pPr>
        <w:pStyle w:val="ListParagraph"/>
        <w:ind w:left="360"/>
        <w:jc w:val="both"/>
        <w:rPr>
          <w:b/>
          <w:bCs/>
          <w:noProof/>
          <w:u w:val="single"/>
          <w:lang w:val="en-US" w:eastAsia="fr-CH"/>
        </w:rPr>
      </w:pPr>
    </w:p>
    <w:p w:rsidR="00794181" w:rsidRPr="000D7F44" w:rsidRDefault="00794181" w:rsidP="00794181">
      <w:pPr>
        <w:pStyle w:val="ListParagraph"/>
        <w:numPr>
          <w:ilvl w:val="0"/>
          <w:numId w:val="1"/>
        </w:numPr>
        <w:jc w:val="both"/>
        <w:rPr>
          <w:b/>
          <w:bCs/>
          <w:noProof/>
          <w:u w:val="single"/>
          <w:lang w:val="en-US" w:eastAsia="fr-CH"/>
        </w:rPr>
      </w:pPr>
      <w:r w:rsidRPr="000D7F44">
        <w:rPr>
          <w:b/>
          <w:bCs/>
          <w:noProof/>
          <w:u w:val="single"/>
          <w:lang w:val="en-US" w:eastAsia="fr-CH"/>
        </w:rPr>
        <w:t xml:space="preserve">Context </w:t>
      </w:r>
    </w:p>
    <w:p w:rsidR="00794181" w:rsidRPr="000D7F44" w:rsidRDefault="00794181" w:rsidP="00794181">
      <w:pPr>
        <w:jc w:val="both"/>
        <w:rPr>
          <w:lang w:val="en-US"/>
        </w:rPr>
      </w:pPr>
      <w:bookmarkStart w:id="0" w:name="_Hlk531078834"/>
      <w:r w:rsidRPr="000D7F44">
        <w:rPr>
          <w:lang w:val="en-US"/>
        </w:rPr>
        <w:t>Women and girls affected by conflict</w:t>
      </w:r>
      <w:r w:rsidR="003918A8">
        <w:rPr>
          <w:lang w:val="en-US"/>
        </w:rPr>
        <w:t xml:space="preserve"> and in humanitarian settings</w:t>
      </w:r>
      <w:r w:rsidRPr="000D7F44">
        <w:rPr>
          <w:lang w:val="en-US"/>
        </w:rPr>
        <w:t>, including survivors of sexual and gender-based violence (SGBV), urgently need sexual and reproductive health care and services, such as obstetric and antenatal care for pregnant women, access to contraceptive information and services, including emergency contraception, and access to safe abortion and post-abortion care, but often are unable to or prevented from accessing these services.</w:t>
      </w:r>
      <w:r w:rsidRPr="000D7F44">
        <w:rPr>
          <w:rStyle w:val="FootnoteReference"/>
          <w:lang w:val="en-US"/>
        </w:rPr>
        <w:footnoteReference w:id="1"/>
      </w:r>
    </w:p>
    <w:p w:rsidR="00794181" w:rsidRPr="000D7F44" w:rsidRDefault="00794181" w:rsidP="00794181">
      <w:pPr>
        <w:jc w:val="both"/>
        <w:rPr>
          <w:lang w:val="en-US"/>
        </w:rPr>
      </w:pPr>
      <w:r w:rsidRPr="000D7F44">
        <w:rPr>
          <w:lang w:val="en-US"/>
        </w:rPr>
        <w:t>Women, girls and adolescents in conflict settings are also at a higher risk of violations such as SGBV, harmful practices including child, early and forced marriages (CEFM) and intimate partner violence (IPV). According to UNICEF, “the rate of child marriage among Syrian refugee girls in Jordan rose to 32% per cent, compared to between 13 and 17 per cent in Syria before the war.”</w:t>
      </w:r>
      <w:r w:rsidRPr="000D7F44">
        <w:rPr>
          <w:rStyle w:val="FootnoteReference"/>
          <w:lang w:val="en-US"/>
        </w:rPr>
        <w:footnoteReference w:id="2"/>
      </w:r>
      <w:r w:rsidRPr="000D7F44">
        <w:rPr>
          <w:lang w:val="en-US"/>
        </w:rPr>
        <w:t xml:space="preserve"> In countries designated as fragile states, the estimated lifetime risk of maternal mortality is 1 in 54 as compared to 1 in 180 global lifetime risk.</w:t>
      </w:r>
      <w:r w:rsidRPr="000D7F44">
        <w:rPr>
          <w:rStyle w:val="FootnoteReference"/>
          <w:lang w:val="en-US"/>
        </w:rPr>
        <w:footnoteReference w:id="3"/>
      </w:r>
      <w:r w:rsidRPr="000D7F44">
        <w:rPr>
          <w:lang w:val="en-US"/>
        </w:rPr>
        <w:t xml:space="preserve"> </w:t>
      </w:r>
    </w:p>
    <w:p w:rsidR="00794181" w:rsidRPr="000D7F44" w:rsidRDefault="00794181" w:rsidP="00794181">
      <w:pPr>
        <w:jc w:val="both"/>
        <w:rPr>
          <w:lang w:val="en-US"/>
        </w:rPr>
      </w:pPr>
      <w:r w:rsidRPr="000D7F44">
        <w:rPr>
          <w:lang w:val="en-US"/>
        </w:rPr>
        <w:t xml:space="preserve">Disintegrating health and justice infrastructures in settings affected by conflict </w:t>
      </w:r>
      <w:r w:rsidR="003918A8">
        <w:rPr>
          <w:lang w:val="en-US"/>
        </w:rPr>
        <w:t xml:space="preserve">and humanitarian emergencies </w:t>
      </w:r>
      <w:r w:rsidRPr="000D7F44">
        <w:rPr>
          <w:lang w:val="en-US"/>
        </w:rPr>
        <w:t>can have critical impacts on reproductive health</w:t>
      </w:r>
      <w:r>
        <w:rPr>
          <w:lang w:val="en-US"/>
        </w:rPr>
        <w:t xml:space="preserve">. </w:t>
      </w:r>
      <w:r w:rsidRPr="000D7F44">
        <w:rPr>
          <w:lang w:val="en-US"/>
        </w:rPr>
        <w:t xml:space="preserve">In addition, unsafe, restrictive, or repressive environments; prohibitive costs; lack of information in a language they understand; and fear of further violence or stigmatization for seeking care make it difficult for women and girls to access </w:t>
      </w:r>
      <w:r>
        <w:rPr>
          <w:lang w:val="en-US"/>
        </w:rPr>
        <w:t>sexual and reproductive health</w:t>
      </w:r>
      <w:r w:rsidRPr="000D7F44">
        <w:rPr>
          <w:lang w:val="en-US"/>
        </w:rPr>
        <w:t xml:space="preserve"> services. </w:t>
      </w:r>
    </w:p>
    <w:p w:rsidR="00794181" w:rsidRPr="000D7F44" w:rsidRDefault="00794181" w:rsidP="00794181">
      <w:pPr>
        <w:jc w:val="both"/>
        <w:rPr>
          <w:lang w:val="en-US"/>
        </w:rPr>
      </w:pPr>
      <w:r w:rsidRPr="000D7F44">
        <w:rPr>
          <w:lang w:val="en-US"/>
        </w:rPr>
        <w:t>Ensuring access to sexual and reproductive health information and services in these settings is central not only to an effective humanitarian response but also to fulfilling fundamental human rights obligations.</w:t>
      </w:r>
    </w:p>
    <w:p w:rsidR="00794181" w:rsidRPr="000D7F44" w:rsidRDefault="00794181" w:rsidP="00794181">
      <w:pPr>
        <w:jc w:val="both"/>
        <w:rPr>
          <w:lang w:val="en-US"/>
        </w:rPr>
      </w:pPr>
      <w:r w:rsidRPr="000D7F44">
        <w:rPr>
          <w:lang w:val="en-US"/>
        </w:rPr>
        <w:t xml:space="preserve">In addition to the lack of access to health services, survivors of sexual violence and those denied access to sexual and reproductive health care and services are rarely able to seek justice and remedies for the </w:t>
      </w:r>
      <w:r w:rsidRPr="000D7F44">
        <w:rPr>
          <w:lang w:val="en-US"/>
        </w:rPr>
        <w:lastRenderedPageBreak/>
        <w:t xml:space="preserve">violations they have had to endure. Disintegrating judicial systems in conflict areas, corruption, discrimination against refugee populations in host countries, fear of reprisals against their families or themselves, and the stigma associated with sexual violence all prevent women and girls from seeking justice and legal remedies for the human rights violations they have experienced. </w:t>
      </w:r>
    </w:p>
    <w:bookmarkEnd w:id="0"/>
    <w:p w:rsidR="00794181" w:rsidRDefault="00794181" w:rsidP="00794181">
      <w:pPr>
        <w:jc w:val="both"/>
        <w:rPr>
          <w:lang w:val="en-US"/>
        </w:rPr>
      </w:pPr>
      <w:r w:rsidRPr="000D7F44">
        <w:rPr>
          <w:lang w:val="en-US"/>
        </w:rPr>
        <w:t>While accountability for women and girls affected by conflict</w:t>
      </w:r>
      <w:r w:rsidR="003918A8">
        <w:rPr>
          <w:lang w:val="en-US"/>
        </w:rPr>
        <w:t xml:space="preserve"> and in humanitarian settings</w:t>
      </w:r>
      <w:r w:rsidRPr="000D7F44">
        <w:rPr>
          <w:lang w:val="en-US"/>
        </w:rPr>
        <w:t xml:space="preserve"> has largely been addressed through the lens of the criminal responsibility of perpetrators of violations, thus putting the</w:t>
      </w:r>
      <w:r>
        <w:rPr>
          <w:lang w:val="en-US"/>
        </w:rPr>
        <w:t xml:space="preserve"> perpetrators</w:t>
      </w:r>
      <w:r w:rsidRPr="000D7F44">
        <w:rPr>
          <w:lang w:val="en-US"/>
        </w:rPr>
        <w:t xml:space="preserve"> rather than the affected women and girls at the center of interventions and discussions, </w:t>
      </w:r>
      <w:r>
        <w:rPr>
          <w:lang w:val="en-US"/>
        </w:rPr>
        <w:t>the Human Rights Council can play a decisive role in</w:t>
      </w:r>
      <w:r w:rsidRPr="000D7F44">
        <w:rPr>
          <w:lang w:val="en-US"/>
        </w:rPr>
        <w:t xml:space="preserve"> refram</w:t>
      </w:r>
      <w:r>
        <w:rPr>
          <w:lang w:val="en-US"/>
        </w:rPr>
        <w:t>ing</w:t>
      </w:r>
      <w:r w:rsidRPr="000D7F44">
        <w:rPr>
          <w:lang w:val="en-US"/>
        </w:rPr>
        <w:t xml:space="preserve"> the conversations on women and humanitarian settings around women and girls themselves</w:t>
      </w:r>
      <w:r w:rsidRPr="00AF7530">
        <w:rPr>
          <w:lang w:val="en-US"/>
        </w:rPr>
        <w:t xml:space="preserve">. </w:t>
      </w:r>
    </w:p>
    <w:p w:rsidR="00794181" w:rsidRPr="000D7F44" w:rsidRDefault="00794181" w:rsidP="00794181">
      <w:pPr>
        <w:jc w:val="both"/>
        <w:rPr>
          <w:lang w:val="en-US"/>
        </w:rPr>
      </w:pPr>
      <w:bookmarkStart w:id="1" w:name="_Hlk531078907"/>
      <w:r w:rsidRPr="00AF7530">
        <w:rPr>
          <w:lang w:val="en-US"/>
        </w:rPr>
        <w:t>Although the Women, Peace and Security (WPS) agenda has contributed substantially to a framework for preventing and ending impunity for international crimes related to sexual violence, it has focused heavily on the use of sexual violence and especially rape as weapon of war.</w:t>
      </w:r>
      <w:r w:rsidRPr="00AF7530">
        <w:rPr>
          <w:rStyle w:val="FootnoteReference"/>
          <w:lang w:val="en-US"/>
        </w:rPr>
        <w:footnoteReference w:id="4"/>
      </w:r>
      <w:r w:rsidRPr="00AF7530">
        <w:rPr>
          <w:lang w:val="en-US"/>
        </w:rPr>
        <w:t xml:space="preserve"> As a result of the focus on rape as a weapon of war, accountability for victims and survivors has been narrowly interpreted as the international criminal responsibility of perpetrators. U.N. Security Council (UNSC) Resolution 2242, the eighth WPS resolution, acknowledges this accountability deficits to date and urges the Secretary General and other UN entities to address them.</w:t>
      </w:r>
      <w:r w:rsidRPr="00AF7530">
        <w:rPr>
          <w:rStyle w:val="FootnoteReference"/>
          <w:lang w:val="en-US"/>
        </w:rPr>
        <w:footnoteReference w:id="5"/>
      </w:r>
      <w:r w:rsidRPr="00AF7530">
        <w:rPr>
          <w:lang w:val="en-US"/>
        </w:rPr>
        <w:t xml:space="preserve"> In addition to rape and sexual and gender-based violence as a weapons of war, many human rights violations stem from sexual violence and the lack of access to sexual and reproductive health services</w:t>
      </w:r>
      <w:r>
        <w:rPr>
          <w:lang w:val="en-US"/>
        </w:rPr>
        <w:t>: women and girls whose rights have been violated therefore have a right to an effective remedy and to transformative reparations.</w:t>
      </w:r>
    </w:p>
    <w:p w:rsidR="00794181" w:rsidRDefault="00794181" w:rsidP="00794181">
      <w:pPr>
        <w:jc w:val="both"/>
        <w:rPr>
          <w:lang w:val="en-US"/>
        </w:rPr>
      </w:pPr>
      <w:bookmarkStart w:id="2" w:name="_Hlk531078967"/>
      <w:bookmarkEnd w:id="1"/>
      <w:r>
        <w:rPr>
          <w:lang w:val="en-US"/>
        </w:rPr>
        <w:t xml:space="preserve">The Council would be the appropriate forum to ensure that a circle of accountability is created around women and girls in humanitarian settings, enabling their experiences and effective and meaningful participation in all areas that affect them, including the provision of SRH information and services, to inform and improve legislative frameworks and global standards and policies. </w:t>
      </w:r>
    </w:p>
    <w:bookmarkEnd w:id="2"/>
    <w:p w:rsidR="00794181" w:rsidRDefault="00CB1D96">
      <w:pPr>
        <w:rPr>
          <w:lang w:val="en-US"/>
        </w:rPr>
      </w:pPr>
      <w:r>
        <w:rPr>
          <w:lang w:val="en-US"/>
        </w:rPr>
        <w:t xml:space="preserve">Entities providing humanitarian assistance have also integrated human rights principles within their policies. For instance, the Inter-Agency Working Group on Reproductive Health in Crisis (IAWG) released an updated version of its </w:t>
      </w:r>
      <w:hyperlink r:id="rId7" w:history="1">
        <w:r w:rsidRPr="00CB1D96">
          <w:rPr>
            <w:rStyle w:val="Hyperlink"/>
            <w:lang w:val="en-US"/>
          </w:rPr>
          <w:t>Inter-Agency Manual on Reproductive Health in Humanitarian Settings</w:t>
        </w:r>
      </w:hyperlink>
      <w:r>
        <w:rPr>
          <w:lang w:val="en-US"/>
        </w:rPr>
        <w:t xml:space="preserve"> (IAFM), in which human rights accountability is framed as a core principle humanitarian actors should follow to ensure adequate provision of sexual and reproductive health services for women and girls in these settings. </w:t>
      </w:r>
    </w:p>
    <w:p w:rsidR="00CB1D96" w:rsidRPr="003918A8" w:rsidRDefault="00CB1D96" w:rsidP="00CB1D96">
      <w:pPr>
        <w:pStyle w:val="ListParagraph"/>
        <w:numPr>
          <w:ilvl w:val="0"/>
          <w:numId w:val="1"/>
        </w:numPr>
        <w:rPr>
          <w:b/>
          <w:u w:val="single"/>
          <w:lang w:val="en-US"/>
        </w:rPr>
      </w:pPr>
      <w:r w:rsidRPr="003918A8">
        <w:rPr>
          <w:b/>
          <w:u w:val="single"/>
          <w:lang w:val="en-US"/>
        </w:rPr>
        <w:t>Goals of the side-event</w:t>
      </w:r>
    </w:p>
    <w:p w:rsidR="00CB1D96" w:rsidRPr="003918A8" w:rsidRDefault="00CB1D96" w:rsidP="00CB1D96">
      <w:pPr>
        <w:pStyle w:val="ListParagraph"/>
        <w:numPr>
          <w:ilvl w:val="1"/>
          <w:numId w:val="1"/>
        </w:numPr>
        <w:rPr>
          <w:lang w:val="en-US"/>
        </w:rPr>
      </w:pPr>
      <w:r w:rsidRPr="003918A8">
        <w:rPr>
          <w:lang w:val="en-US"/>
        </w:rPr>
        <w:t>To launch the IAFM at the Human Rights Council</w:t>
      </w:r>
    </w:p>
    <w:p w:rsidR="00CB1D96" w:rsidRPr="003918A8" w:rsidRDefault="00CB1D96" w:rsidP="00CB1D96">
      <w:pPr>
        <w:pStyle w:val="ListParagraph"/>
        <w:numPr>
          <w:ilvl w:val="1"/>
          <w:numId w:val="1"/>
        </w:numPr>
        <w:rPr>
          <w:lang w:val="en-US"/>
        </w:rPr>
      </w:pPr>
      <w:r w:rsidRPr="003918A8">
        <w:rPr>
          <w:lang w:val="en-US"/>
        </w:rPr>
        <w:t xml:space="preserve">To unpack the concept of human rights accountability for women and girls in humanitarian settings </w:t>
      </w:r>
    </w:p>
    <w:p w:rsidR="00CB1D96" w:rsidRPr="003918A8" w:rsidRDefault="00CB1D96" w:rsidP="00CB1D96">
      <w:pPr>
        <w:pStyle w:val="ListParagraph"/>
        <w:numPr>
          <w:ilvl w:val="1"/>
          <w:numId w:val="1"/>
        </w:numPr>
        <w:rPr>
          <w:lang w:val="en-US"/>
        </w:rPr>
      </w:pPr>
      <w:r w:rsidRPr="003918A8">
        <w:rPr>
          <w:lang w:val="en-US"/>
        </w:rPr>
        <w:t xml:space="preserve">To make the linkages between the right to an effective remedy under international human rights law and </w:t>
      </w:r>
      <w:r w:rsidR="003918A8" w:rsidRPr="003918A8">
        <w:rPr>
          <w:lang w:val="en-US"/>
        </w:rPr>
        <w:t>the respect, protection and fulfillment of the SRHR of women and girls in humanitarian settings</w:t>
      </w:r>
    </w:p>
    <w:p w:rsidR="003918A8" w:rsidRDefault="003918A8" w:rsidP="00CB1D96">
      <w:pPr>
        <w:pStyle w:val="ListParagraph"/>
        <w:numPr>
          <w:ilvl w:val="1"/>
          <w:numId w:val="1"/>
        </w:numPr>
        <w:rPr>
          <w:lang w:val="en-US"/>
        </w:rPr>
      </w:pPr>
      <w:r w:rsidRPr="003918A8">
        <w:rPr>
          <w:lang w:val="en-US"/>
        </w:rPr>
        <w:t>To discuss the role the Human Rights Council can play in ensuring human rights accountability for women and girls in these settings</w:t>
      </w:r>
    </w:p>
    <w:p w:rsidR="003918A8" w:rsidRDefault="003918A8" w:rsidP="003918A8">
      <w:pPr>
        <w:pStyle w:val="ListParagraph"/>
        <w:ind w:left="1440"/>
        <w:rPr>
          <w:lang w:val="en-US"/>
        </w:rPr>
      </w:pPr>
    </w:p>
    <w:p w:rsidR="003918A8" w:rsidRDefault="003918A8" w:rsidP="003918A8">
      <w:pPr>
        <w:pStyle w:val="ListParagraph"/>
        <w:numPr>
          <w:ilvl w:val="0"/>
          <w:numId w:val="1"/>
        </w:numPr>
        <w:rPr>
          <w:b/>
          <w:u w:val="single"/>
          <w:lang w:val="en-US"/>
        </w:rPr>
      </w:pPr>
      <w:r w:rsidRPr="003918A8">
        <w:rPr>
          <w:b/>
          <w:u w:val="single"/>
          <w:lang w:val="en-US"/>
        </w:rPr>
        <w:t>Suggested panelists</w:t>
      </w:r>
    </w:p>
    <w:p w:rsidR="003918A8" w:rsidRDefault="003918A8" w:rsidP="003918A8">
      <w:pPr>
        <w:pStyle w:val="ListParagraph"/>
        <w:numPr>
          <w:ilvl w:val="1"/>
          <w:numId w:val="1"/>
        </w:numPr>
        <w:rPr>
          <w:b/>
          <w:lang w:val="en-US"/>
        </w:rPr>
      </w:pPr>
      <w:r w:rsidRPr="003918A8">
        <w:rPr>
          <w:b/>
          <w:lang w:val="en-US"/>
        </w:rPr>
        <w:t>Keynote speaker: Ms. Kate Gilmore, Deputy High Commissioner for Human Rights, OHCHR</w:t>
      </w:r>
      <w:r w:rsidR="00176366">
        <w:rPr>
          <w:b/>
          <w:lang w:val="en-US"/>
        </w:rPr>
        <w:t xml:space="preserve"> (TBC)</w:t>
      </w:r>
    </w:p>
    <w:p w:rsidR="003918A8" w:rsidRDefault="003918A8" w:rsidP="003918A8">
      <w:pPr>
        <w:pStyle w:val="ListParagraph"/>
        <w:numPr>
          <w:ilvl w:val="1"/>
          <w:numId w:val="1"/>
        </w:numPr>
        <w:rPr>
          <w:b/>
          <w:lang w:val="en-US"/>
        </w:rPr>
      </w:pPr>
      <w:r>
        <w:rPr>
          <w:b/>
          <w:lang w:val="en-US"/>
        </w:rPr>
        <w:t>WHO Representative (TBC)</w:t>
      </w:r>
    </w:p>
    <w:p w:rsidR="003918A8" w:rsidRDefault="008351B4" w:rsidP="003918A8">
      <w:pPr>
        <w:pStyle w:val="ListParagraph"/>
        <w:numPr>
          <w:ilvl w:val="1"/>
          <w:numId w:val="1"/>
        </w:numPr>
        <w:rPr>
          <w:b/>
          <w:lang w:val="en-US"/>
        </w:rPr>
      </w:pPr>
      <w:r>
        <w:rPr>
          <w:b/>
          <w:lang w:val="en-US"/>
        </w:rPr>
        <w:t xml:space="preserve">Her Excellency Ms. Rosemary </w:t>
      </w:r>
      <w:proofErr w:type="spellStart"/>
      <w:r>
        <w:rPr>
          <w:b/>
          <w:lang w:val="en-US"/>
        </w:rPr>
        <w:t>McKarney</w:t>
      </w:r>
      <w:proofErr w:type="spellEnd"/>
      <w:r>
        <w:rPr>
          <w:b/>
          <w:lang w:val="en-US"/>
        </w:rPr>
        <w:t>, Ambassador to the Permanent Mission of Canada, Geneva and/</w:t>
      </w:r>
      <w:proofErr w:type="spellStart"/>
      <w:r>
        <w:rPr>
          <w:b/>
          <w:lang w:val="en-US"/>
        </w:rPr>
        <w:t>or</w:t>
      </w:r>
      <w:r w:rsidR="003918A8">
        <w:rPr>
          <w:b/>
          <w:lang w:val="en-US"/>
        </w:rPr>
        <w:t>Ms</w:t>
      </w:r>
      <w:proofErr w:type="spellEnd"/>
      <w:r w:rsidR="003918A8">
        <w:rPr>
          <w:b/>
          <w:lang w:val="en-US"/>
        </w:rPr>
        <w:t xml:space="preserve">. Kristen Chenier, Counsellor, Health and Development, Permanent Mission of Canada </w:t>
      </w:r>
    </w:p>
    <w:p w:rsidR="003918A8" w:rsidRDefault="008351B4" w:rsidP="003918A8">
      <w:pPr>
        <w:pStyle w:val="ListParagraph"/>
        <w:numPr>
          <w:ilvl w:val="1"/>
          <w:numId w:val="1"/>
        </w:numPr>
        <w:rPr>
          <w:b/>
          <w:lang w:val="en-US"/>
        </w:rPr>
      </w:pPr>
      <w:r>
        <w:rPr>
          <w:b/>
          <w:lang w:val="en-US"/>
        </w:rPr>
        <w:t xml:space="preserve">Alfred </w:t>
      </w:r>
      <w:proofErr w:type="spellStart"/>
      <w:r>
        <w:rPr>
          <w:b/>
          <w:lang w:val="en-US"/>
        </w:rPr>
        <w:t>Makavore</w:t>
      </w:r>
      <w:proofErr w:type="spellEnd"/>
      <w:r>
        <w:rPr>
          <w:b/>
          <w:lang w:val="en-US"/>
        </w:rPr>
        <w:t xml:space="preserve">, CARE Nigeria </w:t>
      </w:r>
      <w:bookmarkStart w:id="3" w:name="_GoBack"/>
      <w:bookmarkEnd w:id="3"/>
    </w:p>
    <w:p w:rsidR="0057406A" w:rsidRPr="003918A8" w:rsidRDefault="0057406A" w:rsidP="003918A8">
      <w:pPr>
        <w:pStyle w:val="ListParagraph"/>
        <w:numPr>
          <w:ilvl w:val="1"/>
          <w:numId w:val="1"/>
        </w:numPr>
        <w:rPr>
          <w:b/>
          <w:lang w:val="en-US"/>
        </w:rPr>
      </w:pPr>
      <w:r>
        <w:rPr>
          <w:b/>
          <w:lang w:val="en-US"/>
        </w:rPr>
        <w:t xml:space="preserve">Moderation: Paola </w:t>
      </w:r>
      <w:proofErr w:type="spellStart"/>
      <w:r>
        <w:rPr>
          <w:b/>
          <w:lang w:val="en-US"/>
        </w:rPr>
        <w:t>Salwan</w:t>
      </w:r>
      <w:proofErr w:type="spellEnd"/>
      <w:r>
        <w:rPr>
          <w:b/>
          <w:lang w:val="en-US"/>
        </w:rPr>
        <w:t xml:space="preserve"> Daher, Senior Global Advocacy Advisor, Center for Reproductive Rights </w:t>
      </w:r>
    </w:p>
    <w:sectPr w:rsidR="0057406A" w:rsidRPr="003918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181" w:rsidRDefault="00794181" w:rsidP="00794181">
      <w:pPr>
        <w:spacing w:after="0" w:line="240" w:lineRule="auto"/>
      </w:pPr>
      <w:r>
        <w:separator/>
      </w:r>
    </w:p>
  </w:endnote>
  <w:endnote w:type="continuationSeparator" w:id="0">
    <w:p w:rsidR="00794181" w:rsidRDefault="00794181" w:rsidP="007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555504"/>
      <w:docPartObj>
        <w:docPartGallery w:val="Page Numbers (Bottom of Page)"/>
        <w:docPartUnique/>
      </w:docPartObj>
    </w:sdtPr>
    <w:sdtEndPr>
      <w:rPr>
        <w:noProof/>
      </w:rPr>
    </w:sdtEndPr>
    <w:sdtContent>
      <w:p w:rsidR="0057406A" w:rsidRDefault="00574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406A" w:rsidRDefault="0057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181" w:rsidRDefault="00794181" w:rsidP="00794181">
      <w:pPr>
        <w:spacing w:after="0" w:line="240" w:lineRule="auto"/>
      </w:pPr>
      <w:r>
        <w:separator/>
      </w:r>
    </w:p>
  </w:footnote>
  <w:footnote w:type="continuationSeparator" w:id="0">
    <w:p w:rsidR="00794181" w:rsidRDefault="00794181" w:rsidP="00794181">
      <w:pPr>
        <w:spacing w:after="0" w:line="240" w:lineRule="auto"/>
      </w:pPr>
      <w:r>
        <w:continuationSeparator/>
      </w:r>
    </w:p>
  </w:footnote>
  <w:footnote w:id="1">
    <w:p w:rsidR="00794181" w:rsidRPr="00FA4A84" w:rsidRDefault="00794181" w:rsidP="00794181">
      <w:pPr>
        <w:pStyle w:val="FootnoteText"/>
        <w:rPr>
          <w:lang w:val="en-US"/>
        </w:rPr>
      </w:pPr>
      <w:r>
        <w:rPr>
          <w:rStyle w:val="FootnoteReference"/>
        </w:rPr>
        <w:footnoteRef/>
      </w:r>
      <w:r w:rsidRPr="00FA4A84">
        <w:rPr>
          <w:lang w:val="en-US"/>
        </w:rPr>
        <w:t xml:space="preserve"> United Nations Population Fund (UNFPA), State</w:t>
      </w:r>
      <w:r>
        <w:rPr>
          <w:lang w:val="en-US"/>
        </w:rPr>
        <w:t xml:space="preserve"> </w:t>
      </w:r>
      <w:r w:rsidRPr="00FA4A84">
        <w:rPr>
          <w:lang w:val="en-US"/>
        </w:rPr>
        <w:t>of World Population 2015: Shelter from the Storm, A Transformative Agenda for Women and Girls in a Crisis-Prone World [hereinafter UNFPA, State of World Population 2015], available at http://www.unfpa.org/sites/default/files/sowp/downloads/State_of_World_Population_2015_EN.pd</w:t>
      </w:r>
    </w:p>
  </w:footnote>
  <w:footnote w:id="2">
    <w:p w:rsidR="00794181" w:rsidRPr="00FA4A84" w:rsidRDefault="00794181" w:rsidP="00794181">
      <w:pPr>
        <w:pStyle w:val="FootnoteText"/>
        <w:rPr>
          <w:lang w:val="en-US"/>
        </w:rPr>
      </w:pPr>
      <w:r>
        <w:rPr>
          <w:rStyle w:val="FootnoteReference"/>
        </w:rPr>
        <w:footnoteRef/>
      </w:r>
      <w:r w:rsidRPr="00FA4A84">
        <w:rPr>
          <w:lang w:val="en-US"/>
        </w:rPr>
        <w:t xml:space="preserve"> See United Nations High Commissioner for Human Rights (OHCHR), Preventing and Eliminating Child, Early and Forced Marriage, para. 20, U.N. Doc. A/HRC/26/22 (2014); Save the Children, Too Young to Wed: The Growing Problem of Child Marriage Among Syrian Girls in Jordan, 1 (2014), available at http://www.savethechildren.org/atf/cf/%7B9def2ebe-10ae-432c-9bd0-df91d2eba74a%7D/ TOO_</w:t>
      </w:r>
      <w:r>
        <w:rPr>
          <w:lang w:val="en-US"/>
        </w:rPr>
        <w:t xml:space="preserve">YOUNG_TO_WED_REPORT_0714.PDF. </w:t>
      </w:r>
      <w:r w:rsidRPr="00FA4A84">
        <w:rPr>
          <w:lang w:val="en-US"/>
        </w:rPr>
        <w:t>UN Women, Facts and Figures: Peace and Security, available at http://www.unwomen.org/en/what-we-do/peace-and-security/facts-and-figures#notes (last updated October 2015).</w:t>
      </w:r>
    </w:p>
  </w:footnote>
  <w:footnote w:id="3">
    <w:p w:rsidR="00794181" w:rsidRPr="00AC3400" w:rsidRDefault="00794181" w:rsidP="00794181">
      <w:pPr>
        <w:pStyle w:val="FootnoteText"/>
        <w:rPr>
          <w:lang w:val="en-US"/>
        </w:rPr>
      </w:pPr>
      <w:r>
        <w:rPr>
          <w:rStyle w:val="FootnoteReference"/>
        </w:rPr>
        <w:footnoteRef/>
      </w:r>
      <w:r w:rsidRPr="00AC3400">
        <w:rPr>
          <w:lang w:val="en-US"/>
        </w:rPr>
        <w:t xml:space="preserve"> WHO , UNICE F, UNFPA, World Bank Group , and the United Nations P</w:t>
      </w:r>
      <w:r>
        <w:rPr>
          <w:lang w:val="en-US"/>
        </w:rPr>
        <w:t xml:space="preserve">opulation </w:t>
      </w:r>
      <w:r w:rsidRPr="00AC3400">
        <w:rPr>
          <w:lang w:val="en-US"/>
        </w:rPr>
        <w:t>Division, Trends in M</w:t>
      </w:r>
      <w:r>
        <w:rPr>
          <w:lang w:val="en-US"/>
        </w:rPr>
        <w:t xml:space="preserve">aternal </w:t>
      </w:r>
      <w:r w:rsidRPr="00AC3400">
        <w:rPr>
          <w:lang w:val="en-US"/>
        </w:rPr>
        <w:t xml:space="preserve">Mortality: 1990 to 2015, at 15, 26 (2012), </w:t>
      </w:r>
      <w:r w:rsidRPr="00AC3400">
        <w:rPr>
          <w:i/>
          <w:iCs/>
          <w:lang w:val="en-US"/>
        </w:rPr>
        <w:t>available at</w:t>
      </w:r>
      <w:r>
        <w:rPr>
          <w:lang w:val="en-US"/>
        </w:rPr>
        <w:t xml:space="preserve"> </w:t>
      </w:r>
      <w:hyperlink r:id="rId1" w:history="1">
        <w:r w:rsidRPr="00F313EF">
          <w:rPr>
            <w:rStyle w:val="Hyperlink"/>
            <w:lang w:val="en-US"/>
          </w:rPr>
          <w:t>http://apps.who.int/iris/bitstream/10665/194254/1/9789241565141_eng.pdf</w:t>
        </w:r>
      </w:hyperlink>
      <w:r>
        <w:rPr>
          <w:lang w:val="en-US"/>
        </w:rPr>
        <w:t xml:space="preserve"> </w:t>
      </w:r>
    </w:p>
  </w:footnote>
  <w:footnote w:id="4">
    <w:p w:rsidR="00794181" w:rsidRPr="00876582" w:rsidRDefault="00794181" w:rsidP="00794181">
      <w:pPr>
        <w:pStyle w:val="FootnoteText"/>
        <w:rPr>
          <w:lang w:val="en-US"/>
        </w:rPr>
      </w:pPr>
      <w:r>
        <w:rPr>
          <w:rStyle w:val="FootnoteReference"/>
        </w:rPr>
        <w:footnoteRef/>
      </w:r>
      <w:r w:rsidRPr="00876582">
        <w:rPr>
          <w:lang w:val="en-US"/>
        </w:rPr>
        <w:t xml:space="preserve"> </w:t>
      </w:r>
      <w:r w:rsidRPr="00876582">
        <w:rPr>
          <w:i/>
          <w:iCs/>
          <w:lang w:val="en-US"/>
        </w:rPr>
        <w:t xml:space="preserve">See </w:t>
      </w:r>
      <w:r w:rsidRPr="00876582">
        <w:rPr>
          <w:lang w:val="en-US"/>
        </w:rPr>
        <w:t>OHCHR, Rape: Weapon of War (2008),</w:t>
      </w:r>
      <w:r>
        <w:rPr>
          <w:lang w:val="en-US"/>
        </w:rPr>
        <w:t xml:space="preserve"> </w:t>
      </w:r>
      <w:hyperlink r:id="rId2" w:history="1">
        <w:r w:rsidRPr="00965D53">
          <w:rPr>
            <w:rStyle w:val="Hyperlink"/>
            <w:lang w:val="en-US"/>
          </w:rPr>
          <w:t>http://www.ohchr.org/en/newsevents/pages/rapeweaponwar.aspx</w:t>
        </w:r>
      </w:hyperlink>
      <w:r w:rsidRPr="00876582">
        <w:rPr>
          <w:lang w:val="en-US"/>
        </w:rPr>
        <w:t>.</w:t>
      </w:r>
      <w:r>
        <w:rPr>
          <w:lang w:val="en-US"/>
        </w:rPr>
        <w:t xml:space="preserve"> </w:t>
      </w:r>
    </w:p>
  </w:footnote>
  <w:footnote w:id="5">
    <w:p w:rsidR="00794181" w:rsidRPr="00876582" w:rsidRDefault="00794181" w:rsidP="00794181">
      <w:pPr>
        <w:pStyle w:val="FootnoteText"/>
        <w:rPr>
          <w:lang w:val="en-US"/>
        </w:rPr>
      </w:pPr>
      <w:r>
        <w:rPr>
          <w:rStyle w:val="FootnoteReference"/>
        </w:rPr>
        <w:footnoteRef/>
      </w:r>
      <w:r w:rsidRPr="00876582">
        <w:rPr>
          <w:lang w:val="en-US"/>
        </w:rPr>
        <w:t xml:space="preserve"> S.C. Res 2242, preamble, U.N. Doc. </w:t>
      </w:r>
      <w:r w:rsidRPr="00876582">
        <w:rPr>
          <w:i/>
          <w:iCs/>
          <w:lang w:val="en-US"/>
        </w:rPr>
        <w:t>S</w:t>
      </w:r>
      <w:r w:rsidRPr="00876582">
        <w:rPr>
          <w:lang w:val="en-US"/>
        </w:rPr>
        <w:t>/RES/2242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6A" w:rsidRDefault="0057406A">
    <w:pPr>
      <w:pStyle w:val="Header"/>
    </w:pPr>
    <w:r>
      <w:rPr>
        <w:noProof/>
      </w:rPr>
      <w:drawing>
        <wp:inline distT="0" distB="0" distL="0" distR="0">
          <wp:extent cx="1533525" cy="102049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
                    <a:extLst>
                      <a:ext uri="{28A0092B-C50C-407E-A947-70E740481C1C}">
                        <a14:useLocalDpi xmlns:a14="http://schemas.microsoft.com/office/drawing/2010/main" val="0"/>
                      </a:ext>
                    </a:extLst>
                  </a:blip>
                  <a:stretch>
                    <a:fillRect/>
                  </a:stretch>
                </pic:blipFill>
                <pic:spPr>
                  <a:xfrm>
                    <a:off x="0" y="0"/>
                    <a:ext cx="1549710" cy="1031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7CA9"/>
    <w:multiLevelType w:val="hybridMultilevel"/>
    <w:tmpl w:val="566CD3A0"/>
    <w:lvl w:ilvl="0" w:tplc="100C0011">
      <w:start w:val="1"/>
      <w:numFmt w:val="decimal"/>
      <w:lvlText w:val="%1)"/>
      <w:lvlJc w:val="left"/>
      <w:pPr>
        <w:ind w:left="360" w:hanging="360"/>
      </w:pPr>
      <w:rPr>
        <w:rFonts w:hint="default"/>
      </w:rPr>
    </w:lvl>
    <w:lvl w:ilvl="1" w:tplc="100C0019">
      <w:start w:val="1"/>
      <w:numFmt w:val="lowerLetter"/>
      <w:lvlText w:val="%2."/>
      <w:lvlJc w:val="left"/>
      <w:pPr>
        <w:ind w:left="1440" w:hanging="360"/>
      </w:pPr>
    </w:lvl>
    <w:lvl w:ilvl="2" w:tplc="55FC3B40">
      <w:start w:val="1"/>
      <w:numFmt w:val="lowerRoman"/>
      <w:lvlText w:val="%3."/>
      <w:lvlJc w:val="right"/>
      <w:pPr>
        <w:ind w:left="2160" w:hanging="180"/>
      </w:pPr>
      <w:rPr>
        <w:b/>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1"/>
    <w:rsid w:val="00176366"/>
    <w:rsid w:val="003918A8"/>
    <w:rsid w:val="004738C5"/>
    <w:rsid w:val="0057406A"/>
    <w:rsid w:val="00794181"/>
    <w:rsid w:val="008351B4"/>
    <w:rsid w:val="00CB1D96"/>
    <w:rsid w:val="00ED43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585E3"/>
  <w15:chartTrackingRefBased/>
  <w15:docId w15:val="{CC586418-A494-44EF-8077-AB0381CF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4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181"/>
    <w:rPr>
      <w:sz w:val="20"/>
      <w:szCs w:val="20"/>
    </w:rPr>
  </w:style>
  <w:style w:type="character" w:styleId="FootnoteReference">
    <w:name w:val="footnote reference"/>
    <w:basedOn w:val="DefaultParagraphFont"/>
    <w:uiPriority w:val="99"/>
    <w:semiHidden/>
    <w:unhideWhenUsed/>
    <w:rsid w:val="00794181"/>
    <w:rPr>
      <w:vertAlign w:val="superscript"/>
    </w:rPr>
  </w:style>
  <w:style w:type="paragraph" w:styleId="ListParagraph">
    <w:name w:val="List Paragraph"/>
    <w:basedOn w:val="Normal"/>
    <w:uiPriority w:val="34"/>
    <w:qFormat/>
    <w:rsid w:val="00794181"/>
    <w:pPr>
      <w:ind w:left="720"/>
      <w:contextualSpacing/>
    </w:pPr>
  </w:style>
  <w:style w:type="character" w:styleId="Hyperlink">
    <w:name w:val="Hyperlink"/>
    <w:basedOn w:val="DefaultParagraphFont"/>
    <w:uiPriority w:val="99"/>
    <w:unhideWhenUsed/>
    <w:rsid w:val="00794181"/>
    <w:rPr>
      <w:color w:val="0563C1" w:themeColor="hyperlink"/>
      <w:u w:val="single"/>
    </w:rPr>
  </w:style>
  <w:style w:type="character" w:styleId="UnresolvedMention">
    <w:name w:val="Unresolved Mention"/>
    <w:basedOn w:val="DefaultParagraphFont"/>
    <w:uiPriority w:val="99"/>
    <w:semiHidden/>
    <w:unhideWhenUsed/>
    <w:rsid w:val="00CB1D96"/>
    <w:rPr>
      <w:color w:val="605E5C"/>
      <w:shd w:val="clear" w:color="auto" w:fill="E1DFDD"/>
    </w:rPr>
  </w:style>
  <w:style w:type="paragraph" w:styleId="Header">
    <w:name w:val="header"/>
    <w:basedOn w:val="Normal"/>
    <w:link w:val="HeaderChar"/>
    <w:uiPriority w:val="99"/>
    <w:unhideWhenUsed/>
    <w:rsid w:val="005740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06A"/>
  </w:style>
  <w:style w:type="paragraph" w:styleId="Footer">
    <w:name w:val="footer"/>
    <w:basedOn w:val="Normal"/>
    <w:link w:val="FooterChar"/>
    <w:uiPriority w:val="99"/>
    <w:unhideWhenUsed/>
    <w:rsid w:val="005740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awg.net/wp-content/uploads/2018/11/IAFM-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rapeweaponwar.aspx" TargetMode="External"/><Relationship Id="rId1" Type="http://schemas.openxmlformats.org/officeDocument/2006/relationships/hyperlink" Target="http://apps.who.int/iris/bitstream/10665/194254/1/9789241565141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4948</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Daher</dc:creator>
  <cp:keywords/>
  <dc:description/>
  <cp:lastModifiedBy>Paola Daher</cp:lastModifiedBy>
  <cp:revision>2</cp:revision>
  <dcterms:created xsi:type="dcterms:W3CDTF">2019-01-29T14:32:00Z</dcterms:created>
  <dcterms:modified xsi:type="dcterms:W3CDTF">2019-01-29T14:32:00Z</dcterms:modified>
</cp:coreProperties>
</file>