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3C1" w:rsidRPr="00373A55" w:rsidRDefault="00F513C1" w:rsidP="00142BE4">
      <w:pPr>
        <w:pStyle w:val="Heading1"/>
        <w:jc w:val="center"/>
      </w:pPr>
      <w:r w:rsidRPr="00373A55">
        <w:t>Target groups assistance or Univers</w:t>
      </w:r>
      <w:r w:rsidR="00144D78" w:rsidRPr="00373A55">
        <w:t>al coverage: Georgian pathway to reach the SDG</w:t>
      </w:r>
      <w:r w:rsidR="00F84268" w:rsidRPr="00373A55">
        <w:t>s</w:t>
      </w:r>
    </w:p>
    <w:p w:rsidR="00831C0B" w:rsidRPr="00373A55" w:rsidRDefault="00831C0B" w:rsidP="006925EB">
      <w:pPr>
        <w:pStyle w:val="Heading2"/>
        <w:rPr>
          <w:rFonts w:ascii="Arial" w:hAnsi="Arial" w:cs="Arial"/>
          <w:sz w:val="24"/>
          <w:szCs w:val="24"/>
        </w:rPr>
      </w:pPr>
    </w:p>
    <w:p w:rsidR="00831C0B" w:rsidRPr="00373A55" w:rsidRDefault="00142BE4" w:rsidP="006925EB">
      <w:pPr>
        <w:pStyle w:val="Heading2"/>
        <w:rPr>
          <w:rFonts w:ascii="Arial" w:hAnsi="Arial" w:cs="Arial"/>
          <w:sz w:val="24"/>
          <w:szCs w:val="24"/>
        </w:rPr>
      </w:pPr>
      <w:r w:rsidRPr="00373A55">
        <w:rPr>
          <w:rFonts w:ascii="Arial" w:hAnsi="Arial" w:cs="Arial"/>
          <w:sz w:val="24"/>
          <w:szCs w:val="24"/>
        </w:rPr>
        <w:t>Summary</w:t>
      </w:r>
      <w:r w:rsidR="00831C0B" w:rsidRPr="00373A55">
        <w:rPr>
          <w:rFonts w:ascii="Arial" w:hAnsi="Arial" w:cs="Arial"/>
          <w:sz w:val="24"/>
          <w:szCs w:val="24"/>
        </w:rPr>
        <w:t>:</w:t>
      </w:r>
    </w:p>
    <w:p w:rsidR="007E4251" w:rsidRPr="00373A55" w:rsidRDefault="008E708E" w:rsidP="007E1952">
      <w:pPr>
        <w:jc w:val="both"/>
        <w:rPr>
          <w:rFonts w:ascii="Arial" w:hAnsi="Arial" w:cs="Arial"/>
        </w:rPr>
      </w:pPr>
      <w:r w:rsidRPr="00373A55">
        <w:rPr>
          <w:rFonts w:ascii="Arial" w:hAnsi="Arial" w:cs="Arial"/>
        </w:rPr>
        <w:t>Achieving u</w:t>
      </w:r>
      <w:r w:rsidR="001462E9" w:rsidRPr="00373A55">
        <w:rPr>
          <w:rFonts w:ascii="Arial" w:hAnsi="Arial" w:cs="Arial"/>
        </w:rPr>
        <w:t xml:space="preserve">niversal coverage with </w:t>
      </w:r>
      <w:r w:rsidRPr="00373A55">
        <w:rPr>
          <w:rFonts w:ascii="Arial" w:hAnsi="Arial" w:cs="Arial"/>
        </w:rPr>
        <w:t>health</w:t>
      </w:r>
      <w:r w:rsidR="001462E9" w:rsidRPr="00373A55">
        <w:rPr>
          <w:rFonts w:ascii="Arial" w:hAnsi="Arial" w:cs="Arial"/>
        </w:rPr>
        <w:t xml:space="preserve"> services by 2030 is one of the priorities of the UN Sustainable Development Goals (Priority 3.8). From the 1990s, after independence, Georgia has gone through a diverse and interesting way towards achieving universal coverage. A number of reforms were implemented in the healthcare sector: 1995-2003 - introduction of mandatory health insurance (3% + 1%); 2007-2012 - state health insurance through private insurance comp</w:t>
      </w:r>
      <w:r w:rsidR="00316D82" w:rsidRPr="00373A55">
        <w:rPr>
          <w:rFonts w:ascii="Arial" w:hAnsi="Arial" w:cs="Arial"/>
        </w:rPr>
        <w:t>anies for target groups and since</w:t>
      </w:r>
      <w:r w:rsidR="001462E9" w:rsidRPr="00373A55">
        <w:rPr>
          <w:rFonts w:ascii="Arial" w:hAnsi="Arial" w:cs="Arial"/>
        </w:rPr>
        <w:t xml:space="preserve"> 2013 - universal access to </w:t>
      </w:r>
      <w:r w:rsidR="00FA6100" w:rsidRPr="00373A55">
        <w:rPr>
          <w:rFonts w:ascii="Arial" w:hAnsi="Arial" w:cs="Arial"/>
        </w:rPr>
        <w:t>health</w:t>
      </w:r>
      <w:r w:rsidR="001462E9" w:rsidRPr="00373A55">
        <w:rPr>
          <w:rFonts w:ascii="Arial" w:hAnsi="Arial" w:cs="Arial"/>
        </w:rPr>
        <w:t xml:space="preserve"> services. </w:t>
      </w:r>
      <w:r w:rsidR="00FA6100" w:rsidRPr="00373A55">
        <w:rPr>
          <w:rFonts w:ascii="Arial" w:hAnsi="Arial" w:cs="Arial"/>
        </w:rPr>
        <w:t>Comparison of the target</w:t>
      </w:r>
      <w:r w:rsidR="007E4251" w:rsidRPr="00373A55">
        <w:rPr>
          <w:rFonts w:ascii="Arial" w:hAnsi="Arial" w:cs="Arial"/>
        </w:rPr>
        <w:t xml:space="preserve"> population health service and the universal coverage showed that both stages of healthcare financing system</w:t>
      </w:r>
      <w:r w:rsidR="001462E9" w:rsidRPr="00373A55">
        <w:rPr>
          <w:rFonts w:ascii="Arial" w:hAnsi="Arial" w:cs="Arial"/>
        </w:rPr>
        <w:t xml:space="preserve"> are characterized by the </w:t>
      </w:r>
      <w:r w:rsidR="007E4251" w:rsidRPr="00373A55">
        <w:rPr>
          <w:rFonts w:ascii="Arial" w:hAnsi="Arial" w:cs="Arial"/>
        </w:rPr>
        <w:t>high share of out-of-pocket payments on</w:t>
      </w:r>
      <w:r w:rsidR="001462E9" w:rsidRPr="00373A55">
        <w:rPr>
          <w:rFonts w:ascii="Arial" w:hAnsi="Arial" w:cs="Arial"/>
        </w:rPr>
        <w:t xml:space="preserve"> health care services, </w:t>
      </w:r>
      <w:r w:rsidR="007E4251" w:rsidRPr="00373A55">
        <w:rPr>
          <w:rFonts w:ascii="Arial" w:hAnsi="Arial" w:cs="Arial"/>
        </w:rPr>
        <w:t>especially</w:t>
      </w:r>
      <w:r w:rsidR="001462E9" w:rsidRPr="00373A55">
        <w:rPr>
          <w:rFonts w:ascii="Arial" w:hAnsi="Arial" w:cs="Arial"/>
        </w:rPr>
        <w:t xml:space="preserve"> on medications, </w:t>
      </w:r>
      <w:r w:rsidR="007E4251" w:rsidRPr="00373A55">
        <w:rPr>
          <w:rFonts w:ascii="Arial" w:hAnsi="Arial" w:cs="Arial"/>
        </w:rPr>
        <w:t>and thus</w:t>
      </w:r>
      <w:r w:rsidR="00316D82" w:rsidRPr="00373A55">
        <w:rPr>
          <w:rFonts w:ascii="Arial" w:hAnsi="Arial" w:cs="Arial"/>
        </w:rPr>
        <w:t xml:space="preserve"> a</w:t>
      </w:r>
      <w:r w:rsidR="007E4251" w:rsidRPr="00373A55">
        <w:rPr>
          <w:rFonts w:ascii="Arial" w:hAnsi="Arial" w:cs="Arial"/>
        </w:rPr>
        <w:t xml:space="preserve"> gradual increase in state funding for healthcare should be advocated. The need for development of primary health care and preventive services also remains a significant challenge. Introduction of modern systems for quality control and provider </w:t>
      </w:r>
      <w:r w:rsidR="00FA6105" w:rsidRPr="00373A55">
        <w:rPr>
          <w:rFonts w:ascii="Arial" w:hAnsi="Arial" w:cs="Arial"/>
        </w:rPr>
        <w:t>remuneration</w:t>
      </w:r>
      <w:r w:rsidR="007E4251" w:rsidRPr="00373A55">
        <w:rPr>
          <w:rFonts w:ascii="Arial" w:hAnsi="Arial" w:cs="Arial"/>
        </w:rPr>
        <w:t xml:space="preserve"> is crucial for </w:t>
      </w:r>
      <w:r w:rsidR="00316D82" w:rsidRPr="00373A55">
        <w:rPr>
          <w:rFonts w:ascii="Arial" w:hAnsi="Arial" w:cs="Arial"/>
        </w:rPr>
        <w:t xml:space="preserve">the </w:t>
      </w:r>
      <w:r w:rsidR="007E4251" w:rsidRPr="00373A55">
        <w:rPr>
          <w:rFonts w:ascii="Arial" w:hAnsi="Arial" w:cs="Arial"/>
        </w:rPr>
        <w:t xml:space="preserve">financial sustainability of the healthcare system and cost containment. </w:t>
      </w:r>
      <w:r w:rsidR="003240B3" w:rsidRPr="00373A55">
        <w:rPr>
          <w:rFonts w:ascii="Arial" w:hAnsi="Arial" w:cs="Arial"/>
        </w:rPr>
        <w:t>And t</w:t>
      </w:r>
      <w:r w:rsidR="007E4251" w:rsidRPr="00373A55">
        <w:rPr>
          <w:rFonts w:ascii="Arial" w:hAnsi="Arial" w:cs="Arial"/>
        </w:rPr>
        <w:t>he state program providing medicines for chronic diseases should be expanded to reduce the cost of pharmaceuticals.</w:t>
      </w:r>
    </w:p>
    <w:p w:rsidR="00F513C1" w:rsidRPr="00373A55" w:rsidRDefault="003240B3" w:rsidP="006925EB">
      <w:pPr>
        <w:pStyle w:val="Heading2"/>
        <w:rPr>
          <w:rFonts w:ascii="Arial" w:hAnsi="Arial" w:cs="Arial"/>
          <w:sz w:val="24"/>
          <w:szCs w:val="24"/>
        </w:rPr>
      </w:pPr>
      <w:r w:rsidRPr="00373A55">
        <w:rPr>
          <w:rFonts w:ascii="Arial" w:hAnsi="Arial" w:cs="Arial"/>
          <w:sz w:val="24"/>
          <w:szCs w:val="24"/>
        </w:rPr>
        <w:t>Introduction</w:t>
      </w:r>
    </w:p>
    <w:p w:rsidR="003240B3" w:rsidRPr="00373A55" w:rsidRDefault="003240B3" w:rsidP="00F309EA">
      <w:pPr>
        <w:jc w:val="both"/>
        <w:rPr>
          <w:rFonts w:ascii="Arial" w:hAnsi="Arial" w:cs="Arial"/>
        </w:rPr>
      </w:pPr>
      <w:r w:rsidRPr="00373A55">
        <w:rPr>
          <w:rFonts w:ascii="Arial" w:hAnsi="Arial" w:cs="Arial"/>
        </w:rPr>
        <w:t>Universal health coverage implies the ability of all persons to receive high</w:t>
      </w:r>
      <w:r w:rsidR="00316D82" w:rsidRPr="00373A55">
        <w:rPr>
          <w:rFonts w:ascii="Arial" w:hAnsi="Arial" w:cs="Arial"/>
        </w:rPr>
        <w:t>-</w:t>
      </w:r>
      <w:r w:rsidRPr="00373A55">
        <w:rPr>
          <w:rFonts w:ascii="Arial" w:hAnsi="Arial" w:cs="Arial"/>
        </w:rPr>
        <w:t xml:space="preserve">quality medical services with guaranteed financial risk protection. Achieving universal health coverage by 2030 is </w:t>
      </w:r>
      <w:r w:rsidR="00316D82" w:rsidRPr="00373A55">
        <w:rPr>
          <w:rFonts w:ascii="Arial" w:hAnsi="Arial" w:cs="Arial"/>
        </w:rPr>
        <w:t>a</w:t>
      </w:r>
      <w:r w:rsidRPr="00373A55">
        <w:rPr>
          <w:rFonts w:ascii="Arial" w:hAnsi="Arial" w:cs="Arial"/>
        </w:rPr>
        <w:t xml:space="preserve"> priority of the UN sustainable development goals. Universal access to services </w:t>
      </w:r>
      <w:r w:rsidR="00E807E1" w:rsidRPr="00373A55">
        <w:rPr>
          <w:rFonts w:ascii="Arial" w:hAnsi="Arial" w:cs="Arial"/>
        </w:rPr>
        <w:t>creates the opportunity</w:t>
      </w:r>
      <w:r w:rsidRPr="00373A55">
        <w:rPr>
          <w:rFonts w:ascii="Arial" w:hAnsi="Arial" w:cs="Arial"/>
        </w:rPr>
        <w:t xml:space="preserve"> to attain better health and </w:t>
      </w:r>
      <w:r w:rsidR="00E807E1" w:rsidRPr="00373A55">
        <w:rPr>
          <w:rFonts w:ascii="Arial" w:hAnsi="Arial" w:cs="Arial"/>
        </w:rPr>
        <w:t>shield</w:t>
      </w:r>
      <w:r w:rsidRPr="00373A55">
        <w:rPr>
          <w:rFonts w:ascii="Arial" w:hAnsi="Arial" w:cs="Arial"/>
        </w:rPr>
        <w:t xml:space="preserve"> against poverty for hundreds of millions of people, especially for vulnerable groups.</w:t>
      </w:r>
    </w:p>
    <w:p w:rsidR="00E807E1" w:rsidRPr="00373A55" w:rsidRDefault="00E807E1" w:rsidP="0009119A">
      <w:pPr>
        <w:jc w:val="both"/>
        <w:rPr>
          <w:rFonts w:ascii="Arial" w:hAnsi="Arial" w:cs="Arial"/>
        </w:rPr>
      </w:pPr>
      <w:r w:rsidRPr="00373A55">
        <w:rPr>
          <w:rFonts w:ascii="Arial" w:hAnsi="Arial" w:cs="Arial"/>
        </w:rPr>
        <w:t>From the 1990s, after independence, Georgia has gone through a diverse and interesting way towards achieving universal coverage. A number of reforms were implemented in the healthcare sector: 1995-2003 - introduction of mandatory health insurance (3% + 1%); 2007-2012 - state health insurance through private insurance comp</w:t>
      </w:r>
      <w:r w:rsidR="00316D82" w:rsidRPr="00373A55">
        <w:rPr>
          <w:rFonts w:ascii="Arial" w:hAnsi="Arial" w:cs="Arial"/>
        </w:rPr>
        <w:t>anies for target groups and since</w:t>
      </w:r>
      <w:r w:rsidRPr="00373A55">
        <w:rPr>
          <w:rFonts w:ascii="Arial" w:hAnsi="Arial" w:cs="Arial"/>
        </w:rPr>
        <w:t xml:space="preserve"> 2013 - universal access to medical services.</w:t>
      </w:r>
    </w:p>
    <w:p w:rsidR="00E807E1" w:rsidRPr="00373A55" w:rsidRDefault="00E807E1" w:rsidP="0009119A">
      <w:pPr>
        <w:jc w:val="both"/>
        <w:rPr>
          <w:rFonts w:ascii="Arial" w:eastAsia="Times New Roman" w:hAnsi="Arial" w:cs="Arial"/>
          <w:bCs/>
        </w:rPr>
      </w:pPr>
      <w:r w:rsidRPr="00373A55">
        <w:rPr>
          <w:rFonts w:ascii="Arial" w:eastAsia="Times New Roman" w:hAnsi="Arial" w:cs="Arial"/>
          <w:bCs/>
        </w:rPr>
        <w:t xml:space="preserve">This article </w:t>
      </w:r>
      <w:proofErr w:type="spellStart"/>
      <w:r w:rsidR="00316D82" w:rsidRPr="00373A55">
        <w:rPr>
          <w:rFonts w:ascii="Arial" w:eastAsia="Times New Roman" w:hAnsi="Arial" w:cs="Arial"/>
          <w:bCs/>
        </w:rPr>
        <w:t>reviewes</w:t>
      </w:r>
      <w:proofErr w:type="spellEnd"/>
      <w:r w:rsidRPr="00373A55">
        <w:rPr>
          <w:rFonts w:ascii="Arial" w:eastAsia="Times New Roman" w:hAnsi="Arial" w:cs="Arial"/>
          <w:bCs/>
        </w:rPr>
        <w:t xml:space="preserve"> the strengths and weaknesses of the 2007-2012 period reform, which has been replaced by </w:t>
      </w:r>
      <w:r w:rsidR="00316D82" w:rsidRPr="00373A55">
        <w:rPr>
          <w:rFonts w:ascii="Arial" w:eastAsia="Times New Roman" w:hAnsi="Arial" w:cs="Arial"/>
          <w:bCs/>
        </w:rPr>
        <w:t xml:space="preserve">the </w:t>
      </w:r>
      <w:r w:rsidRPr="00373A55">
        <w:rPr>
          <w:rFonts w:ascii="Arial" w:eastAsia="Times New Roman" w:hAnsi="Arial" w:cs="Arial"/>
          <w:bCs/>
        </w:rPr>
        <w:t>new universal healthcare model since February 2013.</w:t>
      </w:r>
    </w:p>
    <w:p w:rsidR="0048423C" w:rsidRPr="00373A55" w:rsidRDefault="0048423C" w:rsidP="0009119A">
      <w:pPr>
        <w:jc w:val="both"/>
        <w:rPr>
          <w:rFonts w:ascii="Arial" w:hAnsi="Arial" w:cs="Arial"/>
        </w:rPr>
      </w:pPr>
    </w:p>
    <w:p w:rsidR="006B1848" w:rsidRPr="00373A55" w:rsidRDefault="00E807E1" w:rsidP="00F513C1">
      <w:pPr>
        <w:jc w:val="both"/>
        <w:rPr>
          <w:rFonts w:ascii="Arial" w:eastAsiaTheme="majorEastAsia" w:hAnsi="Arial" w:cs="Arial"/>
          <w:b/>
          <w:bCs/>
          <w:color w:val="4F81BD" w:themeColor="accent1"/>
          <w:sz w:val="24"/>
          <w:szCs w:val="24"/>
        </w:rPr>
      </w:pPr>
      <w:r w:rsidRPr="00373A55">
        <w:rPr>
          <w:rFonts w:ascii="Arial" w:eastAsiaTheme="majorEastAsia" w:hAnsi="Arial" w:cs="Arial"/>
          <w:b/>
          <w:bCs/>
          <w:color w:val="4F81BD" w:themeColor="accent1"/>
          <w:sz w:val="24"/>
          <w:szCs w:val="24"/>
        </w:rPr>
        <w:t>Methodology used for review</w:t>
      </w:r>
    </w:p>
    <w:p w:rsidR="00E807E1" w:rsidRPr="00373A55" w:rsidRDefault="00E807E1" w:rsidP="00F513C1">
      <w:pPr>
        <w:jc w:val="both"/>
        <w:rPr>
          <w:rFonts w:ascii="Arial" w:eastAsia="Times New Roman" w:hAnsi="Arial" w:cs="Arial"/>
          <w:bCs/>
        </w:rPr>
      </w:pPr>
      <w:r w:rsidRPr="00373A55">
        <w:rPr>
          <w:rFonts w:ascii="Arial" w:eastAsia="Times New Roman" w:hAnsi="Arial" w:cs="Arial"/>
          <w:bCs/>
        </w:rPr>
        <w:t xml:space="preserve">The following parameters have been selected to compare the two phases of health </w:t>
      </w:r>
      <w:r w:rsidR="003B66DD" w:rsidRPr="00373A55">
        <w:rPr>
          <w:rFonts w:ascii="Arial" w:eastAsia="Times New Roman" w:hAnsi="Arial" w:cs="Arial"/>
          <w:bCs/>
        </w:rPr>
        <w:t>financing</w:t>
      </w:r>
      <w:r w:rsidRPr="00373A55">
        <w:rPr>
          <w:rFonts w:ascii="Arial" w:eastAsia="Times New Roman" w:hAnsi="Arial" w:cs="Arial"/>
          <w:bCs/>
        </w:rPr>
        <w:t xml:space="preserve"> reform: health care expenditures, coverage area, service packages, services </w:t>
      </w:r>
      <w:r w:rsidR="003B66DD" w:rsidRPr="00373A55">
        <w:rPr>
          <w:rFonts w:ascii="Arial" w:eastAsia="Times New Roman" w:hAnsi="Arial" w:cs="Arial"/>
          <w:bCs/>
        </w:rPr>
        <w:t>utilization</w:t>
      </w:r>
      <w:r w:rsidRPr="00373A55">
        <w:rPr>
          <w:rFonts w:ascii="Arial" w:eastAsia="Times New Roman" w:hAnsi="Arial" w:cs="Arial"/>
          <w:bCs/>
        </w:rPr>
        <w:t xml:space="preserve"> and </w:t>
      </w:r>
      <w:r w:rsidRPr="00373A55">
        <w:rPr>
          <w:rFonts w:ascii="Arial" w:eastAsia="Times New Roman" w:hAnsi="Arial" w:cs="Arial"/>
          <w:bCs/>
        </w:rPr>
        <w:lastRenderedPageBreak/>
        <w:t xml:space="preserve">medical service satisfaction. The set of indicators </w:t>
      </w:r>
      <w:r w:rsidR="003B66DD" w:rsidRPr="00373A55">
        <w:rPr>
          <w:rFonts w:ascii="Arial" w:eastAsia="Times New Roman" w:hAnsi="Arial" w:cs="Arial"/>
          <w:bCs/>
        </w:rPr>
        <w:t>to m</w:t>
      </w:r>
      <w:r w:rsidR="002336F2" w:rsidRPr="00373A55">
        <w:rPr>
          <w:rFonts w:ascii="Arial" w:eastAsia="Times New Roman" w:hAnsi="Arial" w:cs="Arial"/>
          <w:bCs/>
        </w:rPr>
        <w:t>e</w:t>
      </w:r>
      <w:r w:rsidR="003B66DD" w:rsidRPr="00373A55">
        <w:rPr>
          <w:rFonts w:ascii="Arial" w:eastAsia="Times New Roman" w:hAnsi="Arial" w:cs="Arial"/>
          <w:bCs/>
        </w:rPr>
        <w:t>asure</w:t>
      </w:r>
      <w:r w:rsidRPr="00373A55">
        <w:rPr>
          <w:rFonts w:ascii="Arial" w:eastAsia="Times New Roman" w:hAnsi="Arial" w:cs="Arial"/>
          <w:bCs/>
        </w:rPr>
        <w:t xml:space="preserve"> above parameters has also been defined.</w:t>
      </w:r>
    </w:p>
    <w:p w:rsidR="003B66DD" w:rsidRPr="00373A55" w:rsidRDefault="003B66DD" w:rsidP="00A559D6">
      <w:pPr>
        <w:jc w:val="both"/>
        <w:rPr>
          <w:rFonts w:ascii="Arial" w:eastAsiaTheme="majorEastAsia" w:hAnsi="Arial" w:cs="Arial"/>
          <w:b/>
          <w:bCs/>
          <w:color w:val="4F81BD" w:themeColor="accent1"/>
          <w:sz w:val="24"/>
          <w:szCs w:val="24"/>
        </w:rPr>
      </w:pPr>
      <w:r w:rsidRPr="00373A55">
        <w:rPr>
          <w:rFonts w:ascii="Arial" w:eastAsiaTheme="majorEastAsia" w:hAnsi="Arial" w:cs="Arial"/>
          <w:b/>
          <w:bCs/>
          <w:color w:val="4F81BD" w:themeColor="accent1"/>
          <w:sz w:val="24"/>
          <w:szCs w:val="24"/>
        </w:rPr>
        <w:t>2007-2012 - target group coverage with advanced payment schemes</w:t>
      </w:r>
    </w:p>
    <w:p w:rsidR="003B66DD" w:rsidRPr="00373A55" w:rsidRDefault="003B66DD" w:rsidP="00A559D6">
      <w:pPr>
        <w:jc w:val="both"/>
        <w:rPr>
          <w:rFonts w:ascii="Arial" w:eastAsia="Times New Roman" w:hAnsi="Arial" w:cs="Arial"/>
          <w:bCs/>
        </w:rPr>
      </w:pPr>
      <w:r w:rsidRPr="00373A55">
        <w:rPr>
          <w:rFonts w:ascii="Arial" w:eastAsia="Times New Roman" w:hAnsi="Arial" w:cs="Arial"/>
          <w:bCs/>
        </w:rPr>
        <w:t xml:space="preserve">From 2007 a new wave of health care reform began. The management of state assignments for health insurance for vulnerable (targeted) groups of the population was </w:t>
      </w:r>
      <w:r w:rsidR="002336F2" w:rsidRPr="00373A55">
        <w:rPr>
          <w:rFonts w:ascii="Arial" w:eastAsia="Times New Roman" w:hAnsi="Arial" w:cs="Arial"/>
          <w:bCs/>
        </w:rPr>
        <w:t>transferred</w:t>
      </w:r>
      <w:r w:rsidRPr="00373A55">
        <w:rPr>
          <w:rFonts w:ascii="Arial" w:eastAsia="Times New Roman" w:hAnsi="Arial" w:cs="Arial"/>
          <w:bCs/>
        </w:rPr>
        <w:t xml:space="preserve"> to private insurance companies that became the health service purchasers</w:t>
      </w:r>
      <w:r w:rsidR="00D144EE" w:rsidRPr="00373A55">
        <w:rPr>
          <w:rFonts w:ascii="Arial" w:eastAsia="Times New Roman" w:hAnsi="Arial" w:cs="Arial"/>
          <w:bCs/>
        </w:rPr>
        <w:t xml:space="preserve"> for the</w:t>
      </w:r>
      <w:r w:rsidRPr="00373A55">
        <w:rPr>
          <w:rFonts w:ascii="Arial" w:eastAsia="Times New Roman" w:hAnsi="Arial" w:cs="Arial"/>
          <w:bCs/>
        </w:rPr>
        <w:t>s</w:t>
      </w:r>
      <w:r w:rsidR="00D144EE" w:rsidRPr="00373A55">
        <w:rPr>
          <w:rFonts w:ascii="Arial" w:eastAsia="Times New Roman" w:hAnsi="Arial" w:cs="Arial"/>
          <w:bCs/>
        </w:rPr>
        <w:t>e</w:t>
      </w:r>
      <w:r w:rsidRPr="00373A55">
        <w:rPr>
          <w:rFonts w:ascii="Arial" w:eastAsia="Times New Roman" w:hAnsi="Arial" w:cs="Arial"/>
          <w:bCs/>
        </w:rPr>
        <w:t xml:space="preserve"> group</w:t>
      </w:r>
      <w:r w:rsidR="00D144EE" w:rsidRPr="00373A55">
        <w:rPr>
          <w:rFonts w:ascii="Arial" w:eastAsia="Times New Roman" w:hAnsi="Arial" w:cs="Arial"/>
          <w:bCs/>
        </w:rPr>
        <w:t>s.</w:t>
      </w:r>
      <w:r w:rsidRPr="00373A55">
        <w:rPr>
          <w:rFonts w:ascii="Arial" w:eastAsia="Times New Roman" w:hAnsi="Arial" w:cs="Arial"/>
          <w:bCs/>
        </w:rPr>
        <w:t xml:space="preserve"> The insurance companies introduced so-called "pre-payment" schemes and </w:t>
      </w:r>
      <w:r w:rsidR="00D144EE" w:rsidRPr="00373A55">
        <w:rPr>
          <w:rFonts w:ascii="Arial" w:eastAsia="Times New Roman" w:hAnsi="Arial" w:cs="Arial"/>
          <w:bCs/>
        </w:rPr>
        <w:t>the Social Services A</w:t>
      </w:r>
      <w:r w:rsidRPr="00373A55">
        <w:rPr>
          <w:rFonts w:ascii="Arial" w:eastAsia="Times New Roman" w:hAnsi="Arial" w:cs="Arial"/>
          <w:bCs/>
        </w:rPr>
        <w:t xml:space="preserve">gency (passive purchaser) monthly </w:t>
      </w:r>
      <w:r w:rsidR="00D144EE" w:rsidRPr="00373A55">
        <w:rPr>
          <w:rFonts w:ascii="Arial" w:eastAsia="Times New Roman" w:hAnsi="Arial" w:cs="Arial"/>
          <w:bCs/>
        </w:rPr>
        <w:t>transferred</w:t>
      </w:r>
      <w:r w:rsidRPr="00373A55">
        <w:rPr>
          <w:rFonts w:ascii="Arial" w:eastAsia="Times New Roman" w:hAnsi="Arial" w:cs="Arial"/>
          <w:bCs/>
        </w:rPr>
        <w:t xml:space="preserve"> bonuses in accordance with the number of insured population. </w:t>
      </w:r>
      <w:r w:rsidR="002336F2" w:rsidRPr="00373A55">
        <w:rPr>
          <w:rFonts w:ascii="Arial" w:eastAsia="Times New Roman" w:hAnsi="Arial" w:cs="Arial"/>
          <w:bCs/>
        </w:rPr>
        <w:t>T</w:t>
      </w:r>
      <w:r w:rsidR="002336F2" w:rsidRPr="00373A55">
        <w:rPr>
          <w:rFonts w:ascii="Arial" w:eastAsia="Times New Roman" w:hAnsi="Arial" w:cs="Arial"/>
          <w:bCs/>
        </w:rPr>
        <w:t>he state assignments drawn up by general taxes</w:t>
      </w:r>
      <w:r w:rsidR="002336F2" w:rsidRPr="00373A55">
        <w:rPr>
          <w:rFonts w:ascii="Arial" w:eastAsia="Times New Roman" w:hAnsi="Arial" w:cs="Arial"/>
          <w:bCs/>
        </w:rPr>
        <w:t xml:space="preserve"> were t</w:t>
      </w:r>
      <w:r w:rsidRPr="00373A55">
        <w:rPr>
          <w:rFonts w:ascii="Arial" w:eastAsia="Times New Roman" w:hAnsi="Arial" w:cs="Arial"/>
          <w:bCs/>
        </w:rPr>
        <w:t xml:space="preserve">he source of </w:t>
      </w:r>
      <w:r w:rsidR="00D144EE" w:rsidRPr="00373A55">
        <w:rPr>
          <w:rFonts w:ascii="Arial" w:eastAsia="Times New Roman" w:hAnsi="Arial" w:cs="Arial"/>
          <w:bCs/>
        </w:rPr>
        <w:t xml:space="preserve">bonus </w:t>
      </w:r>
      <w:r w:rsidRPr="00373A55">
        <w:rPr>
          <w:rFonts w:ascii="Arial" w:eastAsia="Times New Roman" w:hAnsi="Arial" w:cs="Arial"/>
          <w:bCs/>
        </w:rPr>
        <w:t>funding</w:t>
      </w:r>
      <w:r w:rsidR="002336F2" w:rsidRPr="00373A55">
        <w:rPr>
          <w:rFonts w:ascii="Arial" w:eastAsia="Times New Roman" w:hAnsi="Arial" w:cs="Arial"/>
          <w:bCs/>
        </w:rPr>
        <w:t>.</w:t>
      </w:r>
    </w:p>
    <w:p w:rsidR="00D144EE" w:rsidRPr="00373A55" w:rsidRDefault="00D144EE" w:rsidP="00F513C1">
      <w:pPr>
        <w:jc w:val="both"/>
        <w:rPr>
          <w:rFonts w:ascii="Arial" w:eastAsiaTheme="majorEastAsia" w:hAnsi="Arial" w:cs="Arial"/>
          <w:b/>
          <w:bCs/>
          <w:color w:val="4F81BD" w:themeColor="accent1"/>
          <w:sz w:val="24"/>
          <w:szCs w:val="24"/>
        </w:rPr>
      </w:pPr>
      <w:r w:rsidRPr="00373A55">
        <w:rPr>
          <w:rFonts w:ascii="Arial" w:eastAsiaTheme="majorEastAsia" w:hAnsi="Arial" w:cs="Arial"/>
          <w:b/>
          <w:bCs/>
          <w:color w:val="4F81BD" w:themeColor="accent1"/>
          <w:sz w:val="24"/>
          <w:szCs w:val="24"/>
        </w:rPr>
        <w:t>2013 - Providing universal access to services</w:t>
      </w:r>
    </w:p>
    <w:p w:rsidR="00D144EE" w:rsidRPr="00373A55" w:rsidRDefault="00D144EE" w:rsidP="00F513C1">
      <w:pPr>
        <w:jc w:val="both"/>
        <w:rPr>
          <w:rFonts w:ascii="Arial" w:eastAsia="Times New Roman" w:hAnsi="Arial" w:cs="Arial"/>
          <w:bCs/>
        </w:rPr>
      </w:pPr>
      <w:r w:rsidRPr="00373A55">
        <w:rPr>
          <w:rFonts w:ascii="Arial" w:eastAsia="Times New Roman" w:hAnsi="Arial" w:cs="Arial"/>
          <w:bCs/>
        </w:rPr>
        <w:t>Since 2013, the state of health policy has changed drastically: provision of health care services to target groups has been replaced by universal coverage. The program is managed by LEPL "Social Service Agency", which was transformed from passive purchaser to</w:t>
      </w:r>
      <w:r w:rsidR="002336F2" w:rsidRPr="00373A55">
        <w:rPr>
          <w:rFonts w:ascii="Arial" w:eastAsia="Times New Roman" w:hAnsi="Arial" w:cs="Arial"/>
          <w:bCs/>
        </w:rPr>
        <w:t xml:space="preserve"> active purchaser. By the essenc</w:t>
      </w:r>
      <w:r w:rsidRPr="00373A55">
        <w:rPr>
          <w:rFonts w:ascii="Arial" w:eastAsia="Times New Roman" w:hAnsi="Arial" w:cs="Arial"/>
          <w:bCs/>
        </w:rPr>
        <w:t>e and management mechanisms</w:t>
      </w:r>
      <w:r w:rsidR="00DF68D2" w:rsidRPr="00373A55">
        <w:rPr>
          <w:rFonts w:ascii="Arial" w:eastAsia="Times New Roman" w:hAnsi="Arial" w:cs="Arial"/>
          <w:bCs/>
        </w:rPr>
        <w:t>,</w:t>
      </w:r>
      <w:r w:rsidRPr="00373A55">
        <w:rPr>
          <w:rFonts w:ascii="Arial" w:eastAsia="Times New Roman" w:hAnsi="Arial" w:cs="Arial"/>
          <w:bCs/>
        </w:rPr>
        <w:t xml:space="preserve"> it is not based on insurance contributions and is similar to so-called "vertical programs" in the country. Financing of rendered services is largely based on the cost of the case. </w:t>
      </w:r>
    </w:p>
    <w:p w:rsidR="00B7740F" w:rsidRPr="00373A55" w:rsidRDefault="00D144EE" w:rsidP="00B7740F">
      <w:pPr>
        <w:pStyle w:val="Heading2"/>
        <w:rPr>
          <w:rFonts w:ascii="Arial" w:hAnsi="Arial" w:cs="Arial"/>
          <w:sz w:val="24"/>
        </w:rPr>
      </w:pPr>
      <w:r w:rsidRPr="00373A55">
        <w:rPr>
          <w:rFonts w:ascii="Arial" w:hAnsi="Arial" w:cs="Arial"/>
          <w:sz w:val="24"/>
        </w:rPr>
        <w:t>Health service expenditure</w:t>
      </w:r>
    </w:p>
    <w:p w:rsidR="00D95887" w:rsidRPr="00373A55" w:rsidRDefault="00D95887" w:rsidP="00A91B2F">
      <w:pPr>
        <w:jc w:val="both"/>
        <w:rPr>
          <w:rFonts w:ascii="Arial" w:eastAsia="Times New Roman" w:hAnsi="Arial" w:cs="Arial"/>
          <w:noProof/>
        </w:rPr>
      </w:pPr>
      <w:r w:rsidRPr="00373A55">
        <w:rPr>
          <w:rFonts w:ascii="Arial" w:eastAsia="Times New Roman" w:hAnsi="Arial" w:cs="Arial"/>
          <w:bCs/>
        </w:rPr>
        <w:t xml:space="preserve">2007-2012 reform aimed at </w:t>
      </w:r>
      <w:r w:rsidR="00DF68D2" w:rsidRPr="00373A55">
        <w:rPr>
          <w:rFonts w:ascii="Arial" w:eastAsia="Times New Roman" w:hAnsi="Arial" w:cs="Arial"/>
          <w:bCs/>
        </w:rPr>
        <w:t xml:space="preserve">the </w:t>
      </w:r>
      <w:r w:rsidRPr="00373A55">
        <w:rPr>
          <w:rFonts w:ascii="Arial" w:eastAsia="Times New Roman" w:hAnsi="Arial" w:cs="Arial"/>
          <w:bCs/>
        </w:rPr>
        <w:t>establishment of pre-payment practices instead of out-of-pocket payments to rationalize private expenditures on health care. Since 2013, the government has laid the foundation of the health policy oriented to the health and well-being of the population and universal coverage by state-funded medical services for all citizens.</w:t>
      </w:r>
    </w:p>
    <w:p w:rsidR="00D95887" w:rsidRPr="00373A55" w:rsidRDefault="00D95887" w:rsidP="00A91B2F">
      <w:pPr>
        <w:jc w:val="both"/>
        <w:rPr>
          <w:rFonts w:ascii="Arial" w:eastAsia="Times New Roman" w:hAnsi="Arial" w:cs="Arial"/>
          <w:noProof/>
        </w:rPr>
      </w:pPr>
      <w:r w:rsidRPr="00373A55">
        <w:rPr>
          <w:rFonts w:ascii="Arial" w:eastAsia="Times New Roman" w:hAnsi="Arial" w:cs="Arial"/>
          <w:noProof/>
        </w:rPr>
        <w:t>From 2007, in parallel with the new wave of reform, the gradual increase of funds for health care in the state budget has begun and still continues. The health budget amounted to 203 million GEL in 2007</w:t>
      </w:r>
      <w:r w:rsidR="00DF68D2" w:rsidRPr="00373A55">
        <w:rPr>
          <w:rFonts w:ascii="Arial" w:eastAsia="Times New Roman" w:hAnsi="Arial" w:cs="Arial"/>
          <w:noProof/>
        </w:rPr>
        <w:t xml:space="preserve"> </w:t>
      </w:r>
      <w:r w:rsidRPr="00373A55">
        <w:rPr>
          <w:rFonts w:ascii="Arial" w:eastAsia="Times New Roman" w:hAnsi="Arial" w:cs="Arial"/>
          <w:noProof/>
        </w:rPr>
        <w:t>and 450 million GEL in 2012 (Figure 1).</w:t>
      </w:r>
    </w:p>
    <w:p w:rsidR="00D95887" w:rsidRPr="00373A55" w:rsidRDefault="00D95887" w:rsidP="00A91B2F">
      <w:pPr>
        <w:jc w:val="both"/>
        <w:rPr>
          <w:rFonts w:ascii="Arial" w:eastAsia="Times New Roman" w:hAnsi="Arial" w:cs="Arial"/>
          <w:u w:color="FF0000"/>
        </w:rPr>
      </w:pPr>
      <w:r w:rsidRPr="00373A55">
        <w:rPr>
          <w:rFonts w:ascii="Arial" w:eastAsia="Times New Roman" w:hAnsi="Arial" w:cs="Arial"/>
          <w:u w:color="FF0000"/>
        </w:rPr>
        <w:t>Since 2013, the declaration of universal well-being policy has been reflected in the unprecedented growth of the state assignments allocated to the health sector (450 million GEL in 2012 – 1135 million GEL in 2018) (Figure 1).</w:t>
      </w:r>
    </w:p>
    <w:p w:rsidR="00D95887" w:rsidRPr="00373A55" w:rsidRDefault="00F74C85" w:rsidP="00A91B2F">
      <w:pPr>
        <w:jc w:val="both"/>
        <w:rPr>
          <w:rFonts w:ascii="Arial" w:eastAsia="Times New Roman" w:hAnsi="Arial" w:cs="Arial"/>
          <w:u w:color="FF0000"/>
        </w:rPr>
      </w:pPr>
      <w:r w:rsidRPr="00373A55">
        <w:rPr>
          <w:rFonts w:ascii="Arial" w:eastAsia="Times New Roman" w:hAnsi="Arial" w:cs="Arial"/>
          <w:u w:color="FF0000"/>
        </w:rPr>
        <w:t>The share of state expenditure in GDP represents t</w:t>
      </w:r>
      <w:r w:rsidR="00D95887" w:rsidRPr="00373A55">
        <w:rPr>
          <w:rFonts w:ascii="Arial" w:eastAsia="Times New Roman" w:hAnsi="Arial" w:cs="Arial"/>
          <w:u w:color="FF0000"/>
        </w:rPr>
        <w:t xml:space="preserve">he best measure of the country's fiscal situation and the </w:t>
      </w:r>
      <w:r w:rsidRPr="00373A55">
        <w:rPr>
          <w:rFonts w:ascii="Arial" w:eastAsia="Times New Roman" w:hAnsi="Arial" w:cs="Arial"/>
          <w:u w:color="FF0000"/>
        </w:rPr>
        <w:t xml:space="preserve">public </w:t>
      </w:r>
      <w:r w:rsidR="00D95887" w:rsidRPr="00373A55">
        <w:rPr>
          <w:rFonts w:ascii="Arial" w:eastAsia="Times New Roman" w:hAnsi="Arial" w:cs="Arial"/>
          <w:u w:color="FF0000"/>
        </w:rPr>
        <w:t>welfare</w:t>
      </w:r>
      <w:r w:rsidRPr="00373A55">
        <w:rPr>
          <w:rFonts w:ascii="Arial" w:eastAsia="Times New Roman" w:hAnsi="Arial" w:cs="Arial"/>
          <w:u w:color="FF0000"/>
        </w:rPr>
        <w:t xml:space="preserve">. </w:t>
      </w:r>
      <w:r w:rsidR="00D95887" w:rsidRPr="00373A55">
        <w:rPr>
          <w:rFonts w:ascii="Arial" w:eastAsia="Times New Roman" w:hAnsi="Arial" w:cs="Arial"/>
          <w:u w:color="FF0000"/>
        </w:rPr>
        <w:t>In 2007-2012, the share</w:t>
      </w:r>
      <w:r w:rsidR="007A4342" w:rsidRPr="00373A55">
        <w:rPr>
          <w:rFonts w:ascii="Arial" w:eastAsia="Times New Roman" w:hAnsi="Arial" w:cs="Arial"/>
          <w:u w:color="FF0000"/>
        </w:rPr>
        <w:t xml:space="preserve"> of</w:t>
      </w:r>
      <w:r w:rsidR="00D95887" w:rsidRPr="00373A55">
        <w:rPr>
          <w:rFonts w:ascii="Arial" w:eastAsia="Times New Roman" w:hAnsi="Arial" w:cs="Arial"/>
          <w:u w:color="FF0000"/>
        </w:rPr>
        <w:t xml:space="preserve"> </w:t>
      </w:r>
      <w:r w:rsidR="007A4342" w:rsidRPr="00373A55">
        <w:rPr>
          <w:rFonts w:ascii="Arial" w:eastAsia="Times New Roman" w:hAnsi="Arial" w:cs="Arial"/>
          <w:u w:color="FF0000"/>
        </w:rPr>
        <w:t>health expenditure in GDP was characterized by fluctuation</w:t>
      </w:r>
      <w:r w:rsidR="00BD2808" w:rsidRPr="00373A55">
        <w:rPr>
          <w:rFonts w:ascii="Arial" w:eastAsia="Times New Roman" w:hAnsi="Arial" w:cs="Arial"/>
          <w:u w:color="FF0000"/>
        </w:rPr>
        <w:t>. However, overall, it did not change</w:t>
      </w:r>
      <w:r w:rsidR="00D95887" w:rsidRPr="00373A55">
        <w:rPr>
          <w:rFonts w:ascii="Arial" w:eastAsia="Times New Roman" w:hAnsi="Arial" w:cs="Arial"/>
          <w:u w:color="FF0000"/>
        </w:rPr>
        <w:t xml:space="preserve"> significantly (</w:t>
      </w:r>
      <w:r w:rsidR="007A4342" w:rsidRPr="00373A55">
        <w:rPr>
          <w:rFonts w:ascii="Arial" w:eastAsia="Times New Roman" w:hAnsi="Arial" w:cs="Arial"/>
          <w:u w:color="FF0000"/>
        </w:rPr>
        <w:t xml:space="preserve">1.2% in 2007 </w:t>
      </w:r>
      <w:r w:rsidR="00D95887" w:rsidRPr="00373A55">
        <w:rPr>
          <w:rFonts w:ascii="Arial" w:eastAsia="Times New Roman" w:hAnsi="Arial" w:cs="Arial"/>
          <w:u w:color="FF0000"/>
        </w:rPr>
        <w:t>and 1.7% in 2012) (</w:t>
      </w:r>
      <w:r w:rsidR="007A4342" w:rsidRPr="00373A55">
        <w:rPr>
          <w:rFonts w:ascii="Arial" w:eastAsia="Times New Roman" w:hAnsi="Arial" w:cs="Arial"/>
          <w:u w:color="FF0000"/>
        </w:rPr>
        <w:t>Figure</w:t>
      </w:r>
      <w:r w:rsidR="00D95887" w:rsidRPr="00373A55">
        <w:rPr>
          <w:rFonts w:ascii="Arial" w:eastAsia="Times New Roman" w:hAnsi="Arial" w:cs="Arial"/>
          <w:u w:color="FF0000"/>
        </w:rPr>
        <w:t xml:space="preserve"> 1).</w:t>
      </w:r>
    </w:p>
    <w:p w:rsidR="007A4342" w:rsidRPr="00373A55" w:rsidRDefault="007A4342" w:rsidP="00A91B2F">
      <w:pPr>
        <w:jc w:val="both"/>
        <w:rPr>
          <w:rFonts w:ascii="Arial" w:eastAsia="Times New Roman" w:hAnsi="Arial" w:cs="Arial"/>
          <w:u w:color="FF0000"/>
        </w:rPr>
      </w:pPr>
      <w:r w:rsidRPr="00373A55">
        <w:rPr>
          <w:rFonts w:ascii="Arial" w:eastAsia="Times New Roman" w:hAnsi="Arial" w:cs="Arial"/>
          <w:u w:color="FF0000"/>
        </w:rPr>
        <w:t xml:space="preserve">In 2013-2018, the share of public expenditure for healthcare in GDP increased from 2% to 3% and the share in </w:t>
      </w:r>
      <w:r w:rsidR="00BD2808" w:rsidRPr="00373A55">
        <w:rPr>
          <w:rFonts w:ascii="Arial" w:eastAsia="Times New Roman" w:hAnsi="Arial" w:cs="Arial"/>
          <w:u w:color="FF0000"/>
        </w:rPr>
        <w:t xml:space="preserve">the </w:t>
      </w:r>
      <w:r w:rsidRPr="00373A55">
        <w:rPr>
          <w:rFonts w:ascii="Arial" w:eastAsia="Times New Roman" w:hAnsi="Arial" w:cs="Arial"/>
          <w:u w:color="FF0000"/>
        </w:rPr>
        <w:t xml:space="preserve">state budget - from 5.3% to 10%, thus </w:t>
      </w:r>
      <w:r w:rsidR="006373AA" w:rsidRPr="00373A55">
        <w:rPr>
          <w:rFonts w:ascii="Arial" w:eastAsia="Times New Roman" w:hAnsi="Arial" w:cs="Arial"/>
          <w:u w:color="FF0000"/>
        </w:rPr>
        <w:t>Georgia got closer to</w:t>
      </w:r>
      <w:r w:rsidRPr="00373A55">
        <w:rPr>
          <w:rFonts w:ascii="Arial" w:eastAsia="Times New Roman" w:hAnsi="Arial" w:cs="Arial"/>
          <w:u w:color="FF0000"/>
        </w:rPr>
        <w:t xml:space="preserve"> European norms (Fig</w:t>
      </w:r>
      <w:r w:rsidR="006373AA" w:rsidRPr="00373A55">
        <w:rPr>
          <w:rFonts w:ascii="Arial" w:eastAsia="Times New Roman" w:hAnsi="Arial" w:cs="Arial"/>
          <w:u w:color="FF0000"/>
        </w:rPr>
        <w:t>ure</w:t>
      </w:r>
      <w:r w:rsidRPr="00373A55">
        <w:rPr>
          <w:rFonts w:ascii="Arial" w:eastAsia="Times New Roman" w:hAnsi="Arial" w:cs="Arial"/>
          <w:u w:color="FF0000"/>
        </w:rPr>
        <w:t xml:space="preserve"> 1).</w:t>
      </w:r>
    </w:p>
    <w:p w:rsidR="00190612" w:rsidRPr="00373A55" w:rsidRDefault="00190612" w:rsidP="00482041">
      <w:pPr>
        <w:spacing w:after="0" w:line="240" w:lineRule="auto"/>
        <w:jc w:val="both"/>
        <w:rPr>
          <w:rFonts w:ascii="Arial" w:eastAsia="Times New Roman" w:hAnsi="Arial" w:cs="Arial"/>
          <w:b/>
          <w:bCs/>
          <w:u w:color="FF0000"/>
        </w:rPr>
      </w:pPr>
    </w:p>
    <w:p w:rsidR="00190612" w:rsidRPr="00373A55" w:rsidRDefault="00190612" w:rsidP="00482041">
      <w:pPr>
        <w:spacing w:after="0" w:line="240" w:lineRule="auto"/>
        <w:jc w:val="both"/>
        <w:rPr>
          <w:rFonts w:ascii="Arial" w:eastAsia="Times New Roman" w:hAnsi="Arial" w:cs="Arial"/>
          <w:b/>
          <w:bCs/>
          <w:u w:color="FF0000"/>
        </w:rPr>
      </w:pPr>
    </w:p>
    <w:p w:rsidR="00190612" w:rsidRPr="00373A55" w:rsidRDefault="00190612" w:rsidP="00482041">
      <w:pPr>
        <w:spacing w:after="0" w:line="240" w:lineRule="auto"/>
        <w:jc w:val="both"/>
        <w:rPr>
          <w:rFonts w:ascii="Arial" w:eastAsia="Times New Roman" w:hAnsi="Arial" w:cs="Arial"/>
          <w:b/>
          <w:bCs/>
          <w:u w:color="FF0000"/>
        </w:rPr>
      </w:pPr>
    </w:p>
    <w:p w:rsidR="00482041" w:rsidRPr="00373A55" w:rsidRDefault="006373AA" w:rsidP="00482041">
      <w:pPr>
        <w:spacing w:after="0" w:line="240" w:lineRule="auto"/>
        <w:jc w:val="both"/>
        <w:rPr>
          <w:rFonts w:ascii="Arial" w:eastAsia="Times New Roman" w:hAnsi="Arial" w:cs="Arial"/>
          <w:b/>
          <w:bCs/>
          <w:u w:color="FF0000"/>
        </w:rPr>
      </w:pPr>
      <w:r w:rsidRPr="00373A55">
        <w:rPr>
          <w:rFonts w:ascii="Arial" w:eastAsia="Times New Roman" w:hAnsi="Arial" w:cs="Arial"/>
          <w:b/>
          <w:bCs/>
          <w:u w:color="FF0000"/>
        </w:rPr>
        <w:lastRenderedPageBreak/>
        <w:t>Figure</w:t>
      </w:r>
      <w:r w:rsidR="00A91B2F" w:rsidRPr="00373A55">
        <w:rPr>
          <w:rFonts w:ascii="Arial" w:eastAsia="Times New Roman" w:hAnsi="Arial" w:cs="Arial"/>
          <w:b/>
          <w:bCs/>
          <w:u w:color="FF0000"/>
        </w:rPr>
        <w:t xml:space="preserve"> 1: </w:t>
      </w:r>
      <w:r w:rsidRPr="00373A55">
        <w:rPr>
          <w:rFonts w:ascii="Arial" w:eastAsia="Times New Roman" w:hAnsi="Arial" w:cs="Arial"/>
          <w:b/>
          <w:bCs/>
          <w:u w:color="FF0000"/>
        </w:rPr>
        <w:t>Trends in state expenditure on health</w:t>
      </w:r>
    </w:p>
    <w:p w:rsidR="00482041" w:rsidRPr="00373A55" w:rsidRDefault="00482041" w:rsidP="00482041">
      <w:pPr>
        <w:spacing w:after="0" w:line="240" w:lineRule="auto"/>
        <w:jc w:val="both"/>
        <w:rPr>
          <w:rFonts w:ascii="Arial" w:eastAsia="Times New Roman" w:hAnsi="Arial" w:cs="Arial"/>
          <w:u w:color="FF0000"/>
        </w:rPr>
      </w:pPr>
      <w:r w:rsidRPr="00373A55">
        <w:rPr>
          <w:rFonts w:ascii="Arial" w:eastAsia="Times New Roman" w:hAnsi="Arial" w:cs="Arial"/>
          <w:noProof/>
          <w:u w:color="FF0000"/>
        </w:rPr>
        <w:drawing>
          <wp:inline distT="0" distB="0" distL="0" distR="0" wp14:anchorId="717BF808" wp14:editId="3BE731A2">
            <wp:extent cx="6020240" cy="2748486"/>
            <wp:effectExtent l="0" t="0" r="19050"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2041" w:rsidRPr="00373A55" w:rsidRDefault="006373AA" w:rsidP="00A91B2F">
      <w:pPr>
        <w:tabs>
          <w:tab w:val="left" w:pos="982"/>
        </w:tabs>
        <w:spacing w:after="0" w:line="240" w:lineRule="auto"/>
        <w:jc w:val="both"/>
        <w:rPr>
          <w:rFonts w:ascii="Arial" w:eastAsia="Times New Roman" w:hAnsi="Arial" w:cs="Arial"/>
          <w:i/>
          <w:sz w:val="18"/>
          <w:u w:color="FF0000"/>
        </w:rPr>
      </w:pPr>
      <w:r w:rsidRPr="00373A55">
        <w:rPr>
          <w:rFonts w:ascii="Arial" w:eastAsia="Times New Roman" w:hAnsi="Arial" w:cs="Arial"/>
          <w:i/>
          <w:sz w:val="18"/>
          <w:u w:color="FF0000"/>
        </w:rPr>
        <w:t xml:space="preserve">Source: Ministry of </w:t>
      </w:r>
      <w:proofErr w:type="spellStart"/>
      <w:r w:rsidRPr="00373A55">
        <w:rPr>
          <w:rFonts w:ascii="Arial" w:eastAsia="Times New Roman" w:hAnsi="Arial" w:cs="Arial"/>
          <w:i/>
          <w:sz w:val="18"/>
          <w:u w:color="FF0000"/>
        </w:rPr>
        <w:t>Labou</w:t>
      </w:r>
      <w:r w:rsidR="00BD2808" w:rsidRPr="00373A55">
        <w:rPr>
          <w:rFonts w:ascii="Arial" w:eastAsia="Times New Roman" w:hAnsi="Arial" w:cs="Arial"/>
          <w:i/>
          <w:sz w:val="18"/>
          <w:u w:color="FF0000"/>
        </w:rPr>
        <w:t>r</w:t>
      </w:r>
      <w:proofErr w:type="spellEnd"/>
      <w:r w:rsidR="00BD2808" w:rsidRPr="00373A55">
        <w:rPr>
          <w:rFonts w:ascii="Arial" w:eastAsia="Times New Roman" w:hAnsi="Arial" w:cs="Arial"/>
          <w:i/>
          <w:sz w:val="18"/>
          <w:u w:color="FF0000"/>
        </w:rPr>
        <w:t>, Health and Social Aff</w:t>
      </w:r>
      <w:r w:rsidRPr="00373A55">
        <w:rPr>
          <w:rFonts w:ascii="Arial" w:eastAsia="Times New Roman" w:hAnsi="Arial" w:cs="Arial"/>
          <w:i/>
          <w:sz w:val="18"/>
          <w:u w:color="FF0000"/>
        </w:rPr>
        <w:t xml:space="preserve">airs, National Health Accounts </w:t>
      </w:r>
    </w:p>
    <w:p w:rsidR="00482041" w:rsidRPr="00373A55" w:rsidRDefault="00482041" w:rsidP="00482041">
      <w:pPr>
        <w:spacing w:after="0" w:line="240" w:lineRule="auto"/>
        <w:jc w:val="both"/>
        <w:rPr>
          <w:rFonts w:ascii="Arial" w:eastAsia="Times New Roman" w:hAnsi="Arial" w:cs="Arial"/>
          <w:u w:color="FF0000"/>
        </w:rPr>
      </w:pPr>
    </w:p>
    <w:p w:rsidR="006373AA" w:rsidRPr="00373A55" w:rsidRDefault="006373AA" w:rsidP="00482041">
      <w:pPr>
        <w:jc w:val="both"/>
        <w:rPr>
          <w:rFonts w:ascii="Arial" w:hAnsi="Arial" w:cs="Arial"/>
          <w:noProof/>
        </w:rPr>
      </w:pPr>
      <w:r w:rsidRPr="00373A55">
        <w:rPr>
          <w:rFonts w:ascii="Arial" w:hAnsi="Arial" w:cs="Arial"/>
          <w:noProof/>
        </w:rPr>
        <w:t>Parallel to the growth in public spending on health care in absolute numbers, its share in</w:t>
      </w:r>
      <w:r w:rsidR="00BD2808" w:rsidRPr="00373A55">
        <w:rPr>
          <w:rFonts w:ascii="Arial" w:hAnsi="Arial" w:cs="Arial"/>
          <w:noProof/>
        </w:rPr>
        <w:t xml:space="preserve"> total expenditure on health</w:t>
      </w:r>
      <w:r w:rsidRPr="00373A55">
        <w:rPr>
          <w:rFonts w:ascii="Arial" w:hAnsi="Arial" w:cs="Arial"/>
          <w:noProof/>
        </w:rPr>
        <w:t xml:space="preserve"> also increased (16% in 2007, 21% in 2012 and 38% in 2017) (Figure 2). However, it is still low compared to other countries in the European region.</w:t>
      </w:r>
    </w:p>
    <w:p w:rsidR="00482041" w:rsidRPr="00373A55" w:rsidRDefault="00157661" w:rsidP="00482041">
      <w:pPr>
        <w:jc w:val="both"/>
        <w:rPr>
          <w:rFonts w:ascii="Arial" w:hAnsi="Arial" w:cs="Arial"/>
          <w:noProof/>
        </w:rPr>
      </w:pPr>
      <w:r w:rsidRPr="00373A55">
        <w:rPr>
          <w:rFonts w:ascii="Arial" w:hAnsi="Arial" w:cs="Arial"/>
          <w:noProof/>
        </w:rPr>
        <w:t>Figure</w:t>
      </w:r>
      <w:r w:rsidR="007F0291" w:rsidRPr="00373A55">
        <w:rPr>
          <w:rFonts w:ascii="Arial" w:hAnsi="Arial" w:cs="Arial"/>
          <w:noProof/>
        </w:rPr>
        <w:t xml:space="preserve"> 2: </w:t>
      </w:r>
      <w:r w:rsidRPr="00373A55">
        <w:rPr>
          <w:rFonts w:ascii="Arial" w:hAnsi="Arial" w:cs="Arial"/>
          <w:noProof/>
        </w:rPr>
        <w:t>The structure of the total health expenditure, Georgia</w:t>
      </w:r>
    </w:p>
    <w:p w:rsidR="00B7740F" w:rsidRPr="00373A55" w:rsidRDefault="00B7740F" w:rsidP="00B7740F">
      <w:pPr>
        <w:spacing w:after="0" w:line="240" w:lineRule="auto"/>
        <w:jc w:val="both"/>
        <w:rPr>
          <w:rFonts w:ascii="Arial" w:eastAsia="Times New Roman" w:hAnsi="Arial" w:cs="Arial"/>
          <w:u w:color="FF0000"/>
        </w:rPr>
      </w:pPr>
      <w:r w:rsidRPr="00373A55">
        <w:rPr>
          <w:rFonts w:ascii="Arial" w:eastAsia="Times New Roman" w:hAnsi="Arial" w:cs="Arial"/>
          <w:noProof/>
          <w:u w:color="FF0000"/>
        </w:rPr>
        <w:drawing>
          <wp:inline distT="0" distB="0" distL="0" distR="0" wp14:anchorId="40A6E07B" wp14:editId="5CFE94D1">
            <wp:extent cx="5940957" cy="2431353"/>
            <wp:effectExtent l="0" t="0" r="2222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740F" w:rsidRPr="00373A55" w:rsidRDefault="00BD2808" w:rsidP="00B7740F">
      <w:pPr>
        <w:spacing w:after="0" w:line="240" w:lineRule="auto"/>
        <w:jc w:val="both"/>
        <w:rPr>
          <w:rFonts w:ascii="Arial" w:eastAsia="Times New Roman" w:hAnsi="Arial" w:cs="Arial"/>
          <w:i/>
          <w:sz w:val="18"/>
          <w:u w:color="FF0000"/>
        </w:rPr>
      </w:pPr>
      <w:r w:rsidRPr="00373A55">
        <w:rPr>
          <w:rFonts w:ascii="Arial" w:eastAsia="Times New Roman" w:hAnsi="Arial" w:cs="Arial"/>
          <w:i/>
          <w:sz w:val="18"/>
          <w:u w:color="FF0000"/>
        </w:rPr>
        <w:t xml:space="preserve">Source: Ministry of </w:t>
      </w:r>
      <w:proofErr w:type="spellStart"/>
      <w:r w:rsidRPr="00373A55">
        <w:rPr>
          <w:rFonts w:ascii="Arial" w:eastAsia="Times New Roman" w:hAnsi="Arial" w:cs="Arial"/>
          <w:i/>
          <w:sz w:val="18"/>
          <w:u w:color="FF0000"/>
        </w:rPr>
        <w:t>Labour</w:t>
      </w:r>
      <w:proofErr w:type="spellEnd"/>
      <w:r w:rsidRPr="00373A55">
        <w:rPr>
          <w:rFonts w:ascii="Arial" w:eastAsia="Times New Roman" w:hAnsi="Arial" w:cs="Arial"/>
          <w:i/>
          <w:sz w:val="18"/>
          <w:u w:color="FF0000"/>
        </w:rPr>
        <w:t>, Health and Social Affairs, National Health Accounts</w:t>
      </w:r>
    </w:p>
    <w:p w:rsidR="00BD2808" w:rsidRPr="00373A55" w:rsidRDefault="00BD2808" w:rsidP="00B7740F">
      <w:pPr>
        <w:spacing w:after="0" w:line="240" w:lineRule="auto"/>
        <w:jc w:val="both"/>
        <w:rPr>
          <w:rFonts w:ascii="Arial" w:eastAsia="Times New Roman" w:hAnsi="Arial" w:cs="Arial"/>
          <w:u w:color="FF0000"/>
        </w:rPr>
      </w:pPr>
    </w:p>
    <w:p w:rsidR="00157661" w:rsidRPr="00373A55" w:rsidRDefault="00157661" w:rsidP="00482041">
      <w:pPr>
        <w:jc w:val="both"/>
        <w:rPr>
          <w:rFonts w:ascii="Arial" w:hAnsi="Arial" w:cs="Arial"/>
          <w:noProof/>
        </w:rPr>
      </w:pPr>
      <w:r w:rsidRPr="00373A55">
        <w:rPr>
          <w:rFonts w:ascii="Arial" w:hAnsi="Arial" w:cs="Arial"/>
          <w:noProof/>
        </w:rPr>
        <w:t>Significant decline in the share of out-of-pocket payments was observed in 2012-2017. This is due to the sharp growth of state funding in the country, increasing access to healthcare services and significant growth of outpatient and inpatient service utilization (Figure 3).</w:t>
      </w:r>
    </w:p>
    <w:p w:rsidR="00B7740F" w:rsidRPr="00373A55" w:rsidRDefault="00B7740F" w:rsidP="00B7740F">
      <w:pPr>
        <w:spacing w:after="0" w:line="240" w:lineRule="auto"/>
        <w:jc w:val="both"/>
        <w:rPr>
          <w:rFonts w:ascii="Arial" w:eastAsia="Times New Roman" w:hAnsi="Arial" w:cs="Arial"/>
          <w:u w:color="FF0000"/>
        </w:rPr>
      </w:pPr>
    </w:p>
    <w:p w:rsidR="00190612" w:rsidRPr="00373A55" w:rsidRDefault="00190612" w:rsidP="00B7740F">
      <w:pPr>
        <w:spacing w:after="0" w:line="240" w:lineRule="auto"/>
        <w:jc w:val="both"/>
        <w:rPr>
          <w:rFonts w:ascii="Arial" w:eastAsia="Times New Roman" w:hAnsi="Arial" w:cs="Arial"/>
          <w:b/>
          <w:bCs/>
          <w:u w:color="FF0000"/>
        </w:rPr>
      </w:pPr>
    </w:p>
    <w:p w:rsidR="00190612" w:rsidRPr="00373A55" w:rsidRDefault="00190612" w:rsidP="00B7740F">
      <w:pPr>
        <w:spacing w:after="0" w:line="240" w:lineRule="auto"/>
        <w:jc w:val="both"/>
        <w:rPr>
          <w:rFonts w:ascii="Arial" w:eastAsia="Times New Roman" w:hAnsi="Arial" w:cs="Arial"/>
          <w:b/>
          <w:bCs/>
          <w:u w:color="FF0000"/>
        </w:rPr>
      </w:pPr>
    </w:p>
    <w:p w:rsidR="00B7740F" w:rsidRPr="00373A55" w:rsidRDefault="00157661" w:rsidP="00B7740F">
      <w:pPr>
        <w:spacing w:after="0" w:line="240" w:lineRule="auto"/>
        <w:jc w:val="both"/>
        <w:rPr>
          <w:rFonts w:ascii="Arial" w:eastAsia="Times New Roman" w:hAnsi="Arial" w:cs="Arial"/>
          <w:u w:color="FF0000"/>
        </w:rPr>
      </w:pPr>
      <w:r w:rsidRPr="00373A55">
        <w:rPr>
          <w:rFonts w:ascii="Arial" w:eastAsia="Times New Roman" w:hAnsi="Arial" w:cs="Arial"/>
          <w:b/>
          <w:bCs/>
          <w:u w:color="FF0000"/>
        </w:rPr>
        <w:lastRenderedPageBreak/>
        <w:t>Figure</w:t>
      </w:r>
      <w:r w:rsidR="007F0291" w:rsidRPr="00373A55">
        <w:rPr>
          <w:rFonts w:ascii="Arial" w:eastAsia="Times New Roman" w:hAnsi="Arial" w:cs="Arial"/>
          <w:b/>
          <w:bCs/>
          <w:u w:color="FF0000"/>
        </w:rPr>
        <w:t xml:space="preserve"> 3: </w:t>
      </w:r>
      <w:r w:rsidRPr="00373A55">
        <w:rPr>
          <w:rFonts w:ascii="Arial" w:eastAsia="Times New Roman" w:hAnsi="Arial" w:cs="Arial"/>
          <w:b/>
          <w:bCs/>
          <w:u w:color="FF0000"/>
        </w:rPr>
        <w:t>share of out-of-pocket expenditure</w:t>
      </w:r>
      <w:r w:rsidR="00B7740F" w:rsidRPr="00373A55">
        <w:rPr>
          <w:rFonts w:ascii="Arial" w:eastAsia="Times New Roman" w:hAnsi="Arial" w:cs="Arial"/>
          <w:b/>
          <w:bCs/>
          <w:u w:color="FF0000"/>
        </w:rPr>
        <w:t xml:space="preserve"> (%) </w:t>
      </w:r>
      <w:r w:rsidRPr="00373A55">
        <w:rPr>
          <w:rFonts w:ascii="Arial" w:eastAsia="Times New Roman" w:hAnsi="Arial" w:cs="Arial"/>
          <w:b/>
          <w:bCs/>
          <w:u w:color="FF0000"/>
        </w:rPr>
        <w:t>in total expenditure on health, Georgia</w:t>
      </w:r>
    </w:p>
    <w:p w:rsidR="00B7740F" w:rsidRPr="00373A55" w:rsidRDefault="00B7740F" w:rsidP="00B7740F">
      <w:pPr>
        <w:spacing w:after="0" w:line="240" w:lineRule="auto"/>
        <w:jc w:val="both"/>
        <w:rPr>
          <w:rFonts w:ascii="Arial" w:eastAsia="Times New Roman" w:hAnsi="Arial" w:cs="Arial"/>
          <w:u w:color="FF0000"/>
        </w:rPr>
      </w:pPr>
      <w:r w:rsidRPr="00373A55">
        <w:rPr>
          <w:rFonts w:ascii="Arial" w:eastAsia="Times New Roman" w:hAnsi="Arial" w:cs="Arial"/>
          <w:noProof/>
          <w:u w:color="FF0000"/>
        </w:rPr>
        <w:drawing>
          <wp:inline distT="0" distB="0" distL="0" distR="0" wp14:anchorId="2D9FF05E" wp14:editId="6BD502D7">
            <wp:extent cx="5943600" cy="2165230"/>
            <wp:effectExtent l="0" t="0" r="19050"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2808" w:rsidRPr="00373A55" w:rsidRDefault="00BD2808" w:rsidP="00BD2808">
      <w:pPr>
        <w:tabs>
          <w:tab w:val="left" w:pos="982"/>
        </w:tabs>
        <w:spacing w:after="0" w:line="240" w:lineRule="auto"/>
        <w:jc w:val="both"/>
        <w:rPr>
          <w:rFonts w:ascii="Arial" w:eastAsia="Times New Roman" w:hAnsi="Arial" w:cs="Arial"/>
          <w:i/>
          <w:sz w:val="18"/>
          <w:u w:color="FF0000"/>
        </w:rPr>
      </w:pPr>
      <w:r w:rsidRPr="00373A55">
        <w:rPr>
          <w:rFonts w:ascii="Arial" w:eastAsia="Times New Roman" w:hAnsi="Arial" w:cs="Arial"/>
          <w:i/>
          <w:sz w:val="18"/>
          <w:u w:color="FF0000"/>
        </w:rPr>
        <w:t xml:space="preserve">Source: Ministry of </w:t>
      </w:r>
      <w:proofErr w:type="spellStart"/>
      <w:r w:rsidRPr="00373A55">
        <w:rPr>
          <w:rFonts w:ascii="Arial" w:eastAsia="Times New Roman" w:hAnsi="Arial" w:cs="Arial"/>
          <w:i/>
          <w:sz w:val="18"/>
          <w:u w:color="FF0000"/>
        </w:rPr>
        <w:t>Labour</w:t>
      </w:r>
      <w:proofErr w:type="spellEnd"/>
      <w:r w:rsidRPr="00373A55">
        <w:rPr>
          <w:rFonts w:ascii="Arial" w:eastAsia="Times New Roman" w:hAnsi="Arial" w:cs="Arial"/>
          <w:i/>
          <w:sz w:val="18"/>
          <w:u w:color="FF0000"/>
        </w:rPr>
        <w:t>, Health and Social Aff</w:t>
      </w:r>
      <w:r w:rsidRPr="00373A55">
        <w:rPr>
          <w:rFonts w:ascii="Arial" w:eastAsia="Times New Roman" w:hAnsi="Arial" w:cs="Arial"/>
          <w:i/>
          <w:sz w:val="18"/>
          <w:u w:color="FF0000"/>
        </w:rPr>
        <w:t xml:space="preserve">airs, National Health Accounts </w:t>
      </w:r>
    </w:p>
    <w:p w:rsidR="00B7740F" w:rsidRPr="00373A55" w:rsidRDefault="00B7740F" w:rsidP="00B7740F">
      <w:pPr>
        <w:spacing w:after="0" w:line="240" w:lineRule="auto"/>
        <w:jc w:val="both"/>
        <w:rPr>
          <w:rFonts w:ascii="Arial" w:eastAsia="Times New Roman" w:hAnsi="Arial" w:cs="Arial"/>
          <w:u w:color="FF0000"/>
        </w:rPr>
      </w:pPr>
    </w:p>
    <w:p w:rsidR="00B7740F" w:rsidRPr="00373A55" w:rsidRDefault="00D3794A" w:rsidP="00B7740F">
      <w:pPr>
        <w:spacing w:after="0" w:line="240" w:lineRule="auto"/>
        <w:jc w:val="both"/>
        <w:rPr>
          <w:rFonts w:ascii="Arial" w:eastAsia="Times New Roman" w:hAnsi="Arial" w:cs="Arial"/>
          <w:u w:color="FF0000"/>
        </w:rPr>
      </w:pPr>
      <w:r w:rsidRPr="00373A55">
        <w:rPr>
          <w:rFonts w:ascii="Arial" w:eastAsia="Times New Roman" w:hAnsi="Arial" w:cs="Arial"/>
          <w:u w:color="FF0000"/>
        </w:rPr>
        <w:t>Compared to hospital services in 2007-2015, the costs of outpatient and preventive services are still low. The main source of expenditure on medicines is out-of-pocket payments (Figure 5).</w:t>
      </w:r>
    </w:p>
    <w:p w:rsidR="00D3794A" w:rsidRPr="00373A55" w:rsidRDefault="00D3794A" w:rsidP="00B7740F">
      <w:pPr>
        <w:spacing w:after="0" w:line="240" w:lineRule="auto"/>
        <w:jc w:val="both"/>
        <w:rPr>
          <w:rFonts w:ascii="Arial" w:eastAsia="Times New Roman" w:hAnsi="Arial" w:cs="Arial"/>
          <w:u w:color="FF0000"/>
        </w:rPr>
      </w:pPr>
    </w:p>
    <w:p w:rsidR="0016396B" w:rsidRPr="00373A55" w:rsidRDefault="00D3794A" w:rsidP="0016396B">
      <w:pPr>
        <w:spacing w:after="0" w:line="240" w:lineRule="auto"/>
        <w:jc w:val="both"/>
        <w:rPr>
          <w:rFonts w:ascii="Arial" w:eastAsia="Times New Roman" w:hAnsi="Arial" w:cs="Arial"/>
          <w:b/>
          <w:u w:color="FF0000"/>
        </w:rPr>
      </w:pPr>
      <w:r w:rsidRPr="00373A55">
        <w:rPr>
          <w:rFonts w:ascii="Arial" w:eastAsia="Times New Roman" w:hAnsi="Arial" w:cs="Arial"/>
          <w:b/>
          <w:u w:color="FF0000"/>
        </w:rPr>
        <w:t>Figure</w:t>
      </w:r>
      <w:r w:rsidR="0016396B" w:rsidRPr="00373A55">
        <w:rPr>
          <w:rFonts w:ascii="Arial" w:eastAsia="Times New Roman" w:hAnsi="Arial" w:cs="Arial"/>
          <w:b/>
          <w:u w:color="FF0000"/>
        </w:rPr>
        <w:t xml:space="preserve"> 5: </w:t>
      </w:r>
      <w:r w:rsidRPr="00373A55">
        <w:rPr>
          <w:rFonts w:ascii="Arial" w:eastAsia="Times New Roman" w:hAnsi="Arial" w:cs="Arial"/>
          <w:b/>
          <w:u w:color="FF0000"/>
        </w:rPr>
        <w:t xml:space="preserve">Distribution of total health expenditure by the service type </w:t>
      </w:r>
    </w:p>
    <w:p w:rsidR="0016396B" w:rsidRPr="00373A55" w:rsidRDefault="0016396B" w:rsidP="0016396B">
      <w:pPr>
        <w:spacing w:after="0" w:line="240" w:lineRule="auto"/>
        <w:jc w:val="both"/>
        <w:rPr>
          <w:rFonts w:ascii="Arial" w:eastAsia="Times New Roman" w:hAnsi="Arial" w:cs="Arial"/>
          <w:b/>
          <w:u w:color="FF0000"/>
        </w:rPr>
      </w:pPr>
      <w:r w:rsidRPr="00373A55">
        <w:rPr>
          <w:rFonts w:ascii="Arial" w:eastAsia="Times New Roman" w:hAnsi="Arial" w:cs="Arial"/>
          <w:b/>
          <w:noProof/>
          <w:u w:color="FF0000"/>
        </w:rPr>
        <w:drawing>
          <wp:inline distT="0" distB="0" distL="0" distR="0" wp14:anchorId="10553B06" wp14:editId="30C60BA7">
            <wp:extent cx="5935672" cy="2568777"/>
            <wp:effectExtent l="0" t="0" r="27305"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373AA" w:rsidRPr="00373A55" w:rsidRDefault="006373AA" w:rsidP="006373AA">
      <w:pPr>
        <w:tabs>
          <w:tab w:val="left" w:pos="982"/>
        </w:tabs>
        <w:spacing w:after="0" w:line="240" w:lineRule="auto"/>
        <w:jc w:val="both"/>
        <w:rPr>
          <w:rFonts w:ascii="Arial" w:eastAsia="Times New Roman" w:hAnsi="Arial" w:cs="Arial"/>
          <w:i/>
          <w:sz w:val="18"/>
          <w:u w:color="FF0000"/>
        </w:rPr>
      </w:pPr>
      <w:r w:rsidRPr="00373A55">
        <w:rPr>
          <w:rFonts w:ascii="Arial" w:eastAsia="Times New Roman" w:hAnsi="Arial" w:cs="Arial"/>
          <w:i/>
          <w:sz w:val="18"/>
          <w:u w:color="FF0000"/>
        </w:rPr>
        <w:t xml:space="preserve">Source: Ministry of </w:t>
      </w:r>
      <w:proofErr w:type="spellStart"/>
      <w:r w:rsidRPr="00373A55">
        <w:rPr>
          <w:rFonts w:ascii="Arial" w:eastAsia="Times New Roman" w:hAnsi="Arial" w:cs="Arial"/>
          <w:i/>
          <w:sz w:val="18"/>
          <w:u w:color="FF0000"/>
        </w:rPr>
        <w:t>Labourr</w:t>
      </w:r>
      <w:proofErr w:type="spellEnd"/>
      <w:r w:rsidRPr="00373A55">
        <w:rPr>
          <w:rFonts w:ascii="Arial" w:eastAsia="Times New Roman" w:hAnsi="Arial" w:cs="Arial"/>
          <w:i/>
          <w:sz w:val="18"/>
          <w:u w:color="FF0000"/>
        </w:rPr>
        <w:t xml:space="preserve">, Health and Social </w:t>
      </w:r>
      <w:proofErr w:type="spellStart"/>
      <w:r w:rsidRPr="00373A55">
        <w:rPr>
          <w:rFonts w:ascii="Arial" w:eastAsia="Times New Roman" w:hAnsi="Arial" w:cs="Arial"/>
          <w:i/>
          <w:sz w:val="18"/>
          <w:u w:color="FF0000"/>
        </w:rPr>
        <w:t>Afffairs</w:t>
      </w:r>
      <w:proofErr w:type="spellEnd"/>
      <w:r w:rsidRPr="00373A55">
        <w:rPr>
          <w:rFonts w:ascii="Arial" w:eastAsia="Times New Roman" w:hAnsi="Arial" w:cs="Arial"/>
          <w:i/>
          <w:sz w:val="18"/>
          <w:u w:color="FF0000"/>
        </w:rPr>
        <w:t xml:space="preserve">, National Health Accounts </w:t>
      </w:r>
    </w:p>
    <w:p w:rsidR="00C11CD5" w:rsidRPr="00373A55" w:rsidRDefault="00D3794A" w:rsidP="006925EB">
      <w:pPr>
        <w:pStyle w:val="Heading2"/>
        <w:rPr>
          <w:rFonts w:ascii="Arial" w:hAnsi="Arial" w:cs="Arial"/>
          <w:sz w:val="24"/>
        </w:rPr>
      </w:pPr>
      <w:r w:rsidRPr="00373A55">
        <w:rPr>
          <w:rFonts w:ascii="Arial" w:hAnsi="Arial" w:cs="Arial"/>
          <w:sz w:val="24"/>
        </w:rPr>
        <w:t>Coverage</w:t>
      </w:r>
      <w:r w:rsidR="00A079D3" w:rsidRPr="00373A55">
        <w:rPr>
          <w:rFonts w:ascii="Arial" w:hAnsi="Arial" w:cs="Arial"/>
          <w:sz w:val="24"/>
        </w:rPr>
        <w:t xml:space="preserve"> area</w:t>
      </w:r>
    </w:p>
    <w:p w:rsidR="00E41252" w:rsidRPr="00373A55" w:rsidRDefault="00190612" w:rsidP="006925EB">
      <w:pPr>
        <w:jc w:val="both"/>
        <w:rPr>
          <w:rFonts w:ascii="Arial" w:eastAsia="Sylfaen" w:hAnsi="Arial" w:cs="Arial"/>
          <w:u w:color="FF0000"/>
        </w:rPr>
      </w:pPr>
      <w:r w:rsidRPr="00373A55">
        <w:rPr>
          <w:rFonts w:ascii="Arial" w:hAnsi="Arial" w:cs="Arial"/>
        </w:rPr>
        <w:t xml:space="preserve">To increase physical access to </w:t>
      </w:r>
      <w:r w:rsidR="00C44290" w:rsidRPr="00373A55">
        <w:rPr>
          <w:rFonts w:ascii="Arial" w:hAnsi="Arial" w:cs="Arial"/>
        </w:rPr>
        <w:t>health</w:t>
      </w:r>
      <w:r w:rsidRPr="00373A55">
        <w:rPr>
          <w:rFonts w:ascii="Arial" w:hAnsi="Arial" w:cs="Arial"/>
        </w:rPr>
        <w:t xml:space="preserve"> care for the vulnerable groups such </w:t>
      </w:r>
      <w:r w:rsidR="00C44290" w:rsidRPr="00373A55">
        <w:rPr>
          <w:rFonts w:ascii="Arial" w:hAnsi="Arial" w:cs="Arial"/>
        </w:rPr>
        <w:t>as population below the poverty</w:t>
      </w:r>
      <w:r w:rsidRPr="00373A55">
        <w:rPr>
          <w:rFonts w:ascii="Arial" w:hAnsi="Arial" w:cs="Arial"/>
        </w:rPr>
        <w:t xml:space="preserve"> line,  “people’s actors”, “people’s artists”</w:t>
      </w:r>
      <w:r w:rsidR="00C44290" w:rsidRPr="00373A55">
        <w:rPr>
          <w:rFonts w:ascii="Arial" w:hAnsi="Arial" w:cs="Arial"/>
        </w:rPr>
        <w:t>,</w:t>
      </w:r>
      <w:r w:rsidRPr="00373A55">
        <w:rPr>
          <w:rFonts w:ascii="Arial" w:hAnsi="Arial" w:cs="Arial"/>
        </w:rPr>
        <w:t xml:space="preserve"> laureates of </w:t>
      </w:r>
      <w:proofErr w:type="spellStart"/>
      <w:r w:rsidRPr="00373A55">
        <w:rPr>
          <w:rFonts w:ascii="Arial" w:hAnsi="Arial" w:cs="Arial"/>
        </w:rPr>
        <w:t>Rustaveli</w:t>
      </w:r>
      <w:proofErr w:type="spellEnd"/>
      <w:r w:rsidRPr="00373A55">
        <w:rPr>
          <w:rFonts w:ascii="Arial" w:hAnsi="Arial" w:cs="Arial"/>
        </w:rPr>
        <w:t xml:space="preserve"> Prize, </w:t>
      </w:r>
      <w:r w:rsidR="00C44290" w:rsidRPr="00373A55">
        <w:rPr>
          <w:rFonts w:ascii="Arial" w:hAnsi="Arial" w:cs="Arial"/>
        </w:rPr>
        <w:t>IDPs in the compact settlements and</w:t>
      </w:r>
      <w:r w:rsidRPr="00373A55">
        <w:rPr>
          <w:rFonts w:ascii="Arial" w:hAnsi="Arial" w:cs="Arial"/>
        </w:rPr>
        <w:t xml:space="preserve"> children without care </w:t>
      </w:r>
      <w:r w:rsidR="00C44290" w:rsidRPr="00373A55">
        <w:rPr>
          <w:rFonts w:ascii="Arial" w:hAnsi="Arial" w:cs="Arial"/>
        </w:rPr>
        <w:t xml:space="preserve">became </w:t>
      </w:r>
      <w:r w:rsidRPr="00373A55">
        <w:rPr>
          <w:rFonts w:ascii="Arial" w:hAnsi="Arial" w:cs="Arial"/>
        </w:rPr>
        <w:t xml:space="preserve">the beneficiaries of the state health insurance program from </w:t>
      </w:r>
      <w:r w:rsidRPr="00373A55">
        <w:rPr>
          <w:rFonts w:ascii="Arial" w:hAnsi="Arial" w:cs="Arial"/>
          <w:highlight w:val="yellow"/>
        </w:rPr>
        <w:t>2007 (Decree N218 of 9 December 2009).</w:t>
      </w:r>
      <w:r w:rsidR="00154823" w:rsidRPr="00373A55">
        <w:rPr>
          <w:rFonts w:ascii="Arial" w:hAnsi="Arial" w:cs="Arial"/>
        </w:rPr>
        <w:t xml:space="preserve"> The second state insurance program</w:t>
      </w:r>
      <w:r w:rsidR="00C44290" w:rsidRPr="00373A55">
        <w:rPr>
          <w:rFonts w:ascii="Arial" w:hAnsi="Arial" w:cs="Arial"/>
        </w:rPr>
        <w:t xml:space="preserve"> was launched in September 2012</w:t>
      </w:r>
      <w:r w:rsidR="00154823" w:rsidRPr="00373A55">
        <w:rPr>
          <w:rFonts w:ascii="Arial" w:hAnsi="Arial" w:cs="Arial"/>
        </w:rPr>
        <w:t xml:space="preserve"> and included children aged 0-5, retirement age population, students, children with disabilities and people with severe disabilities (Resolution N165 of May 7, 2012 of the Government of Georgia). By the end of 2012, state health insurance covered 1.6 million people (Social Service Agency: </w:t>
      </w:r>
      <w:hyperlink r:id="rId12" w:history="1">
        <w:r w:rsidR="00154823" w:rsidRPr="00373A55">
          <w:rPr>
            <w:rStyle w:val="Hyperlink"/>
            <w:rFonts w:ascii="Arial" w:eastAsia="Sylfaen" w:hAnsi="Arial" w:cs="Arial"/>
            <w:u w:color="FF0000"/>
          </w:rPr>
          <w:t>http://ssa.gov.ge/index.php?lang_id=GEO&amp;sec_id=750</w:t>
        </w:r>
      </w:hyperlink>
      <w:r w:rsidR="00762BCB" w:rsidRPr="00373A55">
        <w:rPr>
          <w:rFonts w:ascii="Arial" w:eastAsia="Sylfaen" w:hAnsi="Arial" w:cs="Arial"/>
          <w:u w:color="FF0000"/>
        </w:rPr>
        <w:t>)</w:t>
      </w:r>
      <w:r w:rsidR="00154823" w:rsidRPr="00373A55">
        <w:rPr>
          <w:rFonts w:ascii="Arial" w:eastAsia="Sylfaen" w:hAnsi="Arial" w:cs="Arial"/>
          <w:u w:color="FF0000"/>
        </w:rPr>
        <w:t xml:space="preserve">. </w:t>
      </w:r>
    </w:p>
    <w:p w:rsidR="00D04286" w:rsidRPr="00373A55" w:rsidRDefault="00D04286" w:rsidP="009B2354">
      <w:pPr>
        <w:jc w:val="both"/>
        <w:rPr>
          <w:rFonts w:ascii="Arial" w:hAnsi="Arial" w:cs="Arial"/>
        </w:rPr>
      </w:pPr>
      <w:r w:rsidRPr="00373A55">
        <w:rPr>
          <w:rFonts w:ascii="Arial" w:hAnsi="Arial" w:cs="Arial"/>
        </w:rPr>
        <w:lastRenderedPageBreak/>
        <w:t>In 2007, only 6% of the population was covered by some form of health insurance, and by 2012, every second citizen of Georgia was insured and 75% of insured w</w:t>
      </w:r>
      <w:r w:rsidR="00263E02" w:rsidRPr="00373A55">
        <w:rPr>
          <w:rFonts w:ascii="Arial" w:hAnsi="Arial" w:cs="Arial"/>
        </w:rPr>
        <w:t>ere</w:t>
      </w:r>
      <w:r w:rsidRPr="00373A55">
        <w:rPr>
          <w:rFonts w:ascii="Arial" w:hAnsi="Arial" w:cs="Arial"/>
        </w:rPr>
        <w:t xml:space="preserve"> covered by state insurance programs (Figure 6).</w:t>
      </w:r>
    </w:p>
    <w:p w:rsidR="009B2354" w:rsidRPr="00373A55" w:rsidRDefault="00D04286" w:rsidP="009B2354">
      <w:pPr>
        <w:pStyle w:val="NormalWeb"/>
        <w:spacing w:before="0" w:beforeAutospacing="0" w:after="0" w:afterAutospacing="0"/>
        <w:jc w:val="center"/>
        <w:rPr>
          <w:rFonts w:ascii="Arial" w:hAnsi="Arial" w:cs="Arial"/>
          <w:sz w:val="22"/>
          <w:szCs w:val="22"/>
        </w:rPr>
      </w:pPr>
      <w:r w:rsidRPr="00373A55">
        <w:rPr>
          <w:rFonts w:ascii="Arial" w:eastAsiaTheme="minorEastAsia" w:hAnsi="Arial" w:cs="Arial"/>
          <w:b/>
          <w:bCs/>
          <w:color w:val="000000"/>
          <w:kern w:val="24"/>
          <w:sz w:val="22"/>
          <w:szCs w:val="22"/>
        </w:rPr>
        <w:t>Figure</w:t>
      </w:r>
      <w:r w:rsidR="008344C6" w:rsidRPr="00373A55">
        <w:rPr>
          <w:rFonts w:ascii="Arial" w:eastAsiaTheme="minorEastAsia" w:hAnsi="Arial" w:cs="Arial"/>
          <w:b/>
          <w:bCs/>
          <w:color w:val="000000"/>
          <w:kern w:val="24"/>
          <w:sz w:val="22"/>
          <w:szCs w:val="22"/>
        </w:rPr>
        <w:t xml:space="preserve"> </w:t>
      </w:r>
      <w:r w:rsidR="0016396B" w:rsidRPr="00373A55">
        <w:rPr>
          <w:rFonts w:ascii="Arial" w:eastAsiaTheme="minorEastAsia" w:hAnsi="Arial" w:cs="Arial"/>
          <w:b/>
          <w:bCs/>
          <w:color w:val="000000"/>
          <w:kern w:val="24"/>
          <w:sz w:val="22"/>
          <w:szCs w:val="22"/>
        </w:rPr>
        <w:t>6</w:t>
      </w:r>
      <w:r w:rsidR="008344C6" w:rsidRPr="00373A55">
        <w:rPr>
          <w:rFonts w:ascii="Arial" w:eastAsiaTheme="minorEastAsia" w:hAnsi="Arial" w:cs="Arial"/>
          <w:b/>
          <w:bCs/>
          <w:color w:val="000000"/>
          <w:kern w:val="24"/>
          <w:sz w:val="22"/>
          <w:szCs w:val="22"/>
        </w:rPr>
        <w:t xml:space="preserve">: </w:t>
      </w:r>
      <w:r w:rsidRPr="00373A55">
        <w:rPr>
          <w:rFonts w:ascii="Arial" w:eastAsiaTheme="minorEastAsia" w:hAnsi="Arial" w:cs="Arial"/>
          <w:b/>
          <w:bCs/>
          <w:color w:val="000000"/>
          <w:kern w:val="24"/>
          <w:sz w:val="22"/>
          <w:szCs w:val="22"/>
        </w:rPr>
        <w:t xml:space="preserve">State health insurance program </w:t>
      </w:r>
      <w:r w:rsidR="00644099" w:rsidRPr="00373A55">
        <w:rPr>
          <w:rFonts w:ascii="Arial" w:eastAsiaTheme="minorEastAsia" w:hAnsi="Arial" w:cs="Arial"/>
          <w:b/>
          <w:bCs/>
          <w:color w:val="000000"/>
          <w:kern w:val="24"/>
          <w:sz w:val="22"/>
          <w:szCs w:val="22"/>
        </w:rPr>
        <w:t>beneficia</w:t>
      </w:r>
      <w:r w:rsidRPr="00373A55">
        <w:rPr>
          <w:rFonts w:ascii="Arial" w:eastAsiaTheme="minorEastAsia" w:hAnsi="Arial" w:cs="Arial"/>
          <w:b/>
          <w:bCs/>
          <w:color w:val="000000"/>
          <w:kern w:val="24"/>
          <w:sz w:val="22"/>
          <w:szCs w:val="22"/>
        </w:rPr>
        <w:t xml:space="preserve">ries and </w:t>
      </w:r>
      <w:r w:rsidR="00813C62" w:rsidRPr="00373A55">
        <w:rPr>
          <w:rFonts w:ascii="Arial" w:eastAsiaTheme="minorEastAsia" w:hAnsi="Arial" w:cs="Arial"/>
          <w:b/>
          <w:bCs/>
          <w:color w:val="000000"/>
          <w:kern w:val="24"/>
          <w:sz w:val="22"/>
          <w:szCs w:val="22"/>
        </w:rPr>
        <w:t xml:space="preserve">all </w:t>
      </w:r>
      <w:r w:rsidRPr="00373A55">
        <w:rPr>
          <w:rFonts w:ascii="Arial" w:eastAsiaTheme="minorEastAsia" w:hAnsi="Arial" w:cs="Arial"/>
          <w:b/>
          <w:bCs/>
          <w:color w:val="000000"/>
          <w:kern w:val="24"/>
          <w:sz w:val="22"/>
          <w:szCs w:val="22"/>
        </w:rPr>
        <w:t>owners of health insurance policy as share of the total population of the country</w:t>
      </w:r>
    </w:p>
    <w:p w:rsidR="000E0B58" w:rsidRPr="00373A55" w:rsidRDefault="000E0B58" w:rsidP="000E0B58">
      <w:pPr>
        <w:spacing w:after="0"/>
        <w:rPr>
          <w:rFonts w:ascii="Arial" w:hAnsi="Arial" w:cs="Arial"/>
          <w:color w:val="221E1F"/>
        </w:rPr>
      </w:pPr>
      <w:r w:rsidRPr="00373A55">
        <w:rPr>
          <w:rFonts w:ascii="Arial" w:hAnsi="Arial" w:cs="Arial"/>
          <w:noProof/>
          <w:color w:val="221E1F"/>
        </w:rPr>
        <w:drawing>
          <wp:inline distT="0" distB="0" distL="0" distR="0" wp14:anchorId="7A243B73" wp14:editId="5B099519">
            <wp:extent cx="6038491" cy="2242868"/>
            <wp:effectExtent l="0" t="0" r="19685" b="2413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E0B58" w:rsidRPr="00373A55" w:rsidRDefault="006373AA" w:rsidP="000E0B58">
      <w:pPr>
        <w:spacing w:after="0"/>
        <w:rPr>
          <w:rFonts w:ascii="Arial" w:hAnsi="Arial" w:cs="Arial"/>
          <w:i/>
          <w:noProof/>
          <w:sz w:val="18"/>
          <w:szCs w:val="18"/>
        </w:rPr>
      </w:pPr>
      <w:r w:rsidRPr="00373A55">
        <w:rPr>
          <w:rFonts w:ascii="Arial" w:hAnsi="Arial" w:cs="Arial"/>
          <w:i/>
          <w:noProof/>
          <w:sz w:val="18"/>
          <w:szCs w:val="18"/>
        </w:rPr>
        <w:t>LEPL Social Service Agency/National Bank of Georgia</w:t>
      </w:r>
    </w:p>
    <w:p w:rsidR="009B2354" w:rsidRPr="00373A55" w:rsidRDefault="009B2354" w:rsidP="000E0B58">
      <w:pPr>
        <w:rPr>
          <w:rFonts w:ascii="Arial" w:hAnsi="Arial" w:cs="Arial"/>
          <w:noProof/>
        </w:rPr>
      </w:pPr>
    </w:p>
    <w:p w:rsidR="00A6745F" w:rsidRPr="00373A55" w:rsidRDefault="00813C62" w:rsidP="00A6745F">
      <w:pPr>
        <w:jc w:val="both"/>
        <w:rPr>
          <w:rFonts w:ascii="Arial" w:eastAsia="Sylfaen" w:hAnsi="Arial" w:cs="Arial"/>
        </w:rPr>
      </w:pPr>
      <w:r w:rsidRPr="00373A55">
        <w:rPr>
          <w:rFonts w:ascii="Arial" w:hAnsi="Arial" w:cs="Arial"/>
        </w:rPr>
        <w:t xml:space="preserve">The universal health care program </w:t>
      </w:r>
      <w:proofErr w:type="spellStart"/>
      <w:r w:rsidRPr="00373A55">
        <w:rPr>
          <w:rFonts w:ascii="Arial" w:hAnsi="Arial" w:cs="Arial"/>
        </w:rPr>
        <w:t>beneficieries</w:t>
      </w:r>
      <w:proofErr w:type="spellEnd"/>
      <w:r w:rsidR="00644099" w:rsidRPr="00373A55">
        <w:rPr>
          <w:rFonts w:ascii="Arial" w:hAnsi="Arial" w:cs="Arial"/>
        </w:rPr>
        <w:t xml:space="preserve"> are</w:t>
      </w:r>
      <w:r w:rsidRPr="00373A55">
        <w:rPr>
          <w:rFonts w:ascii="Arial" w:hAnsi="Arial" w:cs="Arial"/>
        </w:rPr>
        <w:t xml:space="preserve"> persons having the document confirming the Georgian citizenship, neutral ID, neutral travel document; also stateless persons with status in Georgia, persons with refugee or humanitarian status and asylum-seekers. </w:t>
      </w:r>
    </w:p>
    <w:p w:rsidR="0016029E" w:rsidRPr="00373A55" w:rsidRDefault="00813C62" w:rsidP="00A53575">
      <w:pPr>
        <w:jc w:val="both"/>
        <w:rPr>
          <w:rFonts w:ascii="Arial" w:hAnsi="Arial" w:cs="Arial"/>
        </w:rPr>
      </w:pPr>
      <w:r w:rsidRPr="00373A55">
        <w:rPr>
          <w:rFonts w:ascii="Arial" w:hAnsi="Arial" w:cs="Arial"/>
        </w:rPr>
        <w:t>In February 2013, the launch of universal health care program initiated universal coverage with healthcare services (29.5% in 2010, 40% in 2</w:t>
      </w:r>
      <w:r w:rsidR="0016029E" w:rsidRPr="00373A55">
        <w:rPr>
          <w:rFonts w:ascii="Arial" w:hAnsi="Arial" w:cs="Arial"/>
        </w:rPr>
        <w:t>012, 100% for 2014 (</w:t>
      </w:r>
      <w:r w:rsidR="00644099" w:rsidRPr="00373A55">
        <w:rPr>
          <w:rFonts w:ascii="Arial" w:hAnsi="Arial" w:cs="Arial"/>
        </w:rPr>
        <w:t>H</w:t>
      </w:r>
      <w:r w:rsidRPr="00373A55">
        <w:rPr>
          <w:rFonts w:ascii="Arial" w:hAnsi="Arial" w:cs="Arial"/>
        </w:rPr>
        <w:t xml:space="preserve">ealth </w:t>
      </w:r>
      <w:r w:rsidR="00644099" w:rsidRPr="00373A55">
        <w:rPr>
          <w:rFonts w:ascii="Arial" w:hAnsi="Arial" w:cs="Arial"/>
        </w:rPr>
        <w:t>Service U</w:t>
      </w:r>
      <w:r w:rsidR="0016029E" w:rsidRPr="00373A55">
        <w:rPr>
          <w:rFonts w:ascii="Arial" w:hAnsi="Arial" w:cs="Arial"/>
        </w:rPr>
        <w:t>tilization</w:t>
      </w:r>
      <w:r w:rsidR="00644099" w:rsidRPr="00373A55">
        <w:rPr>
          <w:rFonts w:ascii="Arial" w:hAnsi="Arial" w:cs="Arial"/>
        </w:rPr>
        <w:t xml:space="preserve"> and E</w:t>
      </w:r>
      <w:r w:rsidRPr="00373A55">
        <w:rPr>
          <w:rFonts w:ascii="Arial" w:hAnsi="Arial" w:cs="Arial"/>
        </w:rPr>
        <w:t xml:space="preserve">xpenditure </w:t>
      </w:r>
      <w:r w:rsidR="00644099" w:rsidRPr="00373A55">
        <w:rPr>
          <w:rFonts w:ascii="Arial" w:hAnsi="Arial" w:cs="Arial"/>
        </w:rPr>
        <w:t>S</w:t>
      </w:r>
      <w:r w:rsidR="0016029E" w:rsidRPr="00373A55">
        <w:rPr>
          <w:rFonts w:ascii="Arial" w:hAnsi="Arial" w:cs="Arial"/>
        </w:rPr>
        <w:t xml:space="preserve">urvey </w:t>
      </w:r>
      <w:r w:rsidRPr="00373A55">
        <w:rPr>
          <w:rFonts w:ascii="Arial" w:hAnsi="Arial" w:cs="Arial"/>
        </w:rPr>
        <w:t>2014).</w:t>
      </w:r>
      <w:r w:rsidR="0016029E" w:rsidRPr="00373A55">
        <w:rPr>
          <w:rFonts w:ascii="Arial" w:hAnsi="Arial" w:cs="Arial"/>
        </w:rPr>
        <w:t xml:space="preserve"> </w:t>
      </w:r>
    </w:p>
    <w:p w:rsidR="00B00845" w:rsidRPr="00373A55" w:rsidRDefault="00B00845" w:rsidP="00A53575">
      <w:pPr>
        <w:jc w:val="both"/>
        <w:rPr>
          <w:rFonts w:ascii="Arial" w:hAnsi="Arial" w:cs="Arial"/>
        </w:rPr>
      </w:pPr>
      <w:r w:rsidRPr="00373A55">
        <w:rPr>
          <w:rFonts w:ascii="Arial" w:hAnsi="Arial" w:cs="Arial"/>
        </w:rPr>
        <w:t>Since May 2017, the new wave of universal health care reform has created an opportunity for the population with an annual income of 40000 GEL and more (in total 42,000 people) not to be covered either by state or private insurance schemes.</w:t>
      </w:r>
    </w:p>
    <w:p w:rsidR="00930282" w:rsidRPr="00373A55" w:rsidRDefault="00930282" w:rsidP="00A53575">
      <w:pPr>
        <w:jc w:val="both"/>
        <w:rPr>
          <w:rFonts w:ascii="Arial" w:hAnsi="Arial" w:cs="Arial"/>
        </w:rPr>
      </w:pPr>
      <w:r w:rsidRPr="00373A55">
        <w:rPr>
          <w:rFonts w:ascii="Arial" w:hAnsi="Arial" w:cs="Arial"/>
        </w:rPr>
        <w:t xml:space="preserve">According to LEPL "Georgian Insurance Surveillance Service, by the end of 2018, 5.5% of the population </w:t>
      </w:r>
      <w:r w:rsidR="00644099" w:rsidRPr="00373A55">
        <w:rPr>
          <w:rFonts w:ascii="Arial" w:hAnsi="Arial" w:cs="Arial"/>
        </w:rPr>
        <w:t>was covered by corporate/</w:t>
      </w:r>
      <w:r w:rsidRPr="00373A55">
        <w:rPr>
          <w:rFonts w:ascii="Arial" w:hAnsi="Arial" w:cs="Arial"/>
        </w:rPr>
        <w:t xml:space="preserve">individual schemes only, 6.1% </w:t>
      </w:r>
      <w:r w:rsidR="00263E02" w:rsidRPr="00373A55">
        <w:rPr>
          <w:rFonts w:ascii="Arial" w:hAnsi="Arial" w:cs="Arial"/>
        </w:rPr>
        <w:t xml:space="preserve">- </w:t>
      </w:r>
      <w:r w:rsidRPr="00373A55">
        <w:rPr>
          <w:rFonts w:ascii="Arial" w:hAnsi="Arial" w:cs="Arial"/>
        </w:rPr>
        <w:t xml:space="preserve">have state-budget insurance, the rest of the population </w:t>
      </w:r>
      <w:r w:rsidR="00263E02" w:rsidRPr="00373A55">
        <w:rPr>
          <w:rFonts w:ascii="Arial" w:hAnsi="Arial" w:cs="Arial"/>
        </w:rPr>
        <w:t>was</w:t>
      </w:r>
      <w:r w:rsidRPr="00373A55">
        <w:rPr>
          <w:rFonts w:ascii="Arial" w:hAnsi="Arial" w:cs="Arial"/>
        </w:rPr>
        <w:t xml:space="preserve"> the beneficiary of the universal health care program, and only 0.4% of the population </w:t>
      </w:r>
      <w:r w:rsidR="00263E02" w:rsidRPr="00373A55">
        <w:rPr>
          <w:rFonts w:ascii="Arial" w:hAnsi="Arial" w:cs="Arial"/>
        </w:rPr>
        <w:t>was</w:t>
      </w:r>
      <w:r w:rsidRPr="00373A55">
        <w:rPr>
          <w:rFonts w:ascii="Arial" w:hAnsi="Arial" w:cs="Arial"/>
        </w:rPr>
        <w:t xml:space="preserve"> not covered by either public or private s</w:t>
      </w:r>
      <w:r w:rsidR="00373A55" w:rsidRPr="00373A55">
        <w:rPr>
          <w:rFonts w:ascii="Arial" w:hAnsi="Arial" w:cs="Arial"/>
        </w:rPr>
        <w:t>ch</w:t>
      </w:r>
      <w:r w:rsidRPr="00373A55">
        <w:rPr>
          <w:rFonts w:ascii="Arial" w:hAnsi="Arial" w:cs="Arial"/>
        </w:rPr>
        <w:t>eme.</w:t>
      </w:r>
    </w:p>
    <w:p w:rsidR="006B1304" w:rsidRPr="00373A55" w:rsidRDefault="006B1304" w:rsidP="00A53575">
      <w:pPr>
        <w:jc w:val="both"/>
        <w:rPr>
          <w:rFonts w:ascii="Arial" w:hAnsi="Arial" w:cs="Arial"/>
        </w:rPr>
      </w:pPr>
    </w:p>
    <w:p w:rsidR="00C11CD5" w:rsidRPr="00373A55" w:rsidRDefault="00930282" w:rsidP="006925EB">
      <w:pPr>
        <w:pStyle w:val="Heading2"/>
        <w:rPr>
          <w:rFonts w:ascii="Arial" w:hAnsi="Arial" w:cs="Arial"/>
          <w:sz w:val="24"/>
        </w:rPr>
      </w:pPr>
      <w:r w:rsidRPr="00373A55">
        <w:rPr>
          <w:rFonts w:ascii="Arial" w:hAnsi="Arial" w:cs="Arial"/>
          <w:sz w:val="24"/>
        </w:rPr>
        <w:t>Service package</w:t>
      </w:r>
      <w:r w:rsidR="00C11CD5" w:rsidRPr="00373A55">
        <w:rPr>
          <w:rFonts w:ascii="Arial" w:hAnsi="Arial" w:cs="Arial"/>
          <w:sz w:val="24"/>
        </w:rPr>
        <w:t>: BBP</w:t>
      </w:r>
    </w:p>
    <w:p w:rsidR="002B50EB" w:rsidRPr="00373A55" w:rsidRDefault="002B50EB" w:rsidP="00D47E55">
      <w:pPr>
        <w:jc w:val="both"/>
        <w:rPr>
          <w:rFonts w:ascii="Arial" w:hAnsi="Arial" w:cs="Arial"/>
        </w:rPr>
      </w:pPr>
      <w:r w:rsidRPr="00373A55">
        <w:rPr>
          <w:rFonts w:ascii="Arial" w:hAnsi="Arial" w:cs="Arial"/>
        </w:rPr>
        <w:t xml:space="preserve">The state health insurance program for the vulnerable groups launched in </w:t>
      </w:r>
      <w:r w:rsidRPr="00373A55">
        <w:rPr>
          <w:rFonts w:ascii="Arial" w:hAnsi="Arial" w:cs="Arial"/>
          <w:highlight w:val="yellow"/>
        </w:rPr>
        <w:t>2007 (the Government decree 218,  2009)</w:t>
      </w:r>
      <w:r w:rsidRPr="00373A55">
        <w:rPr>
          <w:rFonts w:ascii="Arial" w:hAnsi="Arial" w:cs="Arial"/>
        </w:rPr>
        <w:t xml:space="preserve"> and the state health insurance program that started in 2012 (the  Government decree N165, 2012) for children aged 0-5, </w:t>
      </w:r>
      <w:r w:rsidR="00263E02" w:rsidRPr="00373A55">
        <w:rPr>
          <w:rFonts w:ascii="Arial" w:hAnsi="Arial" w:cs="Arial"/>
        </w:rPr>
        <w:t>retirement</w:t>
      </w:r>
      <w:r w:rsidRPr="00373A55">
        <w:rPr>
          <w:rFonts w:ascii="Arial" w:hAnsi="Arial" w:cs="Arial"/>
        </w:rPr>
        <w:t xml:space="preserve"> age population, children with disabilities and people with severe disabilities offered </w:t>
      </w:r>
      <w:r w:rsidR="00263E02" w:rsidRPr="00373A55">
        <w:rPr>
          <w:rFonts w:ascii="Arial" w:hAnsi="Arial" w:cs="Arial"/>
        </w:rPr>
        <w:t>quite extensive service</w:t>
      </w:r>
      <w:r w:rsidRPr="00373A55">
        <w:rPr>
          <w:rFonts w:ascii="Arial" w:hAnsi="Arial" w:cs="Arial"/>
        </w:rPr>
        <w:t xml:space="preserve"> package including the planned </w:t>
      </w:r>
      <w:r w:rsidRPr="00373A55">
        <w:rPr>
          <w:rFonts w:ascii="Arial" w:hAnsi="Arial" w:cs="Arial"/>
        </w:rPr>
        <w:lastRenderedPageBreak/>
        <w:t>outpatient, emergency  outpatient and inpatient services, planned surgery, childbirth and caesarean section, and also basic medicines.</w:t>
      </w:r>
    </w:p>
    <w:p w:rsidR="002B50EB" w:rsidRPr="00373A55" w:rsidRDefault="002B50EB" w:rsidP="00D47E55">
      <w:pPr>
        <w:jc w:val="both"/>
        <w:rPr>
          <w:rFonts w:ascii="Arial" w:hAnsi="Arial" w:cs="Arial"/>
        </w:rPr>
      </w:pPr>
      <w:r w:rsidRPr="00373A55">
        <w:rPr>
          <w:rFonts w:ascii="Arial" w:hAnsi="Arial" w:cs="Arial"/>
        </w:rPr>
        <w:t xml:space="preserve">The first phase of the universal healthcare program </w:t>
      </w:r>
      <w:r w:rsidR="00DB6678" w:rsidRPr="00373A55">
        <w:rPr>
          <w:rFonts w:ascii="Arial" w:hAnsi="Arial" w:cs="Arial"/>
        </w:rPr>
        <w:t>that began in</w:t>
      </w:r>
      <w:r w:rsidRPr="00373A55">
        <w:rPr>
          <w:rFonts w:ascii="Arial" w:hAnsi="Arial" w:cs="Arial"/>
        </w:rPr>
        <w:t xml:space="preserve"> 2013 implied covering of </w:t>
      </w:r>
      <w:r w:rsidR="00DB6678" w:rsidRPr="00373A55">
        <w:rPr>
          <w:rFonts w:ascii="Arial" w:hAnsi="Arial" w:cs="Arial"/>
        </w:rPr>
        <w:t xml:space="preserve">the uninsured </w:t>
      </w:r>
      <w:r w:rsidRPr="00373A55">
        <w:rPr>
          <w:rFonts w:ascii="Arial" w:hAnsi="Arial" w:cs="Arial"/>
        </w:rPr>
        <w:t xml:space="preserve">population with </w:t>
      </w:r>
      <w:r w:rsidR="00DB6678" w:rsidRPr="00373A55">
        <w:rPr>
          <w:rFonts w:ascii="Arial" w:hAnsi="Arial" w:cs="Arial"/>
        </w:rPr>
        <w:t xml:space="preserve">a </w:t>
      </w:r>
      <w:r w:rsidRPr="00373A55">
        <w:rPr>
          <w:rFonts w:ascii="Arial" w:hAnsi="Arial" w:cs="Arial"/>
        </w:rPr>
        <w:t xml:space="preserve">minimal package. The second phase </w:t>
      </w:r>
      <w:r w:rsidR="00DB6678" w:rsidRPr="00373A55">
        <w:rPr>
          <w:rFonts w:ascii="Arial" w:hAnsi="Arial" w:cs="Arial"/>
        </w:rPr>
        <w:t>of universal healthcare program</w:t>
      </w:r>
      <w:r w:rsidRPr="00373A55">
        <w:rPr>
          <w:rFonts w:ascii="Arial" w:hAnsi="Arial" w:cs="Arial"/>
        </w:rPr>
        <w:t xml:space="preserve"> started on 1 July 2013 - the volume of </w:t>
      </w:r>
      <w:r w:rsidR="00DB6678" w:rsidRPr="00373A55">
        <w:rPr>
          <w:rFonts w:ascii="Arial" w:hAnsi="Arial" w:cs="Arial"/>
        </w:rPr>
        <w:t>programmatic</w:t>
      </w:r>
      <w:r w:rsidRPr="00373A55">
        <w:rPr>
          <w:rFonts w:ascii="Arial" w:hAnsi="Arial" w:cs="Arial"/>
        </w:rPr>
        <w:t xml:space="preserve"> </w:t>
      </w:r>
      <w:r w:rsidR="00DB6678" w:rsidRPr="00373A55">
        <w:rPr>
          <w:rFonts w:ascii="Arial" w:hAnsi="Arial" w:cs="Arial"/>
        </w:rPr>
        <w:t>medical services increased (basic</w:t>
      </w:r>
      <w:r w:rsidRPr="00373A55">
        <w:rPr>
          <w:rFonts w:ascii="Arial" w:hAnsi="Arial" w:cs="Arial"/>
        </w:rPr>
        <w:t xml:space="preserve"> pack</w:t>
      </w:r>
      <w:r w:rsidR="00DB6678" w:rsidRPr="00373A55">
        <w:rPr>
          <w:rFonts w:ascii="Arial" w:hAnsi="Arial" w:cs="Arial"/>
        </w:rPr>
        <w:t>age</w:t>
      </w:r>
      <w:r w:rsidRPr="00373A55">
        <w:rPr>
          <w:rFonts w:ascii="Arial" w:hAnsi="Arial" w:cs="Arial"/>
        </w:rPr>
        <w:t xml:space="preserve">) and became almost the same as the target group insurance package in 2007-2012, </w:t>
      </w:r>
      <w:r w:rsidR="00DB6678" w:rsidRPr="00373A55">
        <w:rPr>
          <w:rFonts w:ascii="Arial" w:hAnsi="Arial" w:cs="Arial"/>
        </w:rPr>
        <w:t xml:space="preserve">with </w:t>
      </w:r>
      <w:r w:rsidRPr="00373A55">
        <w:rPr>
          <w:rFonts w:ascii="Arial" w:hAnsi="Arial" w:cs="Arial"/>
        </w:rPr>
        <w:t>the</w:t>
      </w:r>
      <w:r w:rsidR="00DB6678" w:rsidRPr="00373A55">
        <w:rPr>
          <w:rFonts w:ascii="Arial" w:hAnsi="Arial" w:cs="Arial"/>
        </w:rPr>
        <w:t xml:space="preserve"> only</w:t>
      </w:r>
      <w:r w:rsidRPr="00373A55">
        <w:rPr>
          <w:rFonts w:ascii="Arial" w:hAnsi="Arial" w:cs="Arial"/>
        </w:rPr>
        <w:t xml:space="preserve"> difference </w:t>
      </w:r>
      <w:r w:rsidR="00DB6678" w:rsidRPr="00373A55">
        <w:rPr>
          <w:rFonts w:ascii="Arial" w:hAnsi="Arial" w:cs="Arial"/>
        </w:rPr>
        <w:t>in co-payment for different</w:t>
      </w:r>
      <w:r w:rsidRPr="00373A55">
        <w:rPr>
          <w:rFonts w:ascii="Arial" w:hAnsi="Arial" w:cs="Arial"/>
        </w:rPr>
        <w:t xml:space="preserve"> income groups.</w:t>
      </w:r>
    </w:p>
    <w:p w:rsidR="00DB6678" w:rsidRPr="00373A55" w:rsidRDefault="00DB6678" w:rsidP="008B0C67">
      <w:pPr>
        <w:jc w:val="both"/>
        <w:rPr>
          <w:rFonts w:ascii="Arial" w:eastAsia="Segoe UI" w:hAnsi="Arial" w:cs="Arial"/>
        </w:rPr>
      </w:pPr>
      <w:r w:rsidRPr="00373A55">
        <w:rPr>
          <w:rFonts w:ascii="Arial" w:eastAsia="Segoe UI" w:hAnsi="Arial" w:cs="Arial"/>
        </w:rPr>
        <w:t xml:space="preserve">Since May 2017, the beneficiaries </w:t>
      </w:r>
      <w:r w:rsidR="00263E02" w:rsidRPr="00373A55">
        <w:rPr>
          <w:rFonts w:ascii="Arial" w:eastAsia="Segoe UI" w:hAnsi="Arial" w:cs="Arial"/>
        </w:rPr>
        <w:t>have been</w:t>
      </w:r>
      <w:r w:rsidRPr="00373A55">
        <w:rPr>
          <w:rFonts w:ascii="Arial" w:eastAsia="Segoe UI" w:hAnsi="Arial" w:cs="Arial"/>
        </w:rPr>
        <w:t xml:space="preserve"> divided by the income groups (the change </w:t>
      </w:r>
      <w:r w:rsidR="00263E02" w:rsidRPr="00373A55">
        <w:rPr>
          <w:rFonts w:ascii="Arial" w:eastAsia="Segoe UI" w:hAnsi="Arial" w:cs="Arial"/>
        </w:rPr>
        <w:t>has</w:t>
      </w:r>
      <w:r w:rsidRPr="00373A55">
        <w:rPr>
          <w:rFonts w:ascii="Arial" w:eastAsia="Segoe UI" w:hAnsi="Arial" w:cs="Arial"/>
        </w:rPr>
        <w:t xml:space="preserve"> not affect</w:t>
      </w:r>
      <w:r w:rsidR="00263E02" w:rsidRPr="00373A55">
        <w:rPr>
          <w:rFonts w:ascii="Arial" w:eastAsia="Segoe UI" w:hAnsi="Arial" w:cs="Arial"/>
        </w:rPr>
        <w:t>ed</w:t>
      </w:r>
      <w:r w:rsidRPr="00373A55">
        <w:rPr>
          <w:rFonts w:ascii="Arial" w:eastAsia="Segoe UI" w:hAnsi="Arial" w:cs="Arial"/>
        </w:rPr>
        <w:t xml:space="preserve"> the target groups (socially vulnerable, age pensioners, children between 0-6 years, students, teachers, veterans and others) and new co-payment mechanisms were identified.</w:t>
      </w:r>
    </w:p>
    <w:p w:rsidR="00AD007B" w:rsidRPr="00373A55" w:rsidRDefault="00AD007B" w:rsidP="006930AE">
      <w:pPr>
        <w:jc w:val="both"/>
        <w:rPr>
          <w:rFonts w:ascii="Arial" w:hAnsi="Arial" w:cs="Arial"/>
        </w:rPr>
      </w:pPr>
      <w:r w:rsidRPr="00373A55">
        <w:rPr>
          <w:rFonts w:ascii="Arial" w:hAnsi="Arial" w:cs="Arial"/>
        </w:rPr>
        <w:t xml:space="preserve">Persons with </w:t>
      </w:r>
      <w:r w:rsidR="00373A55">
        <w:rPr>
          <w:rFonts w:ascii="Arial" w:hAnsi="Arial" w:cs="Arial"/>
        </w:rPr>
        <w:t xml:space="preserve">an </w:t>
      </w:r>
      <w:r w:rsidRPr="00373A55">
        <w:rPr>
          <w:rFonts w:ascii="Arial" w:hAnsi="Arial" w:cs="Arial"/>
        </w:rPr>
        <w:t>annual income of 40,000 GEL or more can use only the following services: childbirth</w:t>
      </w:r>
      <w:r w:rsidR="00373A55">
        <w:rPr>
          <w:rFonts w:ascii="Arial" w:hAnsi="Arial" w:cs="Arial"/>
        </w:rPr>
        <w:t>/c</w:t>
      </w:r>
      <w:r w:rsidRPr="00373A55">
        <w:rPr>
          <w:rFonts w:ascii="Arial" w:hAnsi="Arial" w:cs="Arial"/>
        </w:rPr>
        <w:t>esarean section, hospital care for high</w:t>
      </w:r>
      <w:r w:rsidR="00373A55">
        <w:rPr>
          <w:rFonts w:ascii="Arial" w:hAnsi="Arial" w:cs="Arial"/>
        </w:rPr>
        <w:t>-</w:t>
      </w:r>
      <w:r w:rsidRPr="00373A55">
        <w:rPr>
          <w:rFonts w:ascii="Arial" w:hAnsi="Arial" w:cs="Arial"/>
        </w:rPr>
        <w:t>risk women during pregnancy, childbirth and postpartum period and treatment of infectious diseases.</w:t>
      </w:r>
    </w:p>
    <w:p w:rsidR="00FA6223" w:rsidRPr="00373A55" w:rsidRDefault="00AD007B" w:rsidP="00FA6223">
      <w:pPr>
        <w:pStyle w:val="Heading2"/>
        <w:rPr>
          <w:rFonts w:ascii="Arial" w:hAnsi="Arial" w:cs="Arial"/>
          <w:sz w:val="24"/>
        </w:rPr>
      </w:pPr>
      <w:r w:rsidRPr="00373A55">
        <w:rPr>
          <w:rFonts w:ascii="Arial" w:hAnsi="Arial" w:cs="Arial"/>
          <w:sz w:val="24"/>
        </w:rPr>
        <w:t>Service utilization</w:t>
      </w:r>
    </w:p>
    <w:p w:rsidR="00AD007B" w:rsidRPr="00373A55" w:rsidRDefault="00AD007B" w:rsidP="00FA6223">
      <w:pPr>
        <w:ind w:right="50"/>
        <w:jc w:val="both"/>
        <w:rPr>
          <w:rFonts w:ascii="Arial" w:eastAsia="Segoe UI" w:hAnsi="Arial" w:cs="Arial"/>
        </w:rPr>
      </w:pPr>
      <w:r w:rsidRPr="00373A55">
        <w:rPr>
          <w:rFonts w:ascii="Arial" w:eastAsia="Segoe UI" w:hAnsi="Arial" w:cs="Arial"/>
        </w:rPr>
        <w:t>To evaluate the reform outcomes it is important to measure the health service utilization indicators, especially at the primary healthcare level</w:t>
      </w:r>
      <w:r w:rsidR="00373A55">
        <w:rPr>
          <w:rFonts w:ascii="Arial" w:eastAsia="Segoe UI" w:hAnsi="Arial" w:cs="Arial"/>
        </w:rPr>
        <w:t>.</w:t>
      </w:r>
    </w:p>
    <w:p w:rsidR="00FA6223" w:rsidRPr="00373A55" w:rsidRDefault="00AD007B" w:rsidP="006D710B">
      <w:pPr>
        <w:ind w:right="50"/>
        <w:jc w:val="both"/>
        <w:rPr>
          <w:rFonts w:ascii="Arial" w:eastAsia="Segoe UI" w:hAnsi="Arial" w:cs="Arial"/>
        </w:rPr>
      </w:pPr>
      <w:r w:rsidRPr="00373A55">
        <w:rPr>
          <w:rFonts w:ascii="Arial" w:hAnsi="Arial" w:cs="Arial"/>
          <w:color w:val="000000"/>
        </w:rPr>
        <w:t>In 2002-2012, on average the admissions to outpatient</w:t>
      </w:r>
      <w:r w:rsidR="00CE373A">
        <w:rPr>
          <w:rFonts w:ascii="Arial" w:hAnsi="Arial" w:cs="Arial"/>
          <w:color w:val="000000"/>
        </w:rPr>
        <w:t>-poly</w:t>
      </w:r>
      <w:r w:rsidR="00373A55">
        <w:rPr>
          <w:rFonts w:ascii="Arial" w:hAnsi="Arial" w:cs="Arial"/>
          <w:color w:val="000000"/>
        </w:rPr>
        <w:t>clinic services in Georgia</w:t>
      </w:r>
      <w:r w:rsidRPr="00373A55">
        <w:rPr>
          <w:rFonts w:ascii="Arial" w:hAnsi="Arial" w:cs="Arial"/>
          <w:color w:val="000000"/>
        </w:rPr>
        <w:t xml:space="preserve"> did not exceed 2.2. </w:t>
      </w:r>
      <w:r w:rsidR="009E636C" w:rsidRPr="00373A55">
        <w:rPr>
          <w:rFonts w:ascii="Arial" w:hAnsi="Arial" w:cs="Arial"/>
          <w:color w:val="000000"/>
        </w:rPr>
        <w:t>Since</w:t>
      </w:r>
      <w:r w:rsidR="00373A55">
        <w:rPr>
          <w:rFonts w:ascii="Arial" w:hAnsi="Arial" w:cs="Arial"/>
          <w:color w:val="000000"/>
        </w:rPr>
        <w:t xml:space="preserve"> the</w:t>
      </w:r>
      <w:r w:rsidR="009E636C" w:rsidRPr="00373A55">
        <w:rPr>
          <w:rFonts w:ascii="Arial" w:hAnsi="Arial" w:cs="Arial"/>
          <w:color w:val="000000"/>
        </w:rPr>
        <w:t xml:space="preserve"> introduction of the Universal Healthcare Program, a sharp rise in admissions was observed in both outpatient and inpatient facilities. In 2017, the number of admissions to outpatient-polyclinic services reached 3.5 per capita. By this indicator</w:t>
      </w:r>
      <w:r w:rsidR="00CE373A">
        <w:rPr>
          <w:rFonts w:ascii="Arial" w:hAnsi="Arial" w:cs="Arial"/>
          <w:color w:val="000000"/>
        </w:rPr>
        <w:t>,</w:t>
      </w:r>
      <w:r w:rsidR="009E636C" w:rsidRPr="00373A55">
        <w:rPr>
          <w:rFonts w:ascii="Arial" w:hAnsi="Arial" w:cs="Arial"/>
          <w:color w:val="000000"/>
        </w:rPr>
        <w:t xml:space="preserve"> Georgi</w:t>
      </w:r>
      <w:r w:rsidR="00A44AD6">
        <w:rPr>
          <w:rFonts w:ascii="Arial" w:hAnsi="Arial" w:cs="Arial"/>
          <w:color w:val="000000"/>
        </w:rPr>
        <w:t>a is among the last ten countrie</w:t>
      </w:r>
      <w:r w:rsidR="009E636C" w:rsidRPr="00373A55">
        <w:rPr>
          <w:rFonts w:ascii="Arial" w:hAnsi="Arial" w:cs="Arial"/>
          <w:color w:val="000000"/>
        </w:rPr>
        <w:t>s in the WHO Europe</w:t>
      </w:r>
      <w:r w:rsidR="00CE373A">
        <w:rPr>
          <w:rFonts w:ascii="Arial" w:hAnsi="Arial" w:cs="Arial"/>
          <w:color w:val="000000"/>
        </w:rPr>
        <w:t xml:space="preserve"> region. As the data of the Health Service Utilization and Expenditure S</w:t>
      </w:r>
      <w:r w:rsidR="009E636C" w:rsidRPr="00373A55">
        <w:rPr>
          <w:rFonts w:ascii="Arial" w:hAnsi="Arial" w:cs="Arial"/>
          <w:color w:val="000000"/>
        </w:rPr>
        <w:t xml:space="preserve">urveys show, the population chooses hospitals more frequently compared to the outpatient services. </w:t>
      </w:r>
    </w:p>
    <w:p w:rsidR="00D712F6" w:rsidRPr="00373A55" w:rsidRDefault="009E636C" w:rsidP="00D712F6">
      <w:pPr>
        <w:rPr>
          <w:rFonts w:ascii="Arial" w:hAnsi="Arial" w:cs="Arial"/>
          <w:b/>
          <w:iCs/>
          <w:szCs w:val="24"/>
        </w:rPr>
      </w:pPr>
      <w:r w:rsidRPr="00373A55">
        <w:rPr>
          <w:rFonts w:ascii="Arial" w:hAnsi="Arial" w:cs="Arial"/>
          <w:b/>
          <w:iCs/>
          <w:szCs w:val="24"/>
        </w:rPr>
        <w:t>Figure</w:t>
      </w:r>
      <w:r w:rsidR="001E26ED" w:rsidRPr="00373A55">
        <w:rPr>
          <w:rFonts w:ascii="Arial" w:hAnsi="Arial" w:cs="Arial"/>
          <w:b/>
          <w:iCs/>
          <w:szCs w:val="24"/>
        </w:rPr>
        <w:t xml:space="preserve"> </w:t>
      </w:r>
      <w:r w:rsidR="0016396B" w:rsidRPr="00373A55">
        <w:rPr>
          <w:rFonts w:ascii="Arial" w:hAnsi="Arial" w:cs="Arial"/>
          <w:b/>
          <w:iCs/>
          <w:szCs w:val="24"/>
        </w:rPr>
        <w:t>7</w:t>
      </w:r>
      <w:r w:rsidR="001E26ED" w:rsidRPr="00373A55">
        <w:rPr>
          <w:rFonts w:ascii="Arial" w:hAnsi="Arial" w:cs="Arial"/>
          <w:b/>
          <w:iCs/>
          <w:szCs w:val="24"/>
        </w:rPr>
        <w:t xml:space="preserve">: </w:t>
      </w:r>
      <w:r w:rsidRPr="00373A55">
        <w:rPr>
          <w:rFonts w:ascii="Arial" w:hAnsi="Arial" w:cs="Arial"/>
          <w:b/>
          <w:iCs/>
          <w:szCs w:val="24"/>
        </w:rPr>
        <w:t xml:space="preserve">Number of admissions to outpatient-polyclinic facilities per capita, Georgia </w:t>
      </w:r>
    </w:p>
    <w:p w:rsidR="003D4EF5" w:rsidRPr="00373A55" w:rsidRDefault="003D4EF5" w:rsidP="00FA6223">
      <w:pPr>
        <w:ind w:right="50"/>
        <w:jc w:val="both"/>
        <w:rPr>
          <w:rFonts w:ascii="Arial" w:eastAsia="Segoe UI" w:hAnsi="Arial" w:cs="Arial"/>
        </w:rPr>
      </w:pPr>
      <w:r w:rsidRPr="00373A55">
        <w:rPr>
          <w:rFonts w:ascii="Arial" w:eastAsia="Segoe UI" w:hAnsi="Arial" w:cs="Arial"/>
          <w:noProof/>
        </w:rPr>
        <w:drawing>
          <wp:inline distT="0" distB="0" distL="0" distR="0" wp14:anchorId="745B0D70" wp14:editId="641F66B0">
            <wp:extent cx="5486400" cy="1686090"/>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D4EF5" w:rsidRPr="00373A55" w:rsidRDefault="006373AA" w:rsidP="00E37E7C">
      <w:pPr>
        <w:ind w:right="50"/>
        <w:jc w:val="both"/>
        <w:rPr>
          <w:rFonts w:ascii="Arial" w:eastAsia="Segoe UI" w:hAnsi="Arial" w:cs="Arial"/>
          <w:i/>
          <w:sz w:val="16"/>
        </w:rPr>
      </w:pPr>
      <w:r w:rsidRPr="00373A55">
        <w:rPr>
          <w:rFonts w:ascii="Arial" w:eastAsia="Segoe UI" w:hAnsi="Arial" w:cs="Arial"/>
          <w:i/>
          <w:sz w:val="16"/>
        </w:rPr>
        <w:t xml:space="preserve">Source: LEPL National Center for Disease Control and Public Health </w:t>
      </w:r>
    </w:p>
    <w:p w:rsidR="00E37E7C" w:rsidRPr="00373A55" w:rsidRDefault="009E636C" w:rsidP="00FA6223">
      <w:pPr>
        <w:ind w:right="50"/>
        <w:jc w:val="both"/>
        <w:rPr>
          <w:rFonts w:ascii="Arial" w:eastAsia="Segoe UI" w:hAnsi="Arial" w:cs="Arial"/>
        </w:rPr>
      </w:pPr>
      <w:r w:rsidRPr="00373A55">
        <w:rPr>
          <w:rFonts w:ascii="Arial" w:eastAsia="Segoe UI" w:hAnsi="Arial" w:cs="Arial"/>
        </w:rPr>
        <w:t xml:space="preserve">In 2007-2012, hospitalization rates were virtually stagnant. In parallel to ensuring universal accessibility since 2013, a sharp increase in hospital admissions has begun. </w:t>
      </w:r>
    </w:p>
    <w:p w:rsidR="00A44AD6" w:rsidRDefault="00A44AD6" w:rsidP="00E37E7C">
      <w:pPr>
        <w:ind w:left="2124" w:hanging="2124"/>
        <w:rPr>
          <w:rFonts w:ascii="Arial" w:eastAsia="Segoe UI" w:hAnsi="Arial" w:cs="Arial"/>
          <w:b/>
        </w:rPr>
      </w:pPr>
    </w:p>
    <w:p w:rsidR="00E37E7C" w:rsidRPr="00373A55" w:rsidRDefault="009E636C" w:rsidP="00E37E7C">
      <w:pPr>
        <w:ind w:left="2124" w:hanging="2124"/>
        <w:rPr>
          <w:rFonts w:ascii="Arial" w:eastAsia="Segoe UI" w:hAnsi="Arial" w:cs="Arial"/>
          <w:b/>
        </w:rPr>
      </w:pPr>
      <w:r w:rsidRPr="00373A55">
        <w:rPr>
          <w:rFonts w:ascii="Arial" w:eastAsia="Segoe UI" w:hAnsi="Arial" w:cs="Arial"/>
          <w:b/>
        </w:rPr>
        <w:lastRenderedPageBreak/>
        <w:t>Figure</w:t>
      </w:r>
      <w:r w:rsidR="001E26ED" w:rsidRPr="00373A55">
        <w:rPr>
          <w:rFonts w:ascii="Arial" w:eastAsia="Segoe UI" w:hAnsi="Arial" w:cs="Arial"/>
          <w:b/>
        </w:rPr>
        <w:t xml:space="preserve"> </w:t>
      </w:r>
      <w:r w:rsidR="0016396B" w:rsidRPr="00373A55">
        <w:rPr>
          <w:rFonts w:ascii="Arial" w:eastAsia="Segoe UI" w:hAnsi="Arial" w:cs="Arial"/>
          <w:b/>
        </w:rPr>
        <w:t>8</w:t>
      </w:r>
      <w:r w:rsidR="001E26ED" w:rsidRPr="00373A55">
        <w:rPr>
          <w:rFonts w:ascii="Arial" w:eastAsia="Segoe UI" w:hAnsi="Arial" w:cs="Arial"/>
          <w:b/>
        </w:rPr>
        <w:t xml:space="preserve">: </w:t>
      </w:r>
      <w:r w:rsidRPr="00373A55">
        <w:rPr>
          <w:rFonts w:ascii="Arial" w:eastAsia="Segoe UI" w:hAnsi="Arial" w:cs="Arial"/>
          <w:b/>
        </w:rPr>
        <w:t>Hospitalization rate per capita, Georgia</w:t>
      </w:r>
    </w:p>
    <w:p w:rsidR="00E37E7C" w:rsidRPr="00373A55" w:rsidRDefault="00E37E7C" w:rsidP="00FA6223">
      <w:pPr>
        <w:ind w:right="50"/>
        <w:jc w:val="both"/>
        <w:rPr>
          <w:rFonts w:ascii="Arial" w:eastAsia="Segoe UI" w:hAnsi="Arial" w:cs="Arial"/>
        </w:rPr>
      </w:pPr>
      <w:r w:rsidRPr="00373A55">
        <w:rPr>
          <w:rFonts w:ascii="Arial" w:eastAsia="Segoe UI" w:hAnsi="Arial" w:cs="Arial"/>
          <w:noProof/>
        </w:rPr>
        <w:drawing>
          <wp:inline distT="0" distB="0" distL="0" distR="0">
            <wp:extent cx="5486400" cy="2019080"/>
            <wp:effectExtent l="0" t="0" r="19050" b="196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73AA" w:rsidRPr="00373A55" w:rsidRDefault="006373AA" w:rsidP="006373AA">
      <w:pPr>
        <w:ind w:right="50"/>
        <w:jc w:val="both"/>
        <w:rPr>
          <w:rFonts w:ascii="Arial" w:eastAsia="Segoe UI" w:hAnsi="Arial" w:cs="Arial"/>
          <w:i/>
          <w:sz w:val="16"/>
        </w:rPr>
      </w:pPr>
      <w:r w:rsidRPr="00373A55">
        <w:rPr>
          <w:rFonts w:ascii="Arial" w:eastAsia="Segoe UI" w:hAnsi="Arial" w:cs="Arial"/>
          <w:i/>
          <w:sz w:val="16"/>
        </w:rPr>
        <w:t xml:space="preserve">Source: LEPL National Center for Disease Control and Public Health </w:t>
      </w:r>
    </w:p>
    <w:p w:rsidR="004C75B3" w:rsidRPr="00373A55" w:rsidRDefault="004C75B3" w:rsidP="00A53575">
      <w:pPr>
        <w:ind w:right="50"/>
        <w:jc w:val="both"/>
        <w:rPr>
          <w:rFonts w:ascii="Arial" w:eastAsia="Segoe UI" w:hAnsi="Arial" w:cs="Arial"/>
        </w:rPr>
      </w:pPr>
      <w:r w:rsidRPr="00373A55">
        <w:rPr>
          <w:rFonts w:ascii="Arial" w:eastAsia="Segoe UI" w:hAnsi="Arial" w:cs="Arial"/>
        </w:rPr>
        <w:t>Georgia has made significant progress towards health outcomes in the last decade in terms of indicators such as maternal and child mortality and the average life</w:t>
      </w:r>
      <w:r w:rsidR="00983F1F" w:rsidRPr="00373A55">
        <w:rPr>
          <w:rFonts w:ascii="Arial" w:eastAsia="Segoe UI" w:hAnsi="Arial" w:cs="Arial"/>
        </w:rPr>
        <w:t xml:space="preserve"> expectancy that represent</w:t>
      </w:r>
      <w:r w:rsidRPr="00373A55">
        <w:rPr>
          <w:rFonts w:ascii="Arial" w:eastAsia="Segoe UI" w:hAnsi="Arial" w:cs="Arial"/>
        </w:rPr>
        <w:t xml:space="preserve"> the country's economic development </w:t>
      </w:r>
      <w:r w:rsidR="00983F1F" w:rsidRPr="00373A55">
        <w:rPr>
          <w:rFonts w:ascii="Arial" w:eastAsia="Segoe UI" w:hAnsi="Arial" w:cs="Arial"/>
        </w:rPr>
        <w:t>milestone</w:t>
      </w:r>
      <w:r w:rsidRPr="00373A55">
        <w:rPr>
          <w:rFonts w:ascii="Arial" w:eastAsia="Segoe UI" w:hAnsi="Arial" w:cs="Arial"/>
        </w:rPr>
        <w:t>.</w:t>
      </w:r>
    </w:p>
    <w:p w:rsidR="00983F1F" w:rsidRPr="00373A55" w:rsidRDefault="00983F1F" w:rsidP="00A53575">
      <w:pPr>
        <w:ind w:right="50"/>
        <w:jc w:val="both"/>
        <w:rPr>
          <w:rFonts w:ascii="Arial" w:eastAsia="Segoe UI" w:hAnsi="Arial" w:cs="Arial"/>
          <w:sz w:val="20"/>
        </w:rPr>
      </w:pPr>
      <w:r w:rsidRPr="00A44AD6">
        <w:rPr>
          <w:rFonts w:ascii="Arial" w:eastAsia="Segoe UI" w:hAnsi="Arial" w:cs="Arial"/>
        </w:rPr>
        <w:t>The healthy life expectancy - 74 years is relatively high compared to the data of similar income countries.</w:t>
      </w:r>
      <w:r w:rsidRPr="00373A55">
        <w:rPr>
          <w:rFonts w:ascii="Arial" w:eastAsia="Segoe UI" w:hAnsi="Arial" w:cs="Arial"/>
          <w:sz w:val="20"/>
        </w:rPr>
        <w:t xml:space="preserve"> </w:t>
      </w:r>
      <w:r w:rsidRPr="00373A55">
        <w:rPr>
          <w:rFonts w:ascii="Arial" w:eastAsia="Segoe UI" w:hAnsi="Arial" w:cs="Arial"/>
        </w:rPr>
        <w:t>Healthy life expectancy in 2012 was 65 years (WHO 2015), and by 2015 it increased to 66.4 and is only 8 years behind the average life expectancy at birth. Reduc</w:t>
      </w:r>
      <w:r w:rsidR="00A44AD6">
        <w:rPr>
          <w:rFonts w:ascii="Arial" w:eastAsia="Segoe UI" w:hAnsi="Arial" w:cs="Arial"/>
        </w:rPr>
        <w:t>t</w:t>
      </w:r>
      <w:r w:rsidRPr="00373A55">
        <w:rPr>
          <w:rFonts w:ascii="Arial" w:eastAsia="Segoe UI" w:hAnsi="Arial" w:cs="Arial"/>
        </w:rPr>
        <w:t>ion in the under</w:t>
      </w:r>
      <w:r w:rsidR="00944A0C" w:rsidRPr="00373A55">
        <w:rPr>
          <w:rFonts w:ascii="Arial" w:eastAsia="Segoe UI" w:hAnsi="Arial" w:cs="Arial"/>
        </w:rPr>
        <w:t>-</w:t>
      </w:r>
      <w:r w:rsidRPr="00373A55">
        <w:rPr>
          <w:rFonts w:ascii="Arial" w:eastAsia="Segoe UI" w:hAnsi="Arial" w:cs="Arial"/>
        </w:rPr>
        <w:t>five mortality rate in 2000-2018 is significant</w:t>
      </w:r>
      <w:r w:rsidR="00A44AD6">
        <w:rPr>
          <w:rFonts w:ascii="Arial" w:eastAsia="Segoe UI" w:hAnsi="Arial" w:cs="Arial"/>
        </w:rPr>
        <w:t>: from 30.1 to 9.8. Ma</w:t>
      </w:r>
      <w:r w:rsidR="00944A0C" w:rsidRPr="00373A55">
        <w:rPr>
          <w:rFonts w:ascii="Arial" w:eastAsia="Segoe UI" w:hAnsi="Arial" w:cs="Arial"/>
        </w:rPr>
        <w:t>ternal</w:t>
      </w:r>
      <w:r w:rsidRPr="00373A55">
        <w:rPr>
          <w:rFonts w:ascii="Arial" w:eastAsia="Segoe UI" w:hAnsi="Arial" w:cs="Arial"/>
        </w:rPr>
        <w:t xml:space="preserve"> deaths </w:t>
      </w:r>
      <w:r w:rsidR="00944A0C" w:rsidRPr="00373A55">
        <w:rPr>
          <w:rFonts w:ascii="Arial" w:eastAsia="Segoe UI" w:hAnsi="Arial" w:cs="Arial"/>
        </w:rPr>
        <w:t xml:space="preserve">decreased </w:t>
      </w:r>
      <w:r w:rsidRPr="00373A55">
        <w:rPr>
          <w:rFonts w:ascii="Arial" w:eastAsia="Segoe UI" w:hAnsi="Arial" w:cs="Arial"/>
        </w:rPr>
        <w:t>from 47.8 (2000) to 13.1 in 2017</w:t>
      </w:r>
      <w:r w:rsidRPr="00373A55">
        <w:rPr>
          <w:rFonts w:ascii="Arial" w:eastAsia="Segoe UI" w:hAnsi="Arial" w:cs="Arial"/>
          <w:sz w:val="20"/>
        </w:rPr>
        <w:t>.</w:t>
      </w:r>
    </w:p>
    <w:p w:rsidR="0088340A" w:rsidRPr="00373A55" w:rsidRDefault="0088340A" w:rsidP="00A53575">
      <w:pPr>
        <w:pStyle w:val="Heading2"/>
        <w:rPr>
          <w:rFonts w:ascii="Arial" w:hAnsi="Arial" w:cs="Arial"/>
          <w:bCs w:val="0"/>
          <w:sz w:val="24"/>
        </w:rPr>
      </w:pPr>
    </w:p>
    <w:p w:rsidR="00C11CD5" w:rsidRPr="00373A55" w:rsidRDefault="00402589" w:rsidP="00A53575">
      <w:pPr>
        <w:pStyle w:val="Heading2"/>
        <w:rPr>
          <w:rFonts w:ascii="Arial" w:hAnsi="Arial" w:cs="Arial"/>
          <w:sz w:val="24"/>
        </w:rPr>
      </w:pPr>
      <w:r w:rsidRPr="00373A55">
        <w:rPr>
          <w:rFonts w:ascii="Arial" w:hAnsi="Arial" w:cs="Arial"/>
          <w:bCs w:val="0"/>
          <w:sz w:val="24"/>
        </w:rPr>
        <w:t>Access to health services</w:t>
      </w:r>
      <w:r w:rsidR="00C56DE3" w:rsidRPr="00373A55">
        <w:rPr>
          <w:rFonts w:ascii="Arial" w:hAnsi="Arial" w:cs="Arial"/>
          <w:bCs w:val="0"/>
          <w:sz w:val="24"/>
        </w:rPr>
        <w:t xml:space="preserve"> </w:t>
      </w:r>
      <w:r w:rsidR="0060123B" w:rsidRPr="00373A55">
        <w:rPr>
          <w:rFonts w:ascii="Arial" w:hAnsi="Arial" w:cs="Arial"/>
          <w:bCs w:val="0"/>
          <w:sz w:val="24"/>
        </w:rPr>
        <w:t xml:space="preserve"> </w:t>
      </w:r>
    </w:p>
    <w:p w:rsidR="00911927" w:rsidRPr="00373A55" w:rsidRDefault="00402589" w:rsidP="00911927">
      <w:pPr>
        <w:spacing w:before="200"/>
        <w:jc w:val="both"/>
        <w:rPr>
          <w:rFonts w:ascii="Arial" w:eastAsia="Times New Roman" w:hAnsi="Arial" w:cs="Arial"/>
        </w:rPr>
      </w:pPr>
      <w:r w:rsidRPr="00373A55">
        <w:rPr>
          <w:rFonts w:ascii="Arial" w:eastAsia="Times New Roman" w:hAnsi="Arial" w:cs="Arial"/>
          <w:noProof/>
        </w:rPr>
        <w:t xml:space="preserve">Financial barriers to access to medical services represent one of the main challeges that negatively affect the health system of the country and, in many cases, do not allow the population to seek for care. </w:t>
      </w:r>
    </w:p>
    <w:p w:rsidR="00402589" w:rsidRPr="00373A55" w:rsidRDefault="00402589" w:rsidP="007D5E9E">
      <w:pPr>
        <w:spacing w:before="200"/>
        <w:jc w:val="both"/>
        <w:rPr>
          <w:rFonts w:ascii="Arial" w:eastAsia="Times New Roman" w:hAnsi="Arial" w:cs="Arial"/>
          <w:noProof/>
        </w:rPr>
      </w:pPr>
      <w:r w:rsidRPr="00373A55">
        <w:rPr>
          <w:rFonts w:ascii="Arial" w:eastAsia="Times New Roman" w:hAnsi="Arial" w:cs="Arial"/>
          <w:noProof/>
        </w:rPr>
        <w:t>The appr</w:t>
      </w:r>
      <w:r w:rsidR="00A44AD6">
        <w:rPr>
          <w:rFonts w:ascii="Arial" w:eastAsia="Times New Roman" w:hAnsi="Arial" w:cs="Arial"/>
          <w:noProof/>
        </w:rPr>
        <w:t>a</w:t>
      </w:r>
      <w:r w:rsidRPr="00373A55">
        <w:rPr>
          <w:rFonts w:ascii="Arial" w:eastAsia="Times New Roman" w:hAnsi="Arial" w:cs="Arial"/>
          <w:noProof/>
        </w:rPr>
        <w:t xml:space="preserve">isal of government policy success in terms of alleviation of </w:t>
      </w:r>
      <w:r w:rsidR="00A44AD6">
        <w:rPr>
          <w:rFonts w:ascii="Arial" w:eastAsia="Times New Roman" w:hAnsi="Arial" w:cs="Arial"/>
          <w:noProof/>
        </w:rPr>
        <w:t xml:space="preserve">the </w:t>
      </w:r>
      <w:r w:rsidRPr="00373A55">
        <w:rPr>
          <w:rFonts w:ascii="Arial" w:eastAsia="Times New Roman" w:hAnsi="Arial" w:cs="Arial"/>
          <w:noProof/>
        </w:rPr>
        <w:t>household financial burden of healthcar</w:t>
      </w:r>
      <w:r w:rsidR="00A44AD6">
        <w:rPr>
          <w:rFonts w:ascii="Arial" w:eastAsia="Times New Roman" w:hAnsi="Arial" w:cs="Arial"/>
          <w:noProof/>
        </w:rPr>
        <w:t>e may be based on findings of “Health Service Utilization and Expenditure S</w:t>
      </w:r>
      <w:r w:rsidRPr="00373A55">
        <w:rPr>
          <w:rFonts w:ascii="Arial" w:eastAsia="Times New Roman" w:hAnsi="Arial" w:cs="Arial"/>
          <w:noProof/>
        </w:rPr>
        <w:t xml:space="preserve">urvey </w:t>
      </w:r>
      <w:r w:rsidRPr="00373A55">
        <w:rPr>
          <w:rFonts w:ascii="Arial" w:hAnsi="Arial" w:cs="Arial"/>
        </w:rPr>
        <w:t>(HUES)</w:t>
      </w:r>
      <w:r w:rsidRPr="00373A55">
        <w:rPr>
          <w:rFonts w:ascii="Arial" w:eastAsia="Times New Roman" w:hAnsi="Arial" w:cs="Arial"/>
          <w:noProof/>
        </w:rPr>
        <w:t xml:space="preserve">” conducted with financial and technical support of the World Bank and WHO once in every three years.  </w:t>
      </w:r>
    </w:p>
    <w:p w:rsidR="007D5E9E" w:rsidRPr="00373A55" w:rsidRDefault="00925B4F" w:rsidP="007D5E9E">
      <w:pPr>
        <w:spacing w:before="200" w:after="0"/>
        <w:jc w:val="both"/>
        <w:rPr>
          <w:rFonts w:ascii="Arial" w:eastAsia="Times New Roman" w:hAnsi="Arial" w:cs="Arial"/>
        </w:rPr>
      </w:pPr>
      <w:r w:rsidRPr="00373A55">
        <w:rPr>
          <w:rFonts w:ascii="Arial" w:eastAsia="Times New Roman" w:hAnsi="Arial" w:cs="Arial"/>
        </w:rPr>
        <w:t xml:space="preserve">Despite the </w:t>
      </w:r>
      <w:r w:rsidR="00E03AF4" w:rsidRPr="00373A55">
        <w:rPr>
          <w:rFonts w:ascii="Arial" w:eastAsia="Times New Roman" w:hAnsi="Arial" w:cs="Arial"/>
        </w:rPr>
        <w:t>significant</w:t>
      </w:r>
      <w:r w:rsidRPr="00373A55">
        <w:rPr>
          <w:rFonts w:ascii="Arial" w:eastAsia="Times New Roman" w:hAnsi="Arial" w:cs="Arial"/>
        </w:rPr>
        <w:t xml:space="preserve"> growth in state health insurance coverage in 2007-2012, the financial access to medical services </w:t>
      </w:r>
      <w:r w:rsidR="00E03AF4" w:rsidRPr="00373A55">
        <w:rPr>
          <w:rFonts w:ascii="Arial" w:eastAsia="Times New Roman" w:hAnsi="Arial" w:cs="Arial"/>
        </w:rPr>
        <w:t>increas</w:t>
      </w:r>
      <w:r w:rsidR="00A44AD6">
        <w:rPr>
          <w:rFonts w:ascii="Arial" w:eastAsia="Times New Roman" w:hAnsi="Arial" w:cs="Arial"/>
        </w:rPr>
        <w:t>e</w:t>
      </w:r>
      <w:r w:rsidR="00E03AF4" w:rsidRPr="00373A55">
        <w:rPr>
          <w:rFonts w:ascii="Arial" w:eastAsia="Times New Roman" w:hAnsi="Arial" w:cs="Arial"/>
        </w:rPr>
        <w:t>d</w:t>
      </w:r>
      <w:r w:rsidRPr="00373A55">
        <w:rPr>
          <w:rFonts w:ascii="Arial" w:eastAsia="Times New Roman" w:hAnsi="Arial" w:cs="Arial"/>
        </w:rPr>
        <w:t xml:space="preserve"> slightly, </w:t>
      </w:r>
      <w:r w:rsidR="00E03AF4" w:rsidRPr="00373A55">
        <w:rPr>
          <w:rFonts w:ascii="Arial" w:eastAsia="Times New Roman" w:hAnsi="Arial" w:cs="Arial"/>
        </w:rPr>
        <w:t>however,</w:t>
      </w:r>
      <w:r w:rsidRPr="00373A55">
        <w:rPr>
          <w:rFonts w:ascii="Arial" w:eastAsia="Times New Roman" w:hAnsi="Arial" w:cs="Arial"/>
        </w:rPr>
        <w:t xml:space="preserve"> substantial improvement was observed since 2013. </w:t>
      </w:r>
    </w:p>
    <w:p w:rsidR="00E03AF4" w:rsidRPr="00373A55" w:rsidRDefault="00E03AF4" w:rsidP="007D5E9E">
      <w:pPr>
        <w:spacing w:before="200" w:after="0"/>
        <w:jc w:val="both"/>
        <w:rPr>
          <w:rFonts w:ascii="Arial" w:eastAsia="Times New Roman" w:hAnsi="Arial" w:cs="Arial"/>
        </w:rPr>
      </w:pPr>
      <w:r w:rsidRPr="00373A55">
        <w:rPr>
          <w:rFonts w:ascii="Arial" w:eastAsia="Times New Roman" w:hAnsi="Arial" w:cs="Arial"/>
        </w:rPr>
        <w:t xml:space="preserve">According to the survey, in 2007 approximately 15% of the respondents with acute conditions (in 30 days before the survey) were not able to </w:t>
      </w:r>
      <w:r w:rsidR="00A44AD6">
        <w:rPr>
          <w:rFonts w:ascii="Arial" w:eastAsia="Times New Roman" w:hAnsi="Arial" w:cs="Arial"/>
        </w:rPr>
        <w:t xml:space="preserve">receive a </w:t>
      </w:r>
      <w:r w:rsidRPr="00373A55">
        <w:rPr>
          <w:rFonts w:ascii="Arial" w:eastAsia="Times New Roman" w:hAnsi="Arial" w:cs="Arial"/>
        </w:rPr>
        <w:t xml:space="preserve">medical consultation due to the high cost, and in 2010 the indicator grown slightly - up to 16%. The </w:t>
      </w:r>
      <w:r w:rsidR="007D4A1F" w:rsidRPr="00373A55">
        <w:rPr>
          <w:rFonts w:ascii="Arial" w:eastAsia="Times New Roman" w:hAnsi="Arial" w:cs="Arial"/>
        </w:rPr>
        <w:t>universal coverage has decreased this indicator to</w:t>
      </w:r>
      <w:r w:rsidRPr="00373A55">
        <w:rPr>
          <w:rFonts w:ascii="Arial" w:eastAsia="Times New Roman" w:hAnsi="Arial" w:cs="Arial"/>
        </w:rPr>
        <w:t xml:space="preserve"> 10% in 2014, and </w:t>
      </w:r>
      <w:r w:rsidR="007D4A1F" w:rsidRPr="00373A55">
        <w:rPr>
          <w:rFonts w:ascii="Arial" w:eastAsia="Times New Roman" w:hAnsi="Arial" w:cs="Arial"/>
        </w:rPr>
        <w:t>to 6.8% by 2017.</w:t>
      </w:r>
    </w:p>
    <w:p w:rsidR="007C6E84" w:rsidRPr="00373A55" w:rsidRDefault="007C6E84" w:rsidP="007D5E9E">
      <w:pPr>
        <w:spacing w:before="200" w:after="0"/>
        <w:jc w:val="both"/>
        <w:rPr>
          <w:rFonts w:ascii="Arial" w:eastAsia="Times New Roman" w:hAnsi="Arial" w:cs="Arial"/>
        </w:rPr>
      </w:pPr>
    </w:p>
    <w:p w:rsidR="00332277" w:rsidRPr="00373A55" w:rsidRDefault="00332277" w:rsidP="00C636C4">
      <w:pPr>
        <w:spacing w:before="200" w:after="0"/>
        <w:jc w:val="both"/>
        <w:rPr>
          <w:rFonts w:ascii="Arial" w:eastAsia="Times New Roman" w:hAnsi="Arial" w:cs="Arial"/>
        </w:rPr>
      </w:pPr>
      <w:r w:rsidRPr="00373A55">
        <w:rPr>
          <w:rFonts w:ascii="Arial" w:eastAsia="Times New Roman" w:hAnsi="Arial" w:cs="Arial"/>
        </w:rPr>
        <w:t xml:space="preserve">The share of those people who needed hospitalization, but were not hospitalized for financial reasons, decreased from 4% in 2007 to 2.6% in 2010 and 0.7% in 2017. Survey data show that both waves of reforms have not </w:t>
      </w:r>
      <w:r w:rsidR="003812EB">
        <w:rPr>
          <w:rFonts w:ascii="Arial" w:eastAsia="Times New Roman" w:hAnsi="Arial" w:cs="Arial"/>
        </w:rPr>
        <w:t xml:space="preserve">had a significant effect on </w:t>
      </w:r>
      <w:r w:rsidRPr="00373A55">
        <w:rPr>
          <w:rFonts w:ascii="Arial" w:eastAsia="Times New Roman" w:hAnsi="Arial" w:cs="Arial"/>
        </w:rPr>
        <w:t xml:space="preserve">access to medications. </w:t>
      </w:r>
    </w:p>
    <w:p w:rsidR="00332277" w:rsidRPr="00373A55" w:rsidRDefault="00332277" w:rsidP="00332277">
      <w:pPr>
        <w:spacing w:before="200" w:after="0"/>
        <w:jc w:val="both"/>
        <w:rPr>
          <w:rFonts w:ascii="Arial" w:hAnsi="Arial" w:cs="Arial"/>
          <w:color w:val="221E1F"/>
        </w:rPr>
      </w:pPr>
      <w:r w:rsidRPr="00373A55">
        <w:rPr>
          <w:rFonts w:ascii="Arial" w:hAnsi="Arial" w:cs="Arial"/>
          <w:color w:val="221E1F"/>
        </w:rPr>
        <w:t>There was a significant difference between the poorest and the richest quintile in terms of financial access to medical services. The percentage of people who indicated that health care is not financially accessible for them</w:t>
      </w:r>
      <w:r w:rsidR="003812EB">
        <w:rPr>
          <w:rFonts w:ascii="Arial" w:hAnsi="Arial" w:cs="Arial"/>
          <w:color w:val="221E1F"/>
        </w:rPr>
        <w:t xml:space="preserve"> varied by ty</w:t>
      </w:r>
      <w:r w:rsidRPr="00373A55">
        <w:rPr>
          <w:rFonts w:ascii="Arial" w:hAnsi="Arial" w:cs="Arial"/>
          <w:color w:val="221E1F"/>
        </w:rPr>
        <w:t xml:space="preserve">pe of services, but decreased significantly in both quintiles according to data of 2014 and 2017 in comparison </w:t>
      </w:r>
      <w:r w:rsidR="003812EB">
        <w:rPr>
          <w:rFonts w:ascii="Arial" w:hAnsi="Arial" w:cs="Arial"/>
          <w:color w:val="221E1F"/>
        </w:rPr>
        <w:t xml:space="preserve">with </w:t>
      </w:r>
      <w:r w:rsidRPr="00373A55">
        <w:rPr>
          <w:rFonts w:ascii="Arial" w:hAnsi="Arial" w:cs="Arial"/>
          <w:color w:val="221E1F"/>
        </w:rPr>
        <w:t>2010.</w:t>
      </w:r>
    </w:p>
    <w:p w:rsidR="00332277" w:rsidRPr="00373A55" w:rsidRDefault="00332277" w:rsidP="00D3048A">
      <w:pPr>
        <w:rPr>
          <w:rFonts w:ascii="Arial" w:hAnsi="Arial" w:cs="Arial"/>
          <w:color w:val="221E1F"/>
        </w:rPr>
      </w:pPr>
    </w:p>
    <w:p w:rsidR="00D3048A" w:rsidRPr="00373A55" w:rsidRDefault="00332277" w:rsidP="00D3048A">
      <w:pPr>
        <w:rPr>
          <w:rFonts w:ascii="Arial" w:hAnsi="Arial" w:cs="Arial"/>
        </w:rPr>
      </w:pPr>
      <w:r w:rsidRPr="00373A55">
        <w:rPr>
          <w:rFonts w:ascii="Arial" w:hAnsi="Arial" w:cs="Arial"/>
          <w:color w:val="221E1F"/>
        </w:rPr>
        <w:t>Table 1</w:t>
      </w:r>
      <w:r w:rsidR="005E6260" w:rsidRPr="00373A55">
        <w:rPr>
          <w:rFonts w:ascii="Arial" w:hAnsi="Arial" w:cs="Arial"/>
        </w:rPr>
        <w:t>:</w:t>
      </w:r>
      <w:r w:rsidRPr="00373A55">
        <w:rPr>
          <w:rFonts w:ascii="Arial" w:hAnsi="Arial" w:cs="Arial"/>
        </w:rPr>
        <w:t xml:space="preserve"> Several indic</w:t>
      </w:r>
      <w:r w:rsidR="003812EB">
        <w:rPr>
          <w:rFonts w:ascii="Arial" w:hAnsi="Arial" w:cs="Arial"/>
        </w:rPr>
        <w:t>a</w:t>
      </w:r>
      <w:r w:rsidRPr="00373A55">
        <w:rPr>
          <w:rFonts w:ascii="Arial" w:hAnsi="Arial" w:cs="Arial"/>
        </w:rPr>
        <w:t xml:space="preserve">tors of access to health services </w:t>
      </w:r>
    </w:p>
    <w:tbl>
      <w:tblPr>
        <w:tblW w:w="4942" w:type="pct"/>
        <w:tblLook w:val="04A0" w:firstRow="1" w:lastRow="0" w:firstColumn="1" w:lastColumn="0" w:noHBand="0" w:noVBand="1"/>
      </w:tblPr>
      <w:tblGrid>
        <w:gridCol w:w="3985"/>
        <w:gridCol w:w="971"/>
        <w:gridCol w:w="1525"/>
        <w:gridCol w:w="1247"/>
        <w:gridCol w:w="1523"/>
      </w:tblGrid>
      <w:tr w:rsidR="00691F6C" w:rsidRPr="00373A55" w:rsidTr="001E24A3">
        <w:trPr>
          <w:trHeight w:val="509"/>
        </w:trPr>
        <w:tc>
          <w:tcPr>
            <w:tcW w:w="2154" w:type="pct"/>
            <w:vMerge w:val="restart"/>
            <w:tcBorders>
              <w:top w:val="single" w:sz="12" w:space="0" w:color="auto"/>
              <w:left w:val="nil"/>
              <w:bottom w:val="single" w:sz="8" w:space="0" w:color="000000"/>
              <w:right w:val="nil"/>
            </w:tcBorders>
            <w:shd w:val="clear" w:color="auto" w:fill="auto"/>
            <w:vAlign w:val="center"/>
            <w:hideMark/>
          </w:tcPr>
          <w:p w:rsidR="00691F6C" w:rsidRPr="00373A55" w:rsidRDefault="00332277" w:rsidP="002C6944">
            <w:pPr>
              <w:spacing w:after="0" w:line="240" w:lineRule="auto"/>
              <w:jc w:val="center"/>
              <w:rPr>
                <w:rFonts w:ascii="Arial" w:hAnsi="Arial" w:cs="Arial"/>
                <w:b/>
                <w:bCs/>
                <w:color w:val="000000"/>
                <w:sz w:val="18"/>
              </w:rPr>
            </w:pPr>
            <w:r w:rsidRPr="00373A55">
              <w:rPr>
                <w:rFonts w:ascii="Arial" w:hAnsi="Arial" w:cs="Arial"/>
                <w:b/>
                <w:bCs/>
                <w:color w:val="000000"/>
                <w:sz w:val="18"/>
              </w:rPr>
              <w:t>Indictor</w:t>
            </w:r>
          </w:p>
        </w:tc>
        <w:tc>
          <w:tcPr>
            <w:tcW w:w="525" w:type="pct"/>
            <w:vMerge w:val="restart"/>
            <w:tcBorders>
              <w:top w:val="single" w:sz="12" w:space="0" w:color="auto"/>
              <w:left w:val="nil"/>
              <w:bottom w:val="single" w:sz="8" w:space="0" w:color="000000"/>
              <w:right w:val="nil"/>
            </w:tcBorders>
            <w:shd w:val="clear" w:color="auto" w:fill="auto"/>
            <w:vAlign w:val="center"/>
            <w:hideMark/>
          </w:tcPr>
          <w:p w:rsidR="00691F6C" w:rsidRPr="00373A55" w:rsidRDefault="00332277" w:rsidP="002C6944">
            <w:pPr>
              <w:spacing w:after="0" w:line="240" w:lineRule="auto"/>
              <w:jc w:val="center"/>
              <w:rPr>
                <w:rFonts w:ascii="Arial" w:hAnsi="Arial" w:cs="Arial"/>
                <w:b/>
                <w:bCs/>
                <w:color w:val="000000"/>
                <w:sz w:val="18"/>
              </w:rPr>
            </w:pPr>
            <w:r w:rsidRPr="00373A55">
              <w:rPr>
                <w:rFonts w:ascii="Arial" w:hAnsi="Arial" w:cs="Arial"/>
                <w:b/>
                <w:bCs/>
                <w:color w:val="000000"/>
                <w:sz w:val="18"/>
              </w:rPr>
              <w:t>Year</w:t>
            </w:r>
          </w:p>
        </w:tc>
        <w:tc>
          <w:tcPr>
            <w:tcW w:w="824" w:type="pct"/>
            <w:vMerge w:val="restart"/>
            <w:tcBorders>
              <w:top w:val="single" w:sz="12" w:space="0" w:color="auto"/>
              <w:left w:val="nil"/>
              <w:bottom w:val="single" w:sz="8" w:space="0" w:color="000000"/>
              <w:right w:val="nil"/>
            </w:tcBorders>
            <w:shd w:val="clear" w:color="auto" w:fill="auto"/>
            <w:vAlign w:val="center"/>
            <w:hideMark/>
          </w:tcPr>
          <w:p w:rsidR="00691F6C" w:rsidRPr="00373A55" w:rsidRDefault="00332277" w:rsidP="002C6944">
            <w:pPr>
              <w:spacing w:after="0" w:line="240" w:lineRule="auto"/>
              <w:jc w:val="center"/>
              <w:rPr>
                <w:rFonts w:ascii="Arial" w:hAnsi="Arial" w:cs="Arial"/>
                <w:b/>
                <w:bCs/>
                <w:color w:val="000000"/>
                <w:sz w:val="18"/>
              </w:rPr>
            </w:pPr>
            <w:r w:rsidRPr="00373A55">
              <w:rPr>
                <w:rFonts w:ascii="Arial" w:hAnsi="Arial" w:cs="Arial"/>
                <w:b/>
                <w:bCs/>
                <w:color w:val="000000"/>
                <w:sz w:val="18"/>
              </w:rPr>
              <w:t>Poorest Quintile</w:t>
            </w:r>
          </w:p>
        </w:tc>
        <w:tc>
          <w:tcPr>
            <w:tcW w:w="674" w:type="pct"/>
            <w:vMerge w:val="restart"/>
            <w:tcBorders>
              <w:top w:val="single" w:sz="12" w:space="0" w:color="auto"/>
              <w:left w:val="nil"/>
              <w:bottom w:val="single" w:sz="8" w:space="0" w:color="000000"/>
              <w:right w:val="nil"/>
            </w:tcBorders>
            <w:shd w:val="clear" w:color="auto" w:fill="auto"/>
            <w:vAlign w:val="center"/>
            <w:hideMark/>
          </w:tcPr>
          <w:p w:rsidR="00691F6C" w:rsidRPr="00373A55" w:rsidRDefault="003812EB" w:rsidP="002C6944">
            <w:pPr>
              <w:spacing w:after="0" w:line="240" w:lineRule="auto"/>
              <w:jc w:val="center"/>
              <w:rPr>
                <w:rFonts w:ascii="Arial" w:hAnsi="Arial" w:cs="Arial"/>
                <w:b/>
                <w:bCs/>
                <w:color w:val="000000"/>
                <w:sz w:val="18"/>
              </w:rPr>
            </w:pPr>
            <w:r w:rsidRPr="00373A55">
              <w:rPr>
                <w:rFonts w:ascii="Arial" w:hAnsi="Arial" w:cs="Arial"/>
                <w:b/>
                <w:bCs/>
                <w:color w:val="000000"/>
                <w:sz w:val="18"/>
              </w:rPr>
              <w:t>Richest</w:t>
            </w:r>
            <w:r w:rsidR="00332277" w:rsidRPr="00373A55">
              <w:rPr>
                <w:rFonts w:ascii="Arial" w:hAnsi="Arial" w:cs="Arial"/>
                <w:b/>
                <w:bCs/>
                <w:color w:val="000000"/>
                <w:sz w:val="18"/>
              </w:rPr>
              <w:t xml:space="preserve"> Quintile</w:t>
            </w:r>
          </w:p>
        </w:tc>
        <w:tc>
          <w:tcPr>
            <w:tcW w:w="823" w:type="pct"/>
            <w:vMerge w:val="restart"/>
            <w:tcBorders>
              <w:top w:val="single" w:sz="12" w:space="0" w:color="auto"/>
              <w:left w:val="nil"/>
              <w:right w:val="nil"/>
            </w:tcBorders>
            <w:vAlign w:val="center"/>
          </w:tcPr>
          <w:p w:rsidR="00691F6C" w:rsidRPr="00373A55" w:rsidRDefault="00332277" w:rsidP="002C6944">
            <w:pPr>
              <w:spacing w:after="0" w:line="240" w:lineRule="auto"/>
              <w:jc w:val="center"/>
              <w:rPr>
                <w:rFonts w:ascii="Arial" w:hAnsi="Arial" w:cs="Arial"/>
                <w:b/>
                <w:bCs/>
                <w:color w:val="000000"/>
                <w:sz w:val="18"/>
              </w:rPr>
            </w:pPr>
            <w:r w:rsidRPr="00373A55">
              <w:rPr>
                <w:rFonts w:ascii="Arial" w:hAnsi="Arial" w:cs="Arial"/>
                <w:b/>
                <w:bCs/>
                <w:color w:val="000000"/>
                <w:sz w:val="18"/>
              </w:rPr>
              <w:t>Total</w:t>
            </w:r>
          </w:p>
        </w:tc>
      </w:tr>
      <w:tr w:rsidR="00691F6C" w:rsidRPr="00373A55" w:rsidTr="005E6260">
        <w:trPr>
          <w:trHeight w:val="220"/>
        </w:trPr>
        <w:tc>
          <w:tcPr>
            <w:tcW w:w="2154" w:type="pct"/>
            <w:vMerge/>
            <w:tcBorders>
              <w:top w:val="single" w:sz="12" w:space="0" w:color="auto"/>
              <w:left w:val="nil"/>
              <w:bottom w:val="single" w:sz="8" w:space="0" w:color="000000"/>
              <w:right w:val="nil"/>
            </w:tcBorders>
            <w:vAlign w:val="center"/>
            <w:hideMark/>
          </w:tcPr>
          <w:p w:rsidR="00691F6C" w:rsidRPr="00373A55" w:rsidRDefault="00691F6C" w:rsidP="002C6944">
            <w:pPr>
              <w:spacing w:after="0" w:line="240" w:lineRule="auto"/>
              <w:rPr>
                <w:rFonts w:ascii="Arial" w:hAnsi="Arial" w:cs="Arial"/>
                <w:b/>
                <w:bCs/>
                <w:color w:val="000000"/>
                <w:sz w:val="18"/>
              </w:rPr>
            </w:pPr>
          </w:p>
        </w:tc>
        <w:tc>
          <w:tcPr>
            <w:tcW w:w="525" w:type="pct"/>
            <w:vMerge/>
            <w:tcBorders>
              <w:top w:val="single" w:sz="12" w:space="0" w:color="auto"/>
              <w:left w:val="nil"/>
              <w:bottom w:val="single" w:sz="8" w:space="0" w:color="000000"/>
              <w:right w:val="nil"/>
            </w:tcBorders>
            <w:vAlign w:val="center"/>
            <w:hideMark/>
          </w:tcPr>
          <w:p w:rsidR="00691F6C" w:rsidRPr="00373A55" w:rsidRDefault="00691F6C" w:rsidP="002C6944">
            <w:pPr>
              <w:spacing w:after="0" w:line="240" w:lineRule="auto"/>
              <w:rPr>
                <w:rFonts w:ascii="Arial" w:hAnsi="Arial" w:cs="Arial"/>
                <w:b/>
                <w:bCs/>
                <w:color w:val="000000"/>
                <w:sz w:val="18"/>
              </w:rPr>
            </w:pPr>
          </w:p>
        </w:tc>
        <w:tc>
          <w:tcPr>
            <w:tcW w:w="824" w:type="pct"/>
            <w:vMerge/>
            <w:tcBorders>
              <w:top w:val="single" w:sz="12" w:space="0" w:color="auto"/>
              <w:left w:val="nil"/>
              <w:bottom w:val="single" w:sz="8" w:space="0" w:color="000000"/>
              <w:right w:val="nil"/>
            </w:tcBorders>
            <w:vAlign w:val="center"/>
            <w:hideMark/>
          </w:tcPr>
          <w:p w:rsidR="00691F6C" w:rsidRPr="00373A55" w:rsidRDefault="00691F6C" w:rsidP="002C6944">
            <w:pPr>
              <w:spacing w:after="0" w:line="240" w:lineRule="auto"/>
              <w:rPr>
                <w:rFonts w:ascii="Arial" w:hAnsi="Arial" w:cs="Arial"/>
                <w:b/>
                <w:bCs/>
                <w:color w:val="000000"/>
                <w:sz w:val="18"/>
              </w:rPr>
            </w:pPr>
          </w:p>
        </w:tc>
        <w:tc>
          <w:tcPr>
            <w:tcW w:w="674" w:type="pct"/>
            <w:vMerge/>
            <w:tcBorders>
              <w:top w:val="single" w:sz="12" w:space="0" w:color="auto"/>
              <w:left w:val="nil"/>
              <w:bottom w:val="single" w:sz="8" w:space="0" w:color="000000"/>
              <w:right w:val="nil"/>
            </w:tcBorders>
            <w:vAlign w:val="center"/>
            <w:hideMark/>
          </w:tcPr>
          <w:p w:rsidR="00691F6C" w:rsidRPr="00373A55" w:rsidRDefault="00691F6C" w:rsidP="002C6944">
            <w:pPr>
              <w:spacing w:after="0" w:line="240" w:lineRule="auto"/>
              <w:rPr>
                <w:rFonts w:ascii="Arial" w:hAnsi="Arial" w:cs="Arial"/>
                <w:b/>
                <w:bCs/>
                <w:color w:val="000000"/>
                <w:sz w:val="18"/>
              </w:rPr>
            </w:pPr>
          </w:p>
        </w:tc>
        <w:tc>
          <w:tcPr>
            <w:tcW w:w="823" w:type="pct"/>
            <w:vMerge/>
            <w:tcBorders>
              <w:left w:val="nil"/>
              <w:bottom w:val="single" w:sz="8" w:space="0" w:color="000000"/>
              <w:right w:val="nil"/>
            </w:tcBorders>
          </w:tcPr>
          <w:p w:rsidR="00691F6C" w:rsidRPr="00373A55" w:rsidRDefault="00691F6C" w:rsidP="002C6944">
            <w:pPr>
              <w:spacing w:after="0" w:line="240" w:lineRule="auto"/>
              <w:rPr>
                <w:rFonts w:ascii="Arial" w:hAnsi="Arial" w:cs="Arial"/>
                <w:b/>
                <w:bCs/>
                <w:color w:val="000000"/>
                <w:sz w:val="18"/>
              </w:rPr>
            </w:pPr>
          </w:p>
        </w:tc>
      </w:tr>
      <w:tr w:rsidR="00691F6C" w:rsidRPr="00373A55"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373A55" w:rsidRDefault="00D76718" w:rsidP="00D76718">
            <w:pPr>
              <w:spacing w:after="0" w:line="240" w:lineRule="auto"/>
              <w:rPr>
                <w:rFonts w:ascii="Arial" w:hAnsi="Arial" w:cs="Arial"/>
                <w:color w:val="000000"/>
                <w:sz w:val="18"/>
                <w:szCs w:val="20"/>
              </w:rPr>
            </w:pPr>
            <w:r w:rsidRPr="00373A55">
              <w:rPr>
                <w:rFonts w:ascii="Arial" w:hAnsi="Arial" w:cs="Arial"/>
                <w:color w:val="000000"/>
                <w:sz w:val="18"/>
                <w:szCs w:val="20"/>
              </w:rPr>
              <w:t xml:space="preserve"> % of the population who were ill in the last 30 days and could not receive a consultation because it was very expensive (% for all reasons) </w:t>
            </w: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18.2</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11.8</w:t>
            </w:r>
          </w:p>
        </w:tc>
        <w:tc>
          <w:tcPr>
            <w:tcW w:w="823" w:type="pct"/>
            <w:tcBorders>
              <w:top w:val="nil"/>
              <w:left w:val="nil"/>
              <w:bottom w:val="nil"/>
              <w:right w:val="nil"/>
            </w:tcBorders>
            <w:vAlign w:val="center"/>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15.1</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25.3</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5.3</w:t>
            </w:r>
          </w:p>
        </w:tc>
        <w:tc>
          <w:tcPr>
            <w:tcW w:w="823" w:type="pct"/>
            <w:tcBorders>
              <w:top w:val="nil"/>
              <w:left w:val="nil"/>
              <w:bottom w:val="nil"/>
              <w:right w:val="nil"/>
            </w:tcBorders>
            <w:vAlign w:val="center"/>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16.7</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18.7</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4.9</w:t>
            </w:r>
          </w:p>
        </w:tc>
        <w:tc>
          <w:tcPr>
            <w:tcW w:w="823" w:type="pct"/>
            <w:tcBorders>
              <w:top w:val="nil"/>
              <w:left w:val="nil"/>
              <w:bottom w:val="nil"/>
              <w:right w:val="nil"/>
            </w:tcBorders>
            <w:vAlign w:val="bottom"/>
          </w:tcPr>
          <w:p w:rsidR="00691F6C" w:rsidRPr="00373A55" w:rsidRDefault="001E24A3" w:rsidP="002C6944">
            <w:pPr>
              <w:spacing w:after="0" w:line="240" w:lineRule="auto"/>
              <w:jc w:val="center"/>
              <w:rPr>
                <w:rFonts w:ascii="Arial" w:hAnsi="Arial" w:cs="Arial"/>
                <w:color w:val="000000"/>
                <w:sz w:val="20"/>
              </w:rPr>
            </w:pPr>
            <w:r w:rsidRPr="00373A55">
              <w:rPr>
                <w:rFonts w:ascii="Arial" w:hAnsi="Arial" w:cs="Arial"/>
                <w:color w:val="000000"/>
                <w:sz w:val="20"/>
              </w:rPr>
              <w:t>10.0</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373A55" w:rsidRDefault="001E24A3" w:rsidP="002C6944">
            <w:pPr>
              <w:spacing w:after="0" w:line="240" w:lineRule="auto"/>
              <w:jc w:val="center"/>
              <w:rPr>
                <w:rFonts w:ascii="Arial" w:hAnsi="Arial" w:cs="Arial"/>
                <w:color w:val="000000"/>
                <w:sz w:val="18"/>
              </w:rPr>
            </w:pPr>
            <w:r w:rsidRPr="00373A55">
              <w:rPr>
                <w:rFonts w:ascii="Arial" w:hAnsi="Arial" w:cs="Arial"/>
                <w:color w:val="000000"/>
                <w:sz w:val="18"/>
              </w:rPr>
              <w:t>12.3</w:t>
            </w:r>
          </w:p>
        </w:tc>
        <w:tc>
          <w:tcPr>
            <w:tcW w:w="674" w:type="pct"/>
            <w:tcBorders>
              <w:top w:val="nil"/>
              <w:left w:val="nil"/>
              <w:bottom w:val="single" w:sz="4" w:space="0" w:color="auto"/>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2.7</w:t>
            </w:r>
          </w:p>
        </w:tc>
        <w:tc>
          <w:tcPr>
            <w:tcW w:w="823" w:type="pct"/>
            <w:tcBorders>
              <w:top w:val="nil"/>
              <w:left w:val="nil"/>
              <w:bottom w:val="single" w:sz="4" w:space="0" w:color="auto"/>
              <w:right w:val="nil"/>
            </w:tcBorders>
            <w:vAlign w:val="bottom"/>
          </w:tcPr>
          <w:p w:rsidR="00691F6C" w:rsidRPr="00373A55" w:rsidRDefault="001E24A3" w:rsidP="002C6944">
            <w:pPr>
              <w:spacing w:after="0" w:line="240" w:lineRule="auto"/>
              <w:jc w:val="center"/>
              <w:rPr>
                <w:rFonts w:ascii="Arial" w:hAnsi="Arial" w:cs="Arial"/>
                <w:color w:val="000000"/>
                <w:sz w:val="20"/>
              </w:rPr>
            </w:pPr>
            <w:r w:rsidRPr="00373A55">
              <w:rPr>
                <w:rFonts w:ascii="Arial" w:hAnsi="Arial" w:cs="Arial"/>
                <w:color w:val="000000"/>
                <w:sz w:val="20"/>
              </w:rPr>
              <w:t>6.8</w:t>
            </w:r>
          </w:p>
        </w:tc>
      </w:tr>
      <w:tr w:rsidR="00691F6C" w:rsidRPr="00373A55"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373A55" w:rsidRDefault="00D76718" w:rsidP="002C6944">
            <w:pPr>
              <w:pStyle w:val="NormalWeb"/>
              <w:spacing w:before="0" w:beforeAutospacing="0" w:after="0" w:afterAutospacing="0"/>
              <w:rPr>
                <w:rFonts w:ascii="Arial" w:hAnsi="Arial" w:cs="Arial"/>
                <w:sz w:val="18"/>
                <w:szCs w:val="20"/>
              </w:rPr>
            </w:pPr>
            <w:r w:rsidRPr="00373A55">
              <w:rPr>
                <w:rFonts w:ascii="Arial" w:eastAsiaTheme="minorEastAsia" w:hAnsi="Arial" w:cs="Arial"/>
                <w:bCs/>
                <w:color w:val="000000"/>
                <w:kern w:val="24"/>
                <w:sz w:val="18"/>
                <w:szCs w:val="20"/>
              </w:rPr>
              <w:t>% of consultations when a medication was prescribed but could not be purchased because it was expensive (base: all consultations)</w:t>
            </w:r>
          </w:p>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15.7</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7.2</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11.4</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21.7</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10.3</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13.1</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18.6</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5.6</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10.2</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373A55" w:rsidRDefault="001E24A3" w:rsidP="002C6944">
            <w:pPr>
              <w:spacing w:after="0" w:line="240" w:lineRule="auto"/>
              <w:jc w:val="center"/>
              <w:rPr>
                <w:rFonts w:ascii="Arial" w:hAnsi="Arial" w:cs="Arial"/>
                <w:color w:val="000000"/>
                <w:sz w:val="18"/>
              </w:rPr>
            </w:pPr>
            <w:r w:rsidRPr="00373A55">
              <w:rPr>
                <w:rFonts w:ascii="Arial" w:hAnsi="Arial" w:cs="Arial"/>
                <w:color w:val="000000"/>
                <w:sz w:val="18"/>
              </w:rPr>
              <w:t>15.2</w:t>
            </w:r>
          </w:p>
        </w:tc>
        <w:tc>
          <w:tcPr>
            <w:tcW w:w="674" w:type="pct"/>
            <w:tcBorders>
              <w:top w:val="nil"/>
              <w:left w:val="nil"/>
              <w:bottom w:val="single" w:sz="4" w:space="0" w:color="auto"/>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5.5</w:t>
            </w:r>
          </w:p>
        </w:tc>
        <w:tc>
          <w:tcPr>
            <w:tcW w:w="823" w:type="pct"/>
            <w:tcBorders>
              <w:top w:val="nil"/>
              <w:left w:val="nil"/>
              <w:bottom w:val="single" w:sz="4" w:space="0" w:color="auto"/>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9.6</w:t>
            </w:r>
          </w:p>
        </w:tc>
      </w:tr>
      <w:tr w:rsidR="00691F6C" w:rsidRPr="00373A55"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D76718" w:rsidRPr="00373A55" w:rsidRDefault="00D76718" w:rsidP="00D76718">
            <w:pPr>
              <w:pStyle w:val="NormalWeb"/>
              <w:spacing w:before="0" w:beforeAutospacing="0" w:after="0" w:afterAutospacing="0"/>
              <w:rPr>
                <w:rFonts w:ascii="Arial" w:hAnsi="Arial" w:cs="Arial"/>
                <w:sz w:val="18"/>
                <w:szCs w:val="20"/>
              </w:rPr>
            </w:pPr>
            <w:r w:rsidRPr="00373A55">
              <w:rPr>
                <w:rFonts w:ascii="Arial" w:eastAsiaTheme="minorEastAsia" w:hAnsi="Arial" w:cs="Arial"/>
                <w:bCs/>
                <w:color w:val="000000"/>
                <w:kern w:val="24"/>
                <w:sz w:val="18"/>
                <w:szCs w:val="20"/>
              </w:rPr>
              <w:t>% of consultations when a lab test was prescribed but could not be done because it was expensive (base: all consultations)</w:t>
            </w:r>
          </w:p>
          <w:p w:rsidR="00691F6C" w:rsidRPr="00373A55" w:rsidRDefault="00691F6C" w:rsidP="00D76718">
            <w:pPr>
              <w:pStyle w:val="NormalWeb"/>
              <w:spacing w:before="0" w:beforeAutospacing="0" w:after="0" w:afterAutospacing="0"/>
              <w:rPr>
                <w:rFonts w:ascii="Arial" w:hAnsi="Arial" w:cs="Arial"/>
                <w:color w:val="000000"/>
                <w:sz w:val="18"/>
                <w:szCs w:val="20"/>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5</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3.9</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4.1</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6.3</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2.9</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4.2</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5.1</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1.9</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2.9</w:t>
            </w:r>
          </w:p>
        </w:tc>
      </w:tr>
      <w:tr w:rsidR="00691F6C" w:rsidRPr="00373A55" w:rsidTr="001E24A3">
        <w:trPr>
          <w:trHeight w:val="255"/>
        </w:trPr>
        <w:tc>
          <w:tcPr>
            <w:tcW w:w="2154" w:type="pct"/>
            <w:vMerge/>
            <w:tcBorders>
              <w:top w:val="single" w:sz="4" w:space="0" w:color="auto"/>
              <w:left w:val="nil"/>
              <w:bottom w:val="nil"/>
              <w:right w:val="nil"/>
            </w:tcBorders>
            <w:vAlign w:val="center"/>
            <w:hideMark/>
          </w:tcPr>
          <w:p w:rsidR="00691F6C" w:rsidRPr="00373A55" w:rsidRDefault="00691F6C" w:rsidP="002C6944">
            <w:pPr>
              <w:spacing w:after="0" w:line="240" w:lineRule="auto"/>
              <w:rPr>
                <w:rFonts w:ascii="Arial" w:hAnsi="Arial"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373A55" w:rsidRDefault="001E24A3" w:rsidP="002C6944">
            <w:pPr>
              <w:spacing w:after="0" w:line="240" w:lineRule="auto"/>
              <w:jc w:val="center"/>
              <w:rPr>
                <w:rFonts w:ascii="Arial" w:hAnsi="Arial" w:cs="Arial"/>
                <w:color w:val="000000"/>
                <w:sz w:val="18"/>
              </w:rPr>
            </w:pPr>
            <w:r w:rsidRPr="00373A55">
              <w:rPr>
                <w:rFonts w:ascii="Arial" w:hAnsi="Arial" w:cs="Arial"/>
                <w:color w:val="000000"/>
                <w:sz w:val="18"/>
              </w:rPr>
              <w:t>3.4</w:t>
            </w:r>
          </w:p>
        </w:tc>
        <w:tc>
          <w:tcPr>
            <w:tcW w:w="674" w:type="pct"/>
            <w:tcBorders>
              <w:top w:val="nil"/>
              <w:left w:val="nil"/>
              <w:bottom w:val="single" w:sz="4" w:space="0" w:color="auto"/>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1.3</w:t>
            </w:r>
          </w:p>
        </w:tc>
        <w:tc>
          <w:tcPr>
            <w:tcW w:w="823" w:type="pct"/>
            <w:tcBorders>
              <w:top w:val="nil"/>
              <w:left w:val="nil"/>
              <w:bottom w:val="single" w:sz="4" w:space="0" w:color="auto"/>
              <w:right w:val="nil"/>
            </w:tcBorders>
            <w:vAlign w:val="bottom"/>
          </w:tcPr>
          <w:p w:rsidR="00691F6C" w:rsidRPr="00373A55" w:rsidRDefault="001E24A3" w:rsidP="002C6944">
            <w:pPr>
              <w:spacing w:after="0" w:line="240" w:lineRule="auto"/>
              <w:jc w:val="center"/>
              <w:rPr>
                <w:rFonts w:ascii="Arial" w:hAnsi="Arial" w:cs="Arial"/>
                <w:color w:val="000000"/>
                <w:sz w:val="20"/>
              </w:rPr>
            </w:pPr>
            <w:r w:rsidRPr="00373A55">
              <w:rPr>
                <w:rFonts w:ascii="Arial" w:hAnsi="Arial" w:cs="Arial"/>
                <w:color w:val="000000"/>
                <w:sz w:val="20"/>
              </w:rPr>
              <w:t>2.4</w:t>
            </w:r>
          </w:p>
        </w:tc>
      </w:tr>
      <w:tr w:rsidR="00691F6C" w:rsidRPr="00373A55" w:rsidTr="001E24A3">
        <w:trPr>
          <w:trHeight w:val="285"/>
        </w:trPr>
        <w:tc>
          <w:tcPr>
            <w:tcW w:w="2154" w:type="pct"/>
            <w:vMerge w:val="restart"/>
            <w:tcBorders>
              <w:top w:val="single" w:sz="4" w:space="0" w:color="auto"/>
              <w:left w:val="nil"/>
              <w:bottom w:val="single" w:sz="8" w:space="0" w:color="000000"/>
              <w:right w:val="nil"/>
            </w:tcBorders>
            <w:shd w:val="clear" w:color="auto" w:fill="auto"/>
            <w:vAlign w:val="center"/>
            <w:hideMark/>
          </w:tcPr>
          <w:p w:rsidR="00691F6C" w:rsidRPr="00373A55" w:rsidRDefault="00D76718" w:rsidP="00D76718">
            <w:pPr>
              <w:spacing w:after="0" w:line="240" w:lineRule="auto"/>
              <w:rPr>
                <w:rFonts w:ascii="Arial" w:hAnsi="Arial" w:cs="Arial"/>
                <w:color w:val="000000"/>
                <w:sz w:val="18"/>
                <w:szCs w:val="20"/>
              </w:rPr>
            </w:pPr>
            <w:r w:rsidRPr="00373A55">
              <w:rPr>
                <w:rFonts w:ascii="Arial" w:hAnsi="Arial" w:cs="Arial"/>
                <w:color w:val="000000"/>
                <w:sz w:val="18"/>
                <w:szCs w:val="20"/>
              </w:rPr>
              <w:t>% of the population who needed hospital care but were not hospitalized because it was expensive (base: total)</w:t>
            </w: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4.6</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3.5</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4.0</w:t>
            </w:r>
          </w:p>
        </w:tc>
      </w:tr>
      <w:tr w:rsidR="00691F6C" w:rsidRPr="00373A55"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373A55" w:rsidRDefault="00691F6C" w:rsidP="002C6944">
            <w:pPr>
              <w:spacing w:after="0" w:line="240" w:lineRule="auto"/>
              <w:rPr>
                <w:rFonts w:ascii="Arial" w:hAnsi="Arial" w:cs="Arial"/>
                <w:color w:val="000000"/>
                <w:sz w:val="18"/>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3.4</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2.6</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2.6</w:t>
            </w:r>
          </w:p>
        </w:tc>
      </w:tr>
      <w:tr w:rsidR="00691F6C" w:rsidRPr="00373A55"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373A55" w:rsidRDefault="00691F6C" w:rsidP="002C6944">
            <w:pPr>
              <w:spacing w:after="0" w:line="240" w:lineRule="auto"/>
              <w:rPr>
                <w:rFonts w:ascii="Arial" w:hAnsi="Arial" w:cs="Arial"/>
                <w:color w:val="000000"/>
                <w:sz w:val="18"/>
              </w:rPr>
            </w:pPr>
          </w:p>
        </w:tc>
        <w:tc>
          <w:tcPr>
            <w:tcW w:w="525" w:type="pct"/>
            <w:tcBorders>
              <w:top w:val="nil"/>
              <w:left w:val="nil"/>
              <w:bottom w:val="nil"/>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1.4</w:t>
            </w:r>
          </w:p>
        </w:tc>
        <w:tc>
          <w:tcPr>
            <w:tcW w:w="674" w:type="pct"/>
            <w:tcBorders>
              <w:top w:val="nil"/>
              <w:left w:val="nil"/>
              <w:bottom w:val="nil"/>
              <w:right w:val="nil"/>
            </w:tcBorders>
            <w:shd w:val="clear" w:color="auto" w:fill="auto"/>
            <w:noWrap/>
            <w:vAlign w:val="bottom"/>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1.2</w:t>
            </w:r>
          </w:p>
        </w:tc>
        <w:tc>
          <w:tcPr>
            <w:tcW w:w="823" w:type="pct"/>
            <w:tcBorders>
              <w:top w:val="nil"/>
              <w:left w:val="nil"/>
              <w:bottom w:val="nil"/>
              <w:right w:val="nil"/>
            </w:tcBorders>
            <w:vAlign w:val="bottom"/>
          </w:tcPr>
          <w:p w:rsidR="00691F6C" w:rsidRPr="00373A55" w:rsidRDefault="00691F6C" w:rsidP="002C6944">
            <w:pPr>
              <w:spacing w:after="0" w:line="240" w:lineRule="auto"/>
              <w:jc w:val="center"/>
              <w:rPr>
                <w:rFonts w:ascii="Arial" w:hAnsi="Arial" w:cs="Arial"/>
                <w:color w:val="000000"/>
                <w:sz w:val="20"/>
              </w:rPr>
            </w:pPr>
            <w:r w:rsidRPr="00373A55">
              <w:rPr>
                <w:rFonts w:ascii="Arial" w:hAnsi="Arial" w:cs="Arial"/>
                <w:color w:val="000000"/>
                <w:sz w:val="20"/>
              </w:rPr>
              <w:t>1.2</w:t>
            </w:r>
          </w:p>
        </w:tc>
      </w:tr>
      <w:tr w:rsidR="00691F6C" w:rsidRPr="00373A55" w:rsidTr="001E24A3">
        <w:trPr>
          <w:trHeight w:val="270"/>
        </w:trPr>
        <w:tc>
          <w:tcPr>
            <w:tcW w:w="2154" w:type="pct"/>
            <w:vMerge/>
            <w:tcBorders>
              <w:top w:val="single" w:sz="4" w:space="0" w:color="auto"/>
              <w:left w:val="nil"/>
              <w:bottom w:val="single" w:sz="8" w:space="0" w:color="000000"/>
              <w:right w:val="nil"/>
            </w:tcBorders>
            <w:vAlign w:val="center"/>
            <w:hideMark/>
          </w:tcPr>
          <w:p w:rsidR="00691F6C" w:rsidRPr="00373A55" w:rsidRDefault="00691F6C" w:rsidP="002C6944">
            <w:pPr>
              <w:spacing w:after="0" w:line="240" w:lineRule="auto"/>
              <w:rPr>
                <w:rFonts w:ascii="Arial" w:hAnsi="Arial" w:cs="Arial"/>
                <w:color w:val="000000"/>
                <w:sz w:val="18"/>
              </w:rPr>
            </w:pPr>
          </w:p>
        </w:tc>
        <w:tc>
          <w:tcPr>
            <w:tcW w:w="525" w:type="pct"/>
            <w:tcBorders>
              <w:top w:val="nil"/>
              <w:left w:val="nil"/>
              <w:bottom w:val="single" w:sz="8" w:space="0" w:color="auto"/>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2017</w:t>
            </w:r>
          </w:p>
        </w:tc>
        <w:tc>
          <w:tcPr>
            <w:tcW w:w="824" w:type="pct"/>
            <w:tcBorders>
              <w:top w:val="nil"/>
              <w:left w:val="nil"/>
              <w:bottom w:val="single" w:sz="8" w:space="0" w:color="auto"/>
              <w:right w:val="nil"/>
            </w:tcBorders>
            <w:shd w:val="clear" w:color="auto" w:fill="auto"/>
            <w:vAlign w:val="center"/>
            <w:hideMark/>
          </w:tcPr>
          <w:p w:rsidR="00691F6C" w:rsidRPr="00373A55" w:rsidRDefault="001E24A3" w:rsidP="002C6944">
            <w:pPr>
              <w:spacing w:after="0" w:line="240" w:lineRule="auto"/>
              <w:jc w:val="center"/>
              <w:rPr>
                <w:rFonts w:ascii="Arial" w:hAnsi="Arial" w:cs="Arial"/>
                <w:color w:val="000000"/>
                <w:sz w:val="18"/>
              </w:rPr>
            </w:pPr>
            <w:r w:rsidRPr="00373A55">
              <w:rPr>
                <w:rFonts w:ascii="Arial" w:hAnsi="Arial" w:cs="Arial"/>
                <w:color w:val="000000"/>
                <w:sz w:val="18"/>
              </w:rPr>
              <w:t>0.7</w:t>
            </w:r>
          </w:p>
        </w:tc>
        <w:tc>
          <w:tcPr>
            <w:tcW w:w="674" w:type="pct"/>
            <w:tcBorders>
              <w:top w:val="nil"/>
              <w:left w:val="nil"/>
              <w:bottom w:val="single" w:sz="8" w:space="0" w:color="auto"/>
              <w:right w:val="nil"/>
            </w:tcBorders>
            <w:shd w:val="clear" w:color="auto" w:fill="auto"/>
            <w:vAlign w:val="center"/>
            <w:hideMark/>
          </w:tcPr>
          <w:p w:rsidR="00691F6C" w:rsidRPr="00373A55" w:rsidRDefault="00691F6C" w:rsidP="002C6944">
            <w:pPr>
              <w:spacing w:after="0" w:line="240" w:lineRule="auto"/>
              <w:jc w:val="center"/>
              <w:rPr>
                <w:rFonts w:ascii="Arial" w:hAnsi="Arial" w:cs="Arial"/>
                <w:color w:val="000000"/>
                <w:sz w:val="18"/>
              </w:rPr>
            </w:pPr>
            <w:r w:rsidRPr="00373A55">
              <w:rPr>
                <w:rFonts w:ascii="Arial" w:hAnsi="Arial" w:cs="Arial"/>
                <w:color w:val="000000"/>
                <w:sz w:val="18"/>
              </w:rPr>
              <w:t>0.5</w:t>
            </w:r>
          </w:p>
        </w:tc>
        <w:tc>
          <w:tcPr>
            <w:tcW w:w="823" w:type="pct"/>
            <w:tcBorders>
              <w:top w:val="nil"/>
              <w:left w:val="nil"/>
              <w:bottom w:val="single" w:sz="8" w:space="0" w:color="auto"/>
              <w:right w:val="nil"/>
            </w:tcBorders>
            <w:vAlign w:val="bottom"/>
          </w:tcPr>
          <w:p w:rsidR="00691F6C" w:rsidRPr="00373A55" w:rsidRDefault="001E24A3" w:rsidP="002C6944">
            <w:pPr>
              <w:spacing w:after="0" w:line="240" w:lineRule="auto"/>
              <w:jc w:val="center"/>
              <w:rPr>
                <w:rFonts w:ascii="Arial" w:hAnsi="Arial" w:cs="Arial"/>
                <w:color w:val="000000"/>
                <w:sz w:val="20"/>
              </w:rPr>
            </w:pPr>
            <w:r w:rsidRPr="00373A55">
              <w:rPr>
                <w:rFonts w:ascii="Arial" w:hAnsi="Arial" w:cs="Arial"/>
                <w:color w:val="000000"/>
                <w:sz w:val="20"/>
              </w:rPr>
              <w:t>0.7</w:t>
            </w:r>
          </w:p>
        </w:tc>
      </w:tr>
    </w:tbl>
    <w:p w:rsidR="00D3048A" w:rsidRPr="00373A55" w:rsidRDefault="00D3048A" w:rsidP="00F86C6B">
      <w:pPr>
        <w:jc w:val="both"/>
        <w:rPr>
          <w:rFonts w:ascii="Arial" w:hAnsi="Arial" w:cs="Arial"/>
        </w:rPr>
      </w:pPr>
      <w:r w:rsidRPr="00373A55">
        <w:rPr>
          <w:rFonts w:ascii="Arial" w:hAnsi="Arial" w:cs="Arial"/>
        </w:rPr>
        <w:t>WB, WHO: HUES 2017</w:t>
      </w:r>
    </w:p>
    <w:p w:rsidR="00D0627E" w:rsidRPr="00373A55" w:rsidRDefault="00D0627E" w:rsidP="00F86C6B">
      <w:pPr>
        <w:jc w:val="both"/>
        <w:rPr>
          <w:rFonts w:ascii="Arial" w:hAnsi="Arial" w:cs="Arial"/>
        </w:rPr>
      </w:pPr>
    </w:p>
    <w:p w:rsidR="005E4825" w:rsidRPr="00373A55" w:rsidRDefault="00690EAD" w:rsidP="005E4825">
      <w:pPr>
        <w:pStyle w:val="Heading2"/>
        <w:rPr>
          <w:rFonts w:ascii="Arial" w:hAnsi="Arial" w:cs="Arial"/>
        </w:rPr>
      </w:pPr>
      <w:r w:rsidRPr="00373A55">
        <w:rPr>
          <w:rFonts w:ascii="Arial" w:hAnsi="Arial" w:cs="Arial"/>
        </w:rPr>
        <w:t>Conclusion</w:t>
      </w:r>
    </w:p>
    <w:p w:rsidR="006E77A1" w:rsidRPr="00373A55" w:rsidRDefault="000B024C" w:rsidP="005E4825">
      <w:pPr>
        <w:spacing w:before="200"/>
        <w:jc w:val="both"/>
        <w:rPr>
          <w:rFonts w:ascii="Arial" w:hAnsi="Arial" w:cs="Arial"/>
          <w:b/>
        </w:rPr>
      </w:pPr>
      <w:r w:rsidRPr="00373A55">
        <w:rPr>
          <w:rFonts w:ascii="Arial" w:hAnsi="Arial" w:cs="Arial"/>
          <w:b/>
        </w:rPr>
        <w:t xml:space="preserve">2007-2012 </w:t>
      </w:r>
      <w:r w:rsidR="00690EAD" w:rsidRPr="00373A55">
        <w:rPr>
          <w:rFonts w:ascii="Arial" w:hAnsi="Arial" w:cs="Arial"/>
          <w:b/>
        </w:rPr>
        <w:t>Reform outcomes</w:t>
      </w:r>
    </w:p>
    <w:p w:rsidR="000B024C" w:rsidRPr="00373A55" w:rsidRDefault="005E6FE0" w:rsidP="000B024C">
      <w:pPr>
        <w:jc w:val="both"/>
        <w:rPr>
          <w:rFonts w:ascii="Arial" w:eastAsia="Times New Roman" w:hAnsi="Arial" w:cs="Arial"/>
        </w:rPr>
      </w:pPr>
      <w:r w:rsidRPr="00373A55">
        <w:rPr>
          <w:rFonts w:ascii="Arial" w:eastAsia="Times New Roman" w:hAnsi="Arial" w:cs="Arial"/>
        </w:rPr>
        <w:t>Despite the increase in public expenditure on healthcare in absolute numbers, its share in GDP and state budget was quite low. In the European region</w:t>
      </w:r>
      <w:r w:rsidR="003812EB">
        <w:rPr>
          <w:rFonts w:ascii="Arial" w:eastAsia="Times New Roman" w:hAnsi="Arial" w:cs="Arial"/>
        </w:rPr>
        <w:t>,</w:t>
      </w:r>
      <w:r w:rsidRPr="00373A55">
        <w:rPr>
          <w:rFonts w:ascii="Arial" w:eastAsia="Times New Roman" w:hAnsi="Arial" w:cs="Arial"/>
        </w:rPr>
        <w:t xml:space="preserve"> Georgia is distinguished by high rates of out-of-pocket expenditure on health care (70% of total expenditure on health care) and unprecedented high expenditure on medications </w:t>
      </w:r>
      <w:r w:rsidR="003812EB">
        <w:rPr>
          <w:rFonts w:ascii="Arial" w:eastAsia="Times New Roman" w:hAnsi="Arial" w:cs="Arial"/>
        </w:rPr>
        <w:t xml:space="preserve">that </w:t>
      </w:r>
      <w:r w:rsidRPr="00373A55">
        <w:rPr>
          <w:rFonts w:ascii="Arial" w:eastAsia="Times New Roman" w:hAnsi="Arial" w:cs="Arial"/>
        </w:rPr>
        <w:t xml:space="preserve">are especially challenging. </w:t>
      </w:r>
    </w:p>
    <w:p w:rsidR="00D066E0" w:rsidRPr="00373A55" w:rsidRDefault="00D066E0" w:rsidP="000B024C">
      <w:pPr>
        <w:jc w:val="both"/>
        <w:rPr>
          <w:rFonts w:ascii="Arial" w:eastAsia="Times New Roman" w:hAnsi="Arial" w:cs="Arial"/>
        </w:rPr>
      </w:pPr>
      <w:r w:rsidRPr="00373A55">
        <w:rPr>
          <w:rFonts w:ascii="Arial" w:eastAsia="Times New Roman" w:hAnsi="Arial" w:cs="Arial"/>
        </w:rPr>
        <w:t>It is noteworthy that at the beginning of 2013, despite the introduction of various financing models more than half of the Georgian population did not have any kind of "insurance" for health services.</w:t>
      </w:r>
    </w:p>
    <w:p w:rsidR="005801F1" w:rsidRPr="00373A55" w:rsidRDefault="00D066E0" w:rsidP="005801F1">
      <w:pPr>
        <w:jc w:val="both"/>
        <w:rPr>
          <w:rFonts w:ascii="Arial" w:eastAsia="Times New Roman" w:hAnsi="Arial" w:cs="Arial"/>
        </w:rPr>
      </w:pPr>
      <w:r w:rsidRPr="00373A55">
        <w:rPr>
          <w:rFonts w:ascii="Arial" w:eastAsia="Times New Roman" w:hAnsi="Arial" w:cs="Arial"/>
          <w:u w:color="FF0000"/>
        </w:rPr>
        <w:lastRenderedPageBreak/>
        <w:t xml:space="preserve">At the same time, during the same period, establishment of the health insurance system and introduction of market principles practically eliminated non-formal payments for medical services and </w:t>
      </w:r>
      <w:r w:rsidRPr="00373A55">
        <w:rPr>
          <w:rFonts w:ascii="Arial" w:eastAsia="Times New Roman" w:hAnsi="Arial" w:cs="Arial"/>
        </w:rPr>
        <w:t xml:space="preserve">fully legalized remuneration methods, including direct payment for services. </w:t>
      </w:r>
    </w:p>
    <w:p w:rsidR="000B024C" w:rsidRPr="00373A55" w:rsidRDefault="005801F1" w:rsidP="005801F1">
      <w:pPr>
        <w:jc w:val="both"/>
        <w:rPr>
          <w:rFonts w:ascii="Arial" w:eastAsia="Times New Roman" w:hAnsi="Arial" w:cs="Arial"/>
        </w:rPr>
      </w:pPr>
      <w:r w:rsidRPr="00373A55">
        <w:rPr>
          <w:rFonts w:ascii="Arial" w:eastAsia="Times New Roman" w:hAnsi="Arial" w:cs="Arial"/>
        </w:rPr>
        <w:t>According to the Health Service Utilization and Expenditure Survey findings</w:t>
      </w:r>
      <w:r w:rsidR="003812EB">
        <w:rPr>
          <w:rFonts w:ascii="Arial" w:eastAsia="Times New Roman" w:hAnsi="Arial" w:cs="Arial"/>
        </w:rPr>
        <w:t>,</w:t>
      </w:r>
      <w:r w:rsidRPr="00373A55">
        <w:rPr>
          <w:rFonts w:ascii="Arial" w:eastAsia="Times New Roman" w:hAnsi="Arial" w:cs="Arial"/>
        </w:rPr>
        <w:t xml:space="preserve"> population satisfaction with medical services is quite high both in rural and urban areas (80-95%). Despite this, health service utilization rate is low.  </w:t>
      </w:r>
    </w:p>
    <w:p w:rsidR="000B024C" w:rsidRPr="00373A55" w:rsidRDefault="005801F1" w:rsidP="00CB3AEA">
      <w:pPr>
        <w:jc w:val="both"/>
        <w:rPr>
          <w:rFonts w:ascii="Arial" w:hAnsi="Arial" w:cs="Arial"/>
          <w:b/>
        </w:rPr>
      </w:pPr>
      <w:r w:rsidRPr="00373A55">
        <w:rPr>
          <w:rFonts w:ascii="Arial" w:hAnsi="Arial" w:cs="Arial"/>
          <w:b/>
        </w:rPr>
        <w:t>The universal health coverage program outcomes</w:t>
      </w:r>
    </w:p>
    <w:p w:rsidR="005801F1" w:rsidRPr="00373A55" w:rsidRDefault="005801F1" w:rsidP="00D675B1">
      <w:pPr>
        <w:jc w:val="both"/>
        <w:rPr>
          <w:rFonts w:ascii="Arial" w:hAnsi="Arial" w:cs="Arial"/>
        </w:rPr>
      </w:pPr>
      <w:r w:rsidRPr="00373A55">
        <w:rPr>
          <w:rFonts w:ascii="Arial" w:hAnsi="Arial" w:cs="Arial"/>
        </w:rPr>
        <w:t>The survey carried out by the World Bank, the World Health Organization and the US Agency for International Development pointed at the main achie</w:t>
      </w:r>
      <w:r w:rsidR="003812EB">
        <w:rPr>
          <w:rFonts w:ascii="Arial" w:hAnsi="Arial" w:cs="Arial"/>
        </w:rPr>
        <w:t>vements of the Universal Healthc</w:t>
      </w:r>
      <w:r w:rsidRPr="00373A55">
        <w:rPr>
          <w:rFonts w:ascii="Arial" w:hAnsi="Arial" w:cs="Arial"/>
        </w:rPr>
        <w:t>are Program: improved access to health care</w:t>
      </w:r>
      <w:r w:rsidR="003812EB">
        <w:rPr>
          <w:rFonts w:ascii="Arial" w:hAnsi="Arial" w:cs="Arial"/>
        </w:rPr>
        <w:t xml:space="preserve">, increased </w:t>
      </w:r>
      <w:r w:rsidRPr="00373A55">
        <w:rPr>
          <w:rFonts w:ascii="Arial" w:hAnsi="Arial" w:cs="Arial"/>
        </w:rPr>
        <w:t>utilization of health services</w:t>
      </w:r>
      <w:r w:rsidR="003812EB">
        <w:rPr>
          <w:rFonts w:ascii="Arial" w:hAnsi="Arial" w:cs="Arial"/>
        </w:rPr>
        <w:t>, reduced</w:t>
      </w:r>
      <w:r w:rsidRPr="00373A55">
        <w:rPr>
          <w:rFonts w:ascii="Arial" w:hAnsi="Arial" w:cs="Arial"/>
        </w:rPr>
        <w:t xml:space="preserve"> financial barriers and enhanced coverage. The European Health Report 2015 of the WHO </w:t>
      </w:r>
      <w:proofErr w:type="gramStart"/>
      <w:r w:rsidRPr="00373A55">
        <w:rPr>
          <w:rFonts w:ascii="Arial" w:hAnsi="Arial" w:cs="Arial"/>
        </w:rPr>
        <w:t>Regional  Office</w:t>
      </w:r>
      <w:proofErr w:type="gramEnd"/>
      <w:r w:rsidRPr="00373A55">
        <w:rPr>
          <w:rFonts w:ascii="Arial" w:hAnsi="Arial" w:cs="Arial"/>
        </w:rPr>
        <w:t xml:space="preserve"> for Europe recognized the universal health care program as a successful project.</w:t>
      </w:r>
    </w:p>
    <w:p w:rsidR="006C52D6" w:rsidRPr="00373A55" w:rsidRDefault="006C52D6" w:rsidP="006C52D6">
      <w:pPr>
        <w:jc w:val="both"/>
        <w:rPr>
          <w:rFonts w:ascii="Arial" w:hAnsi="Arial" w:cs="Arial"/>
        </w:rPr>
      </w:pPr>
      <w:r w:rsidRPr="00373A55">
        <w:rPr>
          <w:rFonts w:ascii="Arial" w:hAnsi="Arial" w:cs="Arial"/>
        </w:rPr>
        <w:t>Implementation of social justice policy resulted in an unprecedented rise in state spending on health care, a significant reduction in the amount paid out-of-pocket (55% of total health expenditure in 2017) and financial protection.</w:t>
      </w:r>
    </w:p>
    <w:p w:rsidR="006C52D6" w:rsidRPr="00373A55" w:rsidRDefault="006C52D6" w:rsidP="00CB3AEA">
      <w:pPr>
        <w:jc w:val="both"/>
        <w:rPr>
          <w:rFonts w:ascii="Arial" w:hAnsi="Arial" w:cs="Arial"/>
        </w:rPr>
      </w:pPr>
      <w:r w:rsidRPr="00373A55">
        <w:rPr>
          <w:rFonts w:ascii="Arial" w:hAnsi="Arial" w:cs="Arial"/>
        </w:rPr>
        <w:t>Substitution of multi-purchasers by a solo-purchaser in the health financing system significantly reduced the state program administration costs.</w:t>
      </w:r>
    </w:p>
    <w:p w:rsidR="006C52D6" w:rsidRPr="00373A55" w:rsidRDefault="006C52D6" w:rsidP="00CB3AEA">
      <w:pPr>
        <w:jc w:val="both"/>
        <w:rPr>
          <w:rFonts w:ascii="Arial" w:hAnsi="Arial" w:cs="Arial"/>
        </w:rPr>
      </w:pPr>
      <w:r w:rsidRPr="00373A55">
        <w:rPr>
          <w:rFonts w:ascii="Arial" w:hAnsi="Arial" w:cs="Arial"/>
        </w:rPr>
        <w:t>Introduction of the universal healthcare program has led to a substantial increase in the</w:t>
      </w:r>
      <w:r w:rsidR="008304AE">
        <w:rPr>
          <w:rFonts w:ascii="Arial" w:hAnsi="Arial" w:cs="Arial"/>
        </w:rPr>
        <w:t xml:space="preserve"> right of the population to </w:t>
      </w:r>
      <w:r w:rsidRPr="00373A55">
        <w:rPr>
          <w:rFonts w:ascii="Arial" w:hAnsi="Arial" w:cs="Arial"/>
        </w:rPr>
        <w:t xml:space="preserve">state-sponsored health care services. As a result, coverage by services significantly increased </w:t>
      </w:r>
      <w:r w:rsidR="008304AE">
        <w:rPr>
          <w:rFonts w:ascii="Arial" w:hAnsi="Arial" w:cs="Arial"/>
        </w:rPr>
        <w:t xml:space="preserve">- </w:t>
      </w:r>
      <w:r w:rsidRPr="00373A55">
        <w:rPr>
          <w:rFonts w:ascii="Arial" w:hAnsi="Arial" w:cs="Arial"/>
        </w:rPr>
        <w:t>from 29.5% of the population in 2010, up to 40% by the end of 2012 and up to 99.9% by 2014 (HUES).</w:t>
      </w:r>
    </w:p>
    <w:p w:rsidR="006C52D6" w:rsidRPr="00373A55" w:rsidRDefault="006C52D6" w:rsidP="006C52D6">
      <w:pPr>
        <w:ind w:right="50"/>
        <w:jc w:val="both"/>
        <w:rPr>
          <w:rFonts w:ascii="Arial" w:eastAsia="Segoe UI" w:hAnsi="Arial" w:cs="Arial"/>
        </w:rPr>
      </w:pPr>
      <w:r w:rsidRPr="00373A55">
        <w:rPr>
          <w:rFonts w:ascii="Arial" w:eastAsia="Segoe UI" w:hAnsi="Arial" w:cs="Arial"/>
        </w:rPr>
        <w:t>The utilization of health services has also increased. In 2017, the number of outpatient admissions per capita amounted to 3.5 (in 2012 - 2.3), while the hospitaliz</w:t>
      </w:r>
      <w:r w:rsidR="008304AE">
        <w:rPr>
          <w:rFonts w:ascii="Arial" w:eastAsia="Segoe UI" w:hAnsi="Arial" w:cs="Arial"/>
        </w:rPr>
        <w:t>ation rate increased by 100 per</w:t>
      </w:r>
      <w:r w:rsidRPr="00373A55">
        <w:rPr>
          <w:rFonts w:ascii="Arial" w:eastAsia="Segoe UI" w:hAnsi="Arial" w:cs="Arial"/>
        </w:rPr>
        <w:t>cent from 8.0 (2012) to 14.0 (2017).</w:t>
      </w:r>
    </w:p>
    <w:p w:rsidR="002C6944" w:rsidRPr="00373A55" w:rsidRDefault="00C04BFB" w:rsidP="002C6944">
      <w:pPr>
        <w:pStyle w:val="Heading2"/>
        <w:rPr>
          <w:rFonts w:ascii="Arial" w:hAnsi="Arial" w:cs="Arial"/>
        </w:rPr>
      </w:pPr>
      <w:r w:rsidRPr="00373A55">
        <w:rPr>
          <w:rFonts w:ascii="Arial" w:hAnsi="Arial" w:cs="Arial"/>
        </w:rPr>
        <w:t>Recommendations</w:t>
      </w:r>
    </w:p>
    <w:p w:rsidR="00C04BFB" w:rsidRPr="00373A55" w:rsidRDefault="00C04BFB" w:rsidP="00B229C1">
      <w:pPr>
        <w:jc w:val="both"/>
        <w:rPr>
          <w:rFonts w:ascii="Arial" w:eastAsia="Times New Roman" w:hAnsi="Arial" w:cs="Arial"/>
          <w:noProof/>
        </w:rPr>
      </w:pPr>
      <w:r w:rsidRPr="00373A55">
        <w:rPr>
          <w:rFonts w:ascii="Arial" w:eastAsia="Times New Roman" w:hAnsi="Arial" w:cs="Arial"/>
          <w:noProof/>
        </w:rPr>
        <w:t>As a result of reforms implemented in the health care system over the last 15 years, the overall expenditures on health care, as well as allocations from the state budget increased significantly, however, the risk of catastrophic household expenditure on health services is still high.</w:t>
      </w:r>
    </w:p>
    <w:p w:rsidR="00C04BFB" w:rsidRPr="00373A55" w:rsidRDefault="00C04BFB" w:rsidP="00B229C1">
      <w:pPr>
        <w:jc w:val="both"/>
        <w:rPr>
          <w:rFonts w:ascii="Arial" w:hAnsi="Arial" w:cs="Arial"/>
          <w:noProof/>
        </w:rPr>
      </w:pPr>
      <w:r w:rsidRPr="00373A55">
        <w:rPr>
          <w:rFonts w:ascii="Arial" w:hAnsi="Arial" w:cs="Arial"/>
          <w:noProof/>
        </w:rPr>
        <w:t>Consequently, with the growth of the country's economy and budget revenues, it is necessary to advocate for the gradual growth of state financing for the health sector, based on financial landscape analysis and the programmatic needs of health sector.</w:t>
      </w:r>
    </w:p>
    <w:p w:rsidR="00C04BFB" w:rsidRPr="00373A55" w:rsidRDefault="00C04BFB" w:rsidP="00B229C1">
      <w:pPr>
        <w:jc w:val="both"/>
        <w:rPr>
          <w:rFonts w:ascii="Arial" w:hAnsi="Arial" w:cs="Arial"/>
          <w:noProof/>
        </w:rPr>
      </w:pPr>
      <w:r w:rsidRPr="00373A55">
        <w:rPr>
          <w:rFonts w:ascii="Arial" w:hAnsi="Arial" w:cs="Arial"/>
          <w:noProof/>
        </w:rPr>
        <w:t>In order to increase the health system cost-effectiveness, modern systems of quality control and medical facility remuneration, including pay-for-performance model</w:t>
      </w:r>
      <w:r w:rsidR="008304AE">
        <w:rPr>
          <w:rFonts w:ascii="Arial" w:hAnsi="Arial" w:cs="Arial"/>
          <w:noProof/>
        </w:rPr>
        <w:t xml:space="preserve"> should be introduced</w:t>
      </w:r>
      <w:r w:rsidRPr="00373A55">
        <w:rPr>
          <w:rFonts w:ascii="Arial" w:hAnsi="Arial" w:cs="Arial"/>
          <w:noProof/>
        </w:rPr>
        <w:t>.</w:t>
      </w:r>
    </w:p>
    <w:p w:rsidR="00C04BFB" w:rsidRPr="00373A55" w:rsidRDefault="00C04BFB" w:rsidP="00B229C1">
      <w:pPr>
        <w:jc w:val="both"/>
        <w:rPr>
          <w:rFonts w:ascii="Arial" w:hAnsi="Arial" w:cs="Arial"/>
          <w:noProof/>
        </w:rPr>
      </w:pPr>
      <w:r w:rsidRPr="00373A55">
        <w:rPr>
          <w:rFonts w:ascii="Arial" w:hAnsi="Arial" w:cs="Arial"/>
          <w:noProof/>
        </w:rPr>
        <w:t>In order to reduce the cost of pharmaceutical</w:t>
      </w:r>
      <w:r w:rsidR="000A5072" w:rsidRPr="00373A55">
        <w:rPr>
          <w:rFonts w:ascii="Arial" w:hAnsi="Arial" w:cs="Arial"/>
          <w:noProof/>
        </w:rPr>
        <w:t>s</w:t>
      </w:r>
      <w:r w:rsidRPr="00373A55">
        <w:rPr>
          <w:rFonts w:ascii="Arial" w:hAnsi="Arial" w:cs="Arial"/>
          <w:noProof/>
        </w:rPr>
        <w:t xml:space="preserve">, it is necessary to </w:t>
      </w:r>
      <w:r w:rsidR="000A5072" w:rsidRPr="00373A55">
        <w:rPr>
          <w:rFonts w:ascii="Arial" w:hAnsi="Arial" w:cs="Arial"/>
          <w:noProof/>
        </w:rPr>
        <w:t xml:space="preserve">improve financial access to essential drugs (for example, antihypertensive medications) through </w:t>
      </w:r>
      <w:r w:rsidRPr="00373A55">
        <w:rPr>
          <w:rFonts w:ascii="Arial" w:hAnsi="Arial" w:cs="Arial"/>
          <w:noProof/>
        </w:rPr>
        <w:t>optimize</w:t>
      </w:r>
      <w:r w:rsidR="000A5072" w:rsidRPr="00373A55">
        <w:rPr>
          <w:rFonts w:ascii="Arial" w:hAnsi="Arial" w:cs="Arial"/>
          <w:noProof/>
        </w:rPr>
        <w:t>d</w:t>
      </w:r>
      <w:r w:rsidRPr="00373A55">
        <w:rPr>
          <w:rFonts w:ascii="Arial" w:hAnsi="Arial" w:cs="Arial"/>
          <w:noProof/>
        </w:rPr>
        <w:t xml:space="preserve"> basic package and </w:t>
      </w:r>
      <w:r w:rsidR="000A5072" w:rsidRPr="00373A55">
        <w:rPr>
          <w:rFonts w:ascii="Arial" w:hAnsi="Arial" w:cs="Arial"/>
          <w:noProof/>
        </w:rPr>
        <w:t>the principals of rational pharmacotherapy</w:t>
      </w:r>
      <w:r w:rsidRPr="00373A55">
        <w:rPr>
          <w:rFonts w:ascii="Arial" w:hAnsi="Arial" w:cs="Arial"/>
          <w:noProof/>
        </w:rPr>
        <w:t>.</w:t>
      </w:r>
      <w:bookmarkStart w:id="0" w:name="_GoBack"/>
      <w:bookmarkEnd w:id="0"/>
    </w:p>
    <w:p w:rsidR="00FC614D" w:rsidRPr="00373A55" w:rsidRDefault="00FC614D" w:rsidP="00B229C1">
      <w:pPr>
        <w:jc w:val="both"/>
        <w:rPr>
          <w:rFonts w:ascii="Arial" w:hAnsi="Arial" w:cs="Arial"/>
          <w:noProof/>
        </w:rPr>
      </w:pPr>
      <w:r w:rsidRPr="00373A55">
        <w:rPr>
          <w:rFonts w:ascii="Arial" w:hAnsi="Arial" w:cs="Arial"/>
          <w:noProof/>
        </w:rPr>
        <w:lastRenderedPageBreak/>
        <w:t>Development of the primary health care system and its "gatekeeping" function are essential for financial sustainability of the health system and cost containment. At the same time, it is important to invest more financial resources in preventive services in order to strengthen primary, secondary and tertiary prevention of diseases imposing the most severe burden of morbidity and mortality, and thus protecting people with chronic conditions from the catastrophic expenditure on health care.</w:t>
      </w:r>
    </w:p>
    <w:p w:rsidR="007E7E2F" w:rsidRPr="00373A55" w:rsidRDefault="007E7E2F" w:rsidP="00CB3AEA">
      <w:pPr>
        <w:jc w:val="both"/>
        <w:rPr>
          <w:rFonts w:ascii="Sylfaen" w:eastAsia="Times New Roman" w:hAnsi="Sylfaen"/>
          <w:bCs/>
          <w:noProof/>
          <w:lang w:bidi="en-US"/>
        </w:rPr>
      </w:pPr>
    </w:p>
    <w:p w:rsidR="007E7E2F" w:rsidRPr="00373A55" w:rsidRDefault="00C04BFB" w:rsidP="00CB3AEA">
      <w:pPr>
        <w:jc w:val="both"/>
        <w:rPr>
          <w:rFonts w:ascii="Arial" w:eastAsia="Times New Roman" w:hAnsi="Arial" w:cs="Arial"/>
          <w:bCs/>
          <w:noProof/>
          <w:lang w:bidi="en-US"/>
        </w:rPr>
      </w:pPr>
      <w:r w:rsidRPr="00373A55">
        <w:rPr>
          <w:rFonts w:ascii="Arial" w:eastAsia="Times New Roman" w:hAnsi="Arial" w:cs="Arial"/>
          <w:bCs/>
          <w:noProof/>
          <w:lang w:bidi="en-US"/>
        </w:rPr>
        <w:t>References:</w:t>
      </w:r>
    </w:p>
    <w:p w:rsidR="007E7E2F" w:rsidRPr="00373A55" w:rsidRDefault="007E7E2F" w:rsidP="001F006A">
      <w:pPr>
        <w:pStyle w:val="ListParagraph"/>
        <w:numPr>
          <w:ilvl w:val="0"/>
          <w:numId w:val="8"/>
        </w:numPr>
        <w:spacing w:after="0"/>
        <w:jc w:val="both"/>
      </w:pPr>
      <w:proofErr w:type="spellStart"/>
      <w:proofErr w:type="gramStart"/>
      <w:r w:rsidRPr="00373A55">
        <w:rPr>
          <w:rFonts w:eastAsia="Sylfaen"/>
          <w:u w:color="FF0000"/>
        </w:rPr>
        <w:t>სოციალური</w:t>
      </w:r>
      <w:proofErr w:type="spellEnd"/>
      <w:proofErr w:type="gramEnd"/>
      <w:r w:rsidRPr="00373A55">
        <w:rPr>
          <w:rFonts w:eastAsia="Sylfaen"/>
          <w:u w:color="FF0000"/>
        </w:rPr>
        <w:t xml:space="preserve"> </w:t>
      </w:r>
      <w:proofErr w:type="spellStart"/>
      <w:r w:rsidRPr="00373A55">
        <w:rPr>
          <w:rFonts w:eastAsia="Sylfaen"/>
          <w:u w:color="FF0000"/>
        </w:rPr>
        <w:t>მომსახურების</w:t>
      </w:r>
      <w:proofErr w:type="spellEnd"/>
      <w:r w:rsidRPr="00373A55">
        <w:rPr>
          <w:rFonts w:eastAsia="Sylfaen"/>
          <w:u w:color="FF0000"/>
        </w:rPr>
        <w:t xml:space="preserve"> </w:t>
      </w:r>
      <w:proofErr w:type="spellStart"/>
      <w:r w:rsidRPr="00373A55">
        <w:rPr>
          <w:rFonts w:eastAsia="Sylfaen"/>
          <w:u w:color="FF0000"/>
        </w:rPr>
        <w:t>სააგენტო</w:t>
      </w:r>
      <w:proofErr w:type="spellEnd"/>
      <w:r w:rsidRPr="00373A55">
        <w:rPr>
          <w:rFonts w:eastAsia="Sylfaen"/>
          <w:u w:color="FF0000"/>
        </w:rPr>
        <w:t xml:space="preserve">: </w:t>
      </w:r>
      <w:proofErr w:type="spellStart"/>
      <w:r w:rsidRPr="00373A55">
        <w:rPr>
          <w:rFonts w:eastAsia="Sylfaen"/>
          <w:u w:color="FF0000"/>
        </w:rPr>
        <w:t>სტატისტიკური</w:t>
      </w:r>
      <w:proofErr w:type="spellEnd"/>
      <w:r w:rsidRPr="00373A55">
        <w:rPr>
          <w:rFonts w:eastAsia="Sylfaen"/>
          <w:u w:color="FF0000"/>
        </w:rPr>
        <w:t xml:space="preserve"> </w:t>
      </w:r>
      <w:proofErr w:type="spellStart"/>
      <w:r w:rsidRPr="00373A55">
        <w:rPr>
          <w:rFonts w:eastAsia="Sylfaen"/>
          <w:u w:color="FF0000"/>
        </w:rPr>
        <w:t>ინფორმაცია</w:t>
      </w:r>
      <w:proofErr w:type="spellEnd"/>
      <w:r w:rsidRPr="00373A55">
        <w:rPr>
          <w:rFonts w:eastAsia="Sylfaen"/>
          <w:u w:color="FF0000"/>
        </w:rPr>
        <w:t xml:space="preserve">. </w:t>
      </w:r>
      <w:hyperlink r:id="rId16" w:history="1">
        <w:r w:rsidRPr="00373A55">
          <w:rPr>
            <w:rStyle w:val="Hyperlink"/>
          </w:rPr>
          <w:t>http://ssa.gov.ge/index.php?lang_id=GEO&amp;sec_id=610</w:t>
        </w:r>
      </w:hyperlink>
    </w:p>
    <w:p w:rsidR="007E7E2F" w:rsidRPr="00373A55" w:rsidRDefault="007E7E2F" w:rsidP="001F006A">
      <w:pPr>
        <w:pStyle w:val="ListParagraph"/>
        <w:numPr>
          <w:ilvl w:val="0"/>
          <w:numId w:val="8"/>
        </w:numPr>
        <w:spacing w:after="0"/>
        <w:jc w:val="both"/>
      </w:pPr>
      <w:proofErr w:type="spellStart"/>
      <w:proofErr w:type="gramStart"/>
      <w:r w:rsidRPr="00373A55">
        <w:t>საქართველოს</w:t>
      </w:r>
      <w:proofErr w:type="spellEnd"/>
      <w:proofErr w:type="gramEnd"/>
      <w:r w:rsidRPr="00373A55">
        <w:t xml:space="preserve"> </w:t>
      </w:r>
      <w:proofErr w:type="spellStart"/>
      <w:r w:rsidRPr="00373A55">
        <w:t>ოკუპირებული</w:t>
      </w:r>
      <w:proofErr w:type="spellEnd"/>
      <w:r w:rsidRPr="00373A55">
        <w:t xml:space="preserve"> </w:t>
      </w:r>
      <w:proofErr w:type="spellStart"/>
      <w:r w:rsidRPr="00373A55">
        <w:t>ტერიტორიებიდან</w:t>
      </w:r>
      <w:proofErr w:type="spellEnd"/>
      <w:r w:rsidRPr="00373A55">
        <w:t xml:space="preserve"> </w:t>
      </w:r>
      <w:proofErr w:type="spellStart"/>
      <w:r w:rsidRPr="00373A55">
        <w:t>დევნილთა</w:t>
      </w:r>
      <w:proofErr w:type="spellEnd"/>
      <w:r w:rsidRPr="00373A55">
        <w:t xml:space="preserve">, </w:t>
      </w:r>
      <w:proofErr w:type="spellStart"/>
      <w:r w:rsidRPr="00373A55">
        <w:t>შრომის</w:t>
      </w:r>
      <w:proofErr w:type="spellEnd"/>
      <w:r w:rsidRPr="00373A55">
        <w:t xml:space="preserve">, </w:t>
      </w:r>
      <w:proofErr w:type="spellStart"/>
      <w:r w:rsidRPr="00373A55">
        <w:t>ჯანმრთელობისა</w:t>
      </w:r>
      <w:proofErr w:type="spellEnd"/>
      <w:r w:rsidRPr="00373A55">
        <w:t xml:space="preserve"> </w:t>
      </w:r>
      <w:proofErr w:type="spellStart"/>
      <w:r w:rsidRPr="00373A55">
        <w:t>და</w:t>
      </w:r>
      <w:proofErr w:type="spellEnd"/>
      <w:r w:rsidRPr="00373A55">
        <w:t xml:space="preserve"> </w:t>
      </w:r>
      <w:proofErr w:type="spellStart"/>
      <w:r w:rsidRPr="00373A55">
        <w:t>სოციალური</w:t>
      </w:r>
      <w:proofErr w:type="spellEnd"/>
      <w:r w:rsidRPr="00373A55">
        <w:t xml:space="preserve"> </w:t>
      </w:r>
      <w:proofErr w:type="spellStart"/>
      <w:r w:rsidRPr="00373A55">
        <w:t>დაცვის</w:t>
      </w:r>
      <w:proofErr w:type="spellEnd"/>
      <w:r w:rsidRPr="00373A55">
        <w:t xml:space="preserve"> </w:t>
      </w:r>
      <w:proofErr w:type="spellStart"/>
      <w:r w:rsidRPr="00373A55">
        <w:t>სამინისტრო</w:t>
      </w:r>
      <w:proofErr w:type="spellEnd"/>
      <w:r w:rsidRPr="00373A55">
        <w:t xml:space="preserve">. </w:t>
      </w:r>
      <w:proofErr w:type="spellStart"/>
      <w:proofErr w:type="gramStart"/>
      <w:r w:rsidRPr="00373A55">
        <w:t>ჯანდაცვის</w:t>
      </w:r>
      <w:proofErr w:type="spellEnd"/>
      <w:proofErr w:type="gramEnd"/>
      <w:r w:rsidRPr="00373A55">
        <w:t xml:space="preserve"> </w:t>
      </w:r>
      <w:proofErr w:type="spellStart"/>
      <w:r w:rsidRPr="00373A55">
        <w:t>ეროვნული</w:t>
      </w:r>
      <w:proofErr w:type="spellEnd"/>
      <w:r w:rsidRPr="00373A55">
        <w:t xml:space="preserve"> </w:t>
      </w:r>
      <w:proofErr w:type="spellStart"/>
      <w:r w:rsidRPr="00373A55">
        <w:t>ანგარიშები</w:t>
      </w:r>
      <w:proofErr w:type="spellEnd"/>
      <w:r w:rsidRPr="00373A55">
        <w:t xml:space="preserve">. </w:t>
      </w:r>
      <w:hyperlink r:id="rId17" w:history="1">
        <w:r w:rsidRPr="00373A55">
          <w:rPr>
            <w:rStyle w:val="Hyperlink"/>
          </w:rPr>
          <w:t>https://www.moh.gov.ge/ka/566/jandacvis-erovnuli-angariSebi</w:t>
        </w:r>
      </w:hyperlink>
    </w:p>
    <w:p w:rsidR="007E7E2F" w:rsidRPr="00373A55" w:rsidRDefault="007E7E2F" w:rsidP="001F006A">
      <w:pPr>
        <w:pStyle w:val="ListParagraph"/>
        <w:numPr>
          <w:ilvl w:val="0"/>
          <w:numId w:val="8"/>
        </w:numPr>
        <w:spacing w:after="0"/>
        <w:jc w:val="both"/>
      </w:pPr>
      <w:proofErr w:type="spellStart"/>
      <w:proofErr w:type="gramStart"/>
      <w:r w:rsidRPr="00373A55">
        <w:t>მსოფლიო</w:t>
      </w:r>
      <w:proofErr w:type="spellEnd"/>
      <w:proofErr w:type="gramEnd"/>
      <w:r w:rsidRPr="00373A55">
        <w:t xml:space="preserve"> </w:t>
      </w:r>
      <w:proofErr w:type="spellStart"/>
      <w:r w:rsidRPr="00373A55">
        <w:t>ბანიკი</w:t>
      </w:r>
      <w:proofErr w:type="spellEnd"/>
      <w:r w:rsidRPr="00373A55">
        <w:t xml:space="preserve">, </w:t>
      </w:r>
      <w:proofErr w:type="spellStart"/>
      <w:r w:rsidRPr="00373A55">
        <w:t>ჯანმრთელობის</w:t>
      </w:r>
      <w:proofErr w:type="spellEnd"/>
      <w:r w:rsidRPr="00373A55">
        <w:t xml:space="preserve"> </w:t>
      </w:r>
      <w:proofErr w:type="spellStart"/>
      <w:r w:rsidRPr="00373A55">
        <w:t>მსოფლიო</w:t>
      </w:r>
      <w:proofErr w:type="spellEnd"/>
      <w:r w:rsidRPr="00373A55">
        <w:t xml:space="preserve"> </w:t>
      </w:r>
      <w:proofErr w:type="spellStart"/>
      <w:r w:rsidRPr="00373A55">
        <w:t>ორგანიზაცია</w:t>
      </w:r>
      <w:proofErr w:type="spellEnd"/>
      <w:r w:rsidRPr="00373A55">
        <w:t xml:space="preserve">. </w:t>
      </w:r>
      <w:proofErr w:type="spellStart"/>
      <w:proofErr w:type="gramStart"/>
      <w:r w:rsidRPr="00373A55">
        <w:t>ჯანდაცვის</w:t>
      </w:r>
      <w:proofErr w:type="spellEnd"/>
      <w:proofErr w:type="gramEnd"/>
      <w:r w:rsidRPr="00373A55">
        <w:t xml:space="preserve"> </w:t>
      </w:r>
      <w:proofErr w:type="spellStart"/>
      <w:r w:rsidRPr="00373A55">
        <w:t>სერვისების</w:t>
      </w:r>
      <w:proofErr w:type="spellEnd"/>
      <w:r w:rsidRPr="00373A55">
        <w:t xml:space="preserve"> </w:t>
      </w:r>
      <w:proofErr w:type="spellStart"/>
      <w:r w:rsidRPr="00373A55">
        <w:t>მოხმარებისა</w:t>
      </w:r>
      <w:proofErr w:type="spellEnd"/>
      <w:r w:rsidRPr="00373A55">
        <w:t xml:space="preserve"> </w:t>
      </w:r>
      <w:proofErr w:type="spellStart"/>
      <w:r w:rsidRPr="00373A55">
        <w:t>და</w:t>
      </w:r>
      <w:proofErr w:type="spellEnd"/>
      <w:r w:rsidRPr="00373A55">
        <w:t xml:space="preserve"> </w:t>
      </w:r>
      <w:proofErr w:type="spellStart"/>
      <w:r w:rsidRPr="00373A55">
        <w:t>დანახარჯების</w:t>
      </w:r>
      <w:proofErr w:type="spellEnd"/>
      <w:r w:rsidRPr="00373A55">
        <w:t xml:space="preserve"> </w:t>
      </w:r>
      <w:proofErr w:type="spellStart"/>
      <w:r w:rsidRPr="00373A55">
        <w:t>კვლევა</w:t>
      </w:r>
      <w:proofErr w:type="spellEnd"/>
      <w:r w:rsidRPr="00373A55">
        <w:t>. 2007, 2010, 2014, 2017 (HUES)</w:t>
      </w:r>
    </w:p>
    <w:p w:rsidR="007E7E2F" w:rsidRPr="00373A55" w:rsidRDefault="007E7E2F" w:rsidP="001F006A">
      <w:pPr>
        <w:pStyle w:val="ListParagraph"/>
        <w:numPr>
          <w:ilvl w:val="0"/>
          <w:numId w:val="8"/>
        </w:numPr>
        <w:spacing w:after="0"/>
        <w:jc w:val="both"/>
      </w:pPr>
      <w:r w:rsidRPr="00373A55">
        <w:t>„</w:t>
      </w:r>
      <w:proofErr w:type="spellStart"/>
      <w:proofErr w:type="gramStart"/>
      <w:r w:rsidRPr="00373A55">
        <w:t>დაავადებათა</w:t>
      </w:r>
      <w:proofErr w:type="spellEnd"/>
      <w:proofErr w:type="gramEnd"/>
      <w:r w:rsidRPr="00373A55">
        <w:t xml:space="preserve"> </w:t>
      </w:r>
      <w:proofErr w:type="spellStart"/>
      <w:r w:rsidRPr="00373A55">
        <w:t>კონტროლისა</w:t>
      </w:r>
      <w:proofErr w:type="spellEnd"/>
      <w:r w:rsidRPr="00373A55">
        <w:t xml:space="preserve"> </w:t>
      </w:r>
      <w:proofErr w:type="spellStart"/>
      <w:r w:rsidRPr="00373A55">
        <w:t>და</w:t>
      </w:r>
      <w:proofErr w:type="spellEnd"/>
      <w:r w:rsidRPr="00373A55">
        <w:t xml:space="preserve"> </w:t>
      </w:r>
      <w:proofErr w:type="spellStart"/>
      <w:r w:rsidRPr="00373A55">
        <w:t>საზოგადოებრივი</w:t>
      </w:r>
      <w:proofErr w:type="spellEnd"/>
      <w:r w:rsidRPr="00373A55">
        <w:t xml:space="preserve"> </w:t>
      </w:r>
      <w:proofErr w:type="spellStart"/>
      <w:r w:rsidRPr="00373A55">
        <w:t>ჯანმრთელობის</w:t>
      </w:r>
      <w:proofErr w:type="spellEnd"/>
      <w:r w:rsidRPr="00373A55">
        <w:t xml:space="preserve"> </w:t>
      </w:r>
      <w:proofErr w:type="spellStart"/>
      <w:r w:rsidRPr="00373A55">
        <w:t>ეროვნული</w:t>
      </w:r>
      <w:proofErr w:type="spellEnd"/>
      <w:r w:rsidRPr="00373A55">
        <w:t xml:space="preserve"> </w:t>
      </w:r>
      <w:proofErr w:type="spellStart"/>
      <w:r w:rsidRPr="00373A55">
        <w:t>ცენტრი</w:t>
      </w:r>
      <w:proofErr w:type="spellEnd"/>
      <w:r w:rsidRPr="00373A55">
        <w:t xml:space="preserve">. </w:t>
      </w:r>
      <w:proofErr w:type="spellStart"/>
      <w:proofErr w:type="gramStart"/>
      <w:r w:rsidRPr="00373A55">
        <w:t>ჯანმრთელობის</w:t>
      </w:r>
      <w:proofErr w:type="spellEnd"/>
      <w:proofErr w:type="gramEnd"/>
      <w:r w:rsidRPr="00373A55">
        <w:t xml:space="preserve"> </w:t>
      </w:r>
      <w:proofErr w:type="spellStart"/>
      <w:r w:rsidRPr="00373A55">
        <w:t>დაცვა</w:t>
      </w:r>
      <w:proofErr w:type="spellEnd"/>
      <w:r w:rsidRPr="00373A55">
        <w:t xml:space="preserve">. </w:t>
      </w:r>
      <w:proofErr w:type="spellStart"/>
      <w:proofErr w:type="gramStart"/>
      <w:r w:rsidRPr="00373A55">
        <w:t>სტატისტიკური</w:t>
      </w:r>
      <w:proofErr w:type="spellEnd"/>
      <w:proofErr w:type="gramEnd"/>
      <w:r w:rsidRPr="00373A55">
        <w:t xml:space="preserve"> </w:t>
      </w:r>
      <w:proofErr w:type="spellStart"/>
      <w:r w:rsidRPr="00373A55">
        <w:t>ცნობარი</w:t>
      </w:r>
      <w:proofErr w:type="spellEnd"/>
      <w:r w:rsidRPr="00373A55">
        <w:t xml:space="preserve">. </w:t>
      </w:r>
      <w:proofErr w:type="spellStart"/>
      <w:proofErr w:type="gramStart"/>
      <w:r w:rsidRPr="00373A55">
        <w:t>საქართველო</w:t>
      </w:r>
      <w:proofErr w:type="spellEnd"/>
      <w:proofErr w:type="gramEnd"/>
      <w:r w:rsidRPr="00373A55">
        <w:t>. 2017</w:t>
      </w:r>
    </w:p>
    <w:p w:rsidR="007E7E2F" w:rsidRPr="00373A55" w:rsidRDefault="007E7E2F" w:rsidP="001F006A">
      <w:pPr>
        <w:pStyle w:val="ListParagraph"/>
        <w:widowControl w:val="0"/>
        <w:numPr>
          <w:ilvl w:val="0"/>
          <w:numId w:val="8"/>
        </w:numPr>
        <w:overflowPunct w:val="0"/>
        <w:autoSpaceDE w:val="0"/>
        <w:autoSpaceDN w:val="0"/>
        <w:adjustRightInd w:val="0"/>
        <w:spacing w:after="0"/>
        <w:ind w:right="60"/>
        <w:jc w:val="both"/>
      </w:pPr>
      <w:proofErr w:type="spellStart"/>
      <w:proofErr w:type="gramStart"/>
      <w:r w:rsidRPr="00373A55">
        <w:t>საქართველოს</w:t>
      </w:r>
      <w:proofErr w:type="spellEnd"/>
      <w:proofErr w:type="gramEnd"/>
      <w:r w:rsidRPr="00373A55">
        <w:t xml:space="preserve"> </w:t>
      </w:r>
      <w:proofErr w:type="spellStart"/>
      <w:r w:rsidRPr="00373A55">
        <w:t>მთავრობ</w:t>
      </w:r>
      <w:r w:rsidR="00D339EC" w:rsidRPr="00373A55">
        <w:t>ა</w:t>
      </w:r>
      <w:proofErr w:type="spellEnd"/>
      <w:r w:rsidR="00D339EC" w:rsidRPr="00373A55">
        <w:t>.</w:t>
      </w:r>
      <w:r w:rsidRPr="00373A55">
        <w:t xml:space="preserve"> 2013 </w:t>
      </w:r>
      <w:proofErr w:type="spellStart"/>
      <w:r w:rsidRPr="00373A55">
        <w:t>წლის</w:t>
      </w:r>
      <w:proofErr w:type="spellEnd"/>
      <w:r w:rsidRPr="00373A55">
        <w:t xml:space="preserve"> 25 </w:t>
      </w:r>
      <w:proofErr w:type="spellStart"/>
      <w:r w:rsidRPr="00373A55">
        <w:t>თებერვლის</w:t>
      </w:r>
      <w:proofErr w:type="spellEnd"/>
      <w:r w:rsidRPr="00373A55">
        <w:t xml:space="preserve"> №36 </w:t>
      </w:r>
      <w:proofErr w:type="spellStart"/>
      <w:r w:rsidRPr="00373A55">
        <w:t>დადგენილება</w:t>
      </w:r>
      <w:proofErr w:type="spellEnd"/>
      <w:r w:rsidRPr="00373A55">
        <w:t xml:space="preserve">, </w:t>
      </w:r>
      <w:proofErr w:type="spellStart"/>
      <w:r w:rsidR="00D339EC" w:rsidRPr="00373A55">
        <w:t>საქართველოს</w:t>
      </w:r>
      <w:proofErr w:type="spellEnd"/>
      <w:r w:rsidR="00D339EC" w:rsidRPr="00373A55">
        <w:t xml:space="preserve"> </w:t>
      </w:r>
      <w:proofErr w:type="spellStart"/>
      <w:r w:rsidR="00D339EC" w:rsidRPr="00373A55">
        <w:t>საკანონმდებლო</w:t>
      </w:r>
      <w:proofErr w:type="spellEnd"/>
      <w:r w:rsidR="00D339EC" w:rsidRPr="00373A55">
        <w:t xml:space="preserve"> </w:t>
      </w:r>
      <w:proofErr w:type="spellStart"/>
      <w:r w:rsidR="00D339EC" w:rsidRPr="00373A55">
        <w:t>მაცნე</w:t>
      </w:r>
      <w:proofErr w:type="spellEnd"/>
      <w:r w:rsidR="00D339EC" w:rsidRPr="00373A55">
        <w:t xml:space="preserve">, 2013, </w:t>
      </w:r>
      <w:hyperlink r:id="rId18" w:history="1">
        <w:r w:rsidRPr="00373A55">
          <w:t>https://matsne.gov.ge/ka/document/view/1852448</w:t>
        </w:r>
      </w:hyperlink>
    </w:p>
    <w:p w:rsidR="001F006A" w:rsidRPr="00373A55" w:rsidRDefault="001F006A" w:rsidP="001F006A">
      <w:pPr>
        <w:pStyle w:val="ListParagraph"/>
        <w:widowControl w:val="0"/>
        <w:numPr>
          <w:ilvl w:val="0"/>
          <w:numId w:val="8"/>
        </w:numPr>
        <w:overflowPunct w:val="0"/>
        <w:autoSpaceDE w:val="0"/>
        <w:autoSpaceDN w:val="0"/>
        <w:adjustRightInd w:val="0"/>
        <w:spacing w:after="0"/>
        <w:ind w:right="60"/>
        <w:jc w:val="both"/>
        <w:rPr>
          <w:rStyle w:val="Hyperlink"/>
        </w:rPr>
      </w:pPr>
      <w:proofErr w:type="spellStart"/>
      <w:r w:rsidRPr="00373A55">
        <w:t>საქართველოს</w:t>
      </w:r>
      <w:proofErr w:type="spellEnd"/>
      <w:r w:rsidRPr="00373A55">
        <w:t xml:space="preserve"> </w:t>
      </w:r>
      <w:proofErr w:type="spellStart"/>
      <w:r w:rsidRPr="00373A55">
        <w:t>სტატისტიკის</w:t>
      </w:r>
      <w:proofErr w:type="spellEnd"/>
      <w:r w:rsidRPr="00373A55">
        <w:t xml:space="preserve"> </w:t>
      </w:r>
      <w:proofErr w:type="spellStart"/>
      <w:r w:rsidRPr="00373A55">
        <w:t>ეროვნული</w:t>
      </w:r>
      <w:proofErr w:type="spellEnd"/>
      <w:r w:rsidRPr="00373A55">
        <w:t xml:space="preserve"> </w:t>
      </w:r>
      <w:proofErr w:type="spellStart"/>
      <w:r w:rsidRPr="00373A55">
        <w:t>სამსახური</w:t>
      </w:r>
      <w:proofErr w:type="spellEnd"/>
      <w:r w:rsidRPr="00373A55">
        <w:t xml:space="preserve"> „</w:t>
      </w:r>
      <w:proofErr w:type="spellStart"/>
      <w:r w:rsidRPr="00373A55">
        <w:t>საქსტატი</w:t>
      </w:r>
      <w:proofErr w:type="spellEnd"/>
      <w:r w:rsidRPr="00373A55">
        <w:t xml:space="preserve">“ (2019), </w:t>
      </w:r>
      <w:proofErr w:type="spellStart"/>
      <w:r w:rsidRPr="00373A55">
        <w:t>სამომხმარებლო</w:t>
      </w:r>
      <w:proofErr w:type="spellEnd"/>
      <w:r w:rsidRPr="00373A55">
        <w:t xml:space="preserve"> </w:t>
      </w:r>
      <w:proofErr w:type="spellStart"/>
      <w:r w:rsidRPr="00373A55">
        <w:t>ფასების</w:t>
      </w:r>
      <w:proofErr w:type="spellEnd"/>
      <w:r w:rsidRPr="00373A55">
        <w:t xml:space="preserve"> </w:t>
      </w:r>
      <w:proofErr w:type="spellStart"/>
      <w:r w:rsidRPr="00373A55">
        <w:t>ინდექსი</w:t>
      </w:r>
      <w:proofErr w:type="spellEnd"/>
      <w:r w:rsidRPr="00373A55">
        <w:t xml:space="preserve">, </w:t>
      </w:r>
      <w:proofErr w:type="spellStart"/>
      <w:r w:rsidRPr="00373A55">
        <w:t>ნანახია</w:t>
      </w:r>
      <w:proofErr w:type="spellEnd"/>
      <w:r w:rsidRPr="00373A55">
        <w:t xml:space="preserve"> 20/03/2019  </w:t>
      </w:r>
      <w:hyperlink r:id="rId19" w:history="1">
        <w:r w:rsidRPr="00373A55">
          <w:rPr>
            <w:rStyle w:val="Hyperlink"/>
          </w:rPr>
          <w:t>http://www.geostat.ge/?action=page&amp;p_id=127&amp;lang=geo</w:t>
        </w:r>
      </w:hyperlink>
    </w:p>
    <w:p w:rsidR="001F006A" w:rsidRPr="00373A55" w:rsidRDefault="001F006A" w:rsidP="001F006A">
      <w:pPr>
        <w:pStyle w:val="ListParagraph"/>
        <w:widowControl w:val="0"/>
        <w:numPr>
          <w:ilvl w:val="0"/>
          <w:numId w:val="8"/>
        </w:numPr>
        <w:overflowPunct w:val="0"/>
        <w:autoSpaceDE w:val="0"/>
        <w:autoSpaceDN w:val="0"/>
        <w:adjustRightInd w:val="0"/>
        <w:spacing w:after="0"/>
        <w:ind w:right="60"/>
        <w:jc w:val="both"/>
      </w:pPr>
      <w:r w:rsidRPr="00373A55">
        <w:t>World Health Organization for European Region. Georgia: Health System review. 2009</w:t>
      </w:r>
    </w:p>
    <w:p w:rsidR="001F006A" w:rsidRPr="00373A55" w:rsidRDefault="001F006A" w:rsidP="001F006A">
      <w:pPr>
        <w:pStyle w:val="ListParagraph"/>
        <w:widowControl w:val="0"/>
        <w:numPr>
          <w:ilvl w:val="0"/>
          <w:numId w:val="8"/>
        </w:numPr>
        <w:overflowPunct w:val="0"/>
        <w:autoSpaceDE w:val="0"/>
        <w:autoSpaceDN w:val="0"/>
        <w:adjustRightInd w:val="0"/>
        <w:spacing w:after="0"/>
        <w:ind w:right="60"/>
        <w:jc w:val="both"/>
      </w:pPr>
      <w:r w:rsidRPr="00373A55">
        <w:t xml:space="preserve">World Health Organization for European Region. </w:t>
      </w:r>
      <w:proofErr w:type="spellStart"/>
      <w:proofErr w:type="gramStart"/>
      <w:r w:rsidRPr="00373A55">
        <w:t>eorgia</w:t>
      </w:r>
      <w:proofErr w:type="spellEnd"/>
      <w:proofErr w:type="gramEnd"/>
      <w:r w:rsidRPr="00373A55">
        <w:t>: Health System review. 2017</w:t>
      </w:r>
    </w:p>
    <w:p w:rsidR="001F006A" w:rsidRPr="00373A55" w:rsidRDefault="001F006A" w:rsidP="001F006A">
      <w:pPr>
        <w:pStyle w:val="ListParagraph"/>
        <w:widowControl w:val="0"/>
        <w:numPr>
          <w:ilvl w:val="0"/>
          <w:numId w:val="8"/>
        </w:numPr>
        <w:overflowPunct w:val="0"/>
        <w:autoSpaceDE w:val="0"/>
        <w:autoSpaceDN w:val="0"/>
        <w:adjustRightInd w:val="0"/>
        <w:spacing w:after="0"/>
        <w:ind w:right="60"/>
        <w:jc w:val="both"/>
      </w:pPr>
      <w:r w:rsidRPr="00373A55">
        <w:t>World Bank Group. 2017. Georgia Public Expenditure Review. (</w:t>
      </w:r>
      <w:hyperlink r:id="rId20" w:history="1">
        <w:r w:rsidRPr="00373A55">
          <w:t>http://documents.worldbank.org/curated/en/630321497350151165/pdf/114062-PER-P156724-PUBLIC-PERFINAL.pdf</w:t>
        </w:r>
      </w:hyperlink>
      <w:r w:rsidRPr="00373A55">
        <w:t>)</w:t>
      </w:r>
    </w:p>
    <w:p w:rsidR="001F006A" w:rsidRPr="00373A55" w:rsidRDefault="001F006A" w:rsidP="001F006A">
      <w:pPr>
        <w:pStyle w:val="ListParagraph"/>
        <w:widowControl w:val="0"/>
        <w:numPr>
          <w:ilvl w:val="0"/>
          <w:numId w:val="8"/>
        </w:numPr>
        <w:overflowPunct w:val="0"/>
        <w:autoSpaceDE w:val="0"/>
        <w:autoSpaceDN w:val="0"/>
        <w:adjustRightInd w:val="0"/>
        <w:spacing w:after="0"/>
        <w:ind w:right="60"/>
        <w:jc w:val="both"/>
      </w:pPr>
      <w:r w:rsidRPr="00373A55">
        <w:t>World Health Organization for European Region. European health Report. Targets and beyond – reaching new frontiers in evidence. 2015</w:t>
      </w:r>
    </w:p>
    <w:p w:rsidR="001F006A" w:rsidRPr="00373A55" w:rsidRDefault="001F006A" w:rsidP="001F006A">
      <w:pPr>
        <w:pStyle w:val="ListParagraph"/>
        <w:widowControl w:val="0"/>
        <w:numPr>
          <w:ilvl w:val="0"/>
          <w:numId w:val="8"/>
        </w:numPr>
        <w:overflowPunct w:val="0"/>
        <w:autoSpaceDE w:val="0"/>
        <w:autoSpaceDN w:val="0"/>
        <w:adjustRightInd w:val="0"/>
        <w:spacing w:after="0"/>
        <w:ind w:right="60"/>
        <w:jc w:val="both"/>
      </w:pPr>
      <w:r w:rsidRPr="00373A55">
        <w:t xml:space="preserve">United </w:t>
      </w:r>
      <w:proofErr w:type="spellStart"/>
      <w:r w:rsidRPr="00373A55">
        <w:t>Nationas</w:t>
      </w:r>
      <w:proofErr w:type="spellEnd"/>
      <w:r w:rsidRPr="00373A55">
        <w:t xml:space="preserve">. Sustainable </w:t>
      </w:r>
      <w:proofErr w:type="spellStart"/>
      <w:r w:rsidRPr="00373A55">
        <w:t>Developemt</w:t>
      </w:r>
      <w:proofErr w:type="spellEnd"/>
      <w:r w:rsidRPr="00373A55">
        <w:t xml:space="preserve"> Goals. </w:t>
      </w:r>
      <w:hyperlink r:id="rId21" w:history="1">
        <w:r w:rsidRPr="00373A55">
          <w:rPr>
            <w:rStyle w:val="Hyperlink"/>
          </w:rPr>
          <w:t>https://sustainabledevelopment.un.org/sdgs</w:t>
        </w:r>
      </w:hyperlink>
    </w:p>
    <w:p w:rsidR="001F006A" w:rsidRPr="00373A55" w:rsidRDefault="001F006A" w:rsidP="001F006A">
      <w:pPr>
        <w:pStyle w:val="ListParagraph"/>
        <w:widowControl w:val="0"/>
        <w:numPr>
          <w:ilvl w:val="0"/>
          <w:numId w:val="8"/>
        </w:numPr>
        <w:overflowPunct w:val="0"/>
        <w:autoSpaceDE w:val="0"/>
        <w:autoSpaceDN w:val="0"/>
        <w:adjustRightInd w:val="0"/>
        <w:spacing w:after="0"/>
        <w:ind w:right="60"/>
        <w:jc w:val="both"/>
      </w:pPr>
      <w:r w:rsidRPr="00373A55">
        <w:t>World Health Organization for European Region.</w:t>
      </w:r>
      <w:r w:rsidR="00EE0903" w:rsidRPr="00373A55">
        <w:t xml:space="preserve"> European Health Information Gateway:   Health for All explorer. </w:t>
      </w:r>
      <w:hyperlink r:id="rId22" w:history="1">
        <w:r w:rsidR="00EE0903" w:rsidRPr="00373A55">
          <w:rPr>
            <w:rStyle w:val="Hyperlink"/>
          </w:rPr>
          <w:t>https://gateway.euro.who.int/en/hfa-explorer/</w:t>
        </w:r>
      </w:hyperlink>
    </w:p>
    <w:p w:rsidR="00EE0903" w:rsidRPr="00373A55" w:rsidRDefault="00EE0903" w:rsidP="001F006A">
      <w:pPr>
        <w:pStyle w:val="ListParagraph"/>
        <w:widowControl w:val="0"/>
        <w:numPr>
          <w:ilvl w:val="0"/>
          <w:numId w:val="8"/>
        </w:numPr>
        <w:overflowPunct w:val="0"/>
        <w:autoSpaceDE w:val="0"/>
        <w:autoSpaceDN w:val="0"/>
        <w:adjustRightInd w:val="0"/>
        <w:spacing w:after="0"/>
        <w:ind w:right="60"/>
        <w:jc w:val="both"/>
      </w:pPr>
      <w:proofErr w:type="spellStart"/>
      <w:proofErr w:type="gramStart"/>
      <w:r w:rsidRPr="00373A55">
        <w:t>საქართველოს</w:t>
      </w:r>
      <w:proofErr w:type="spellEnd"/>
      <w:proofErr w:type="gramEnd"/>
      <w:r w:rsidRPr="00373A55">
        <w:t xml:space="preserve"> </w:t>
      </w:r>
      <w:proofErr w:type="spellStart"/>
      <w:r w:rsidRPr="00373A55">
        <w:t>შრომის</w:t>
      </w:r>
      <w:proofErr w:type="spellEnd"/>
      <w:r w:rsidRPr="00373A55">
        <w:t xml:space="preserve">, </w:t>
      </w:r>
      <w:proofErr w:type="spellStart"/>
      <w:r w:rsidRPr="00373A55">
        <w:t>ჯანმრთელობისა</w:t>
      </w:r>
      <w:proofErr w:type="spellEnd"/>
      <w:r w:rsidRPr="00373A55">
        <w:t xml:space="preserve"> </w:t>
      </w:r>
      <w:proofErr w:type="spellStart"/>
      <w:r w:rsidRPr="00373A55">
        <w:t>და</w:t>
      </w:r>
      <w:proofErr w:type="spellEnd"/>
      <w:r w:rsidRPr="00373A55">
        <w:t xml:space="preserve"> </w:t>
      </w:r>
      <w:proofErr w:type="spellStart"/>
      <w:r w:rsidRPr="00373A55">
        <w:t>სოციალური</w:t>
      </w:r>
      <w:proofErr w:type="spellEnd"/>
      <w:r w:rsidRPr="00373A55">
        <w:t xml:space="preserve"> </w:t>
      </w:r>
      <w:proofErr w:type="spellStart"/>
      <w:r w:rsidRPr="00373A55">
        <w:t>დაცვის</w:t>
      </w:r>
      <w:proofErr w:type="spellEnd"/>
      <w:r w:rsidRPr="00373A55">
        <w:t xml:space="preserve"> </w:t>
      </w:r>
      <w:proofErr w:type="spellStart"/>
      <w:r w:rsidRPr="00373A55">
        <w:t>სამინისტრო</w:t>
      </w:r>
      <w:proofErr w:type="spellEnd"/>
      <w:r w:rsidRPr="00373A55">
        <w:t xml:space="preserve">. </w:t>
      </w:r>
      <w:proofErr w:type="spellStart"/>
      <w:r w:rsidRPr="00373A55">
        <w:t>ჯანდაცვის</w:t>
      </w:r>
      <w:proofErr w:type="spellEnd"/>
      <w:r w:rsidRPr="00373A55">
        <w:t xml:space="preserve"> </w:t>
      </w:r>
      <w:proofErr w:type="spellStart"/>
      <w:r w:rsidRPr="00373A55">
        <w:t>სისტემის</w:t>
      </w:r>
      <w:proofErr w:type="spellEnd"/>
      <w:r w:rsidRPr="00373A55">
        <w:t xml:space="preserve"> </w:t>
      </w:r>
      <w:proofErr w:type="spellStart"/>
      <w:r w:rsidRPr="00373A55">
        <w:t>შეფასების</w:t>
      </w:r>
      <w:proofErr w:type="spellEnd"/>
      <w:r w:rsidRPr="00373A55">
        <w:t xml:space="preserve"> </w:t>
      </w:r>
      <w:proofErr w:type="spellStart"/>
      <w:r w:rsidRPr="00373A55">
        <w:t>ანგარიში</w:t>
      </w:r>
      <w:proofErr w:type="spellEnd"/>
      <w:r w:rsidRPr="00373A55">
        <w:t xml:space="preserve"> 2009</w:t>
      </w:r>
    </w:p>
    <w:p w:rsidR="00EE0903" w:rsidRPr="00373A55" w:rsidRDefault="00EE0903" w:rsidP="00EE0903">
      <w:pPr>
        <w:pStyle w:val="ListParagraph"/>
        <w:widowControl w:val="0"/>
        <w:numPr>
          <w:ilvl w:val="0"/>
          <w:numId w:val="8"/>
        </w:numPr>
        <w:overflowPunct w:val="0"/>
        <w:autoSpaceDE w:val="0"/>
        <w:autoSpaceDN w:val="0"/>
        <w:adjustRightInd w:val="0"/>
        <w:spacing w:after="0"/>
        <w:ind w:right="60"/>
        <w:jc w:val="both"/>
      </w:pPr>
      <w:proofErr w:type="spellStart"/>
      <w:proofErr w:type="gramStart"/>
      <w:r w:rsidRPr="00373A55">
        <w:t>საქართველოს</w:t>
      </w:r>
      <w:proofErr w:type="spellEnd"/>
      <w:proofErr w:type="gramEnd"/>
      <w:r w:rsidRPr="00373A55">
        <w:t xml:space="preserve"> </w:t>
      </w:r>
      <w:proofErr w:type="spellStart"/>
      <w:r w:rsidRPr="00373A55">
        <w:t>შრომის</w:t>
      </w:r>
      <w:proofErr w:type="spellEnd"/>
      <w:r w:rsidRPr="00373A55">
        <w:t xml:space="preserve">, </w:t>
      </w:r>
      <w:proofErr w:type="spellStart"/>
      <w:r w:rsidRPr="00373A55">
        <w:t>ჯანმრთელობისა</w:t>
      </w:r>
      <w:proofErr w:type="spellEnd"/>
      <w:r w:rsidRPr="00373A55">
        <w:t xml:space="preserve"> </w:t>
      </w:r>
      <w:proofErr w:type="spellStart"/>
      <w:r w:rsidRPr="00373A55">
        <w:t>და</w:t>
      </w:r>
      <w:proofErr w:type="spellEnd"/>
      <w:r w:rsidRPr="00373A55">
        <w:t xml:space="preserve"> </w:t>
      </w:r>
      <w:proofErr w:type="spellStart"/>
      <w:r w:rsidRPr="00373A55">
        <w:t>სოციალური</w:t>
      </w:r>
      <w:proofErr w:type="spellEnd"/>
      <w:r w:rsidRPr="00373A55">
        <w:t xml:space="preserve"> </w:t>
      </w:r>
      <w:proofErr w:type="spellStart"/>
      <w:r w:rsidRPr="00373A55">
        <w:t>დაცვის</w:t>
      </w:r>
      <w:proofErr w:type="spellEnd"/>
      <w:r w:rsidRPr="00373A55">
        <w:t xml:space="preserve"> </w:t>
      </w:r>
      <w:proofErr w:type="spellStart"/>
      <w:r w:rsidRPr="00373A55">
        <w:t>სამინისტრო</w:t>
      </w:r>
      <w:proofErr w:type="spellEnd"/>
      <w:r w:rsidRPr="00373A55">
        <w:t xml:space="preserve">. </w:t>
      </w:r>
      <w:proofErr w:type="spellStart"/>
      <w:r w:rsidRPr="00373A55">
        <w:t>ჯანდაცვის</w:t>
      </w:r>
      <w:proofErr w:type="spellEnd"/>
      <w:r w:rsidRPr="00373A55">
        <w:t xml:space="preserve"> </w:t>
      </w:r>
      <w:proofErr w:type="spellStart"/>
      <w:r w:rsidRPr="00373A55">
        <w:t>სისტემის</w:t>
      </w:r>
      <w:proofErr w:type="spellEnd"/>
      <w:r w:rsidRPr="00373A55">
        <w:t xml:space="preserve"> </w:t>
      </w:r>
      <w:proofErr w:type="spellStart"/>
      <w:r w:rsidRPr="00373A55">
        <w:t>შეფასების</w:t>
      </w:r>
      <w:proofErr w:type="spellEnd"/>
      <w:r w:rsidRPr="00373A55">
        <w:t xml:space="preserve"> </w:t>
      </w:r>
      <w:proofErr w:type="spellStart"/>
      <w:r w:rsidRPr="00373A55">
        <w:t>ანგარიში</w:t>
      </w:r>
      <w:proofErr w:type="spellEnd"/>
      <w:r w:rsidRPr="00373A55">
        <w:t xml:space="preserve"> 2007</w:t>
      </w:r>
    </w:p>
    <w:p w:rsidR="00EE0903" w:rsidRPr="00373A55" w:rsidRDefault="00EE0903" w:rsidP="001F006A">
      <w:pPr>
        <w:pStyle w:val="ListParagraph"/>
        <w:widowControl w:val="0"/>
        <w:numPr>
          <w:ilvl w:val="0"/>
          <w:numId w:val="8"/>
        </w:numPr>
        <w:overflowPunct w:val="0"/>
        <w:autoSpaceDE w:val="0"/>
        <w:autoSpaceDN w:val="0"/>
        <w:adjustRightInd w:val="0"/>
        <w:spacing w:after="0"/>
        <w:ind w:right="60"/>
        <w:jc w:val="both"/>
      </w:pPr>
      <w:proofErr w:type="spellStart"/>
      <w:proofErr w:type="gramStart"/>
      <w:r w:rsidRPr="00373A55">
        <w:t>საქართველოს</w:t>
      </w:r>
      <w:proofErr w:type="spellEnd"/>
      <w:proofErr w:type="gramEnd"/>
      <w:r w:rsidRPr="00373A55">
        <w:t xml:space="preserve"> </w:t>
      </w:r>
      <w:proofErr w:type="spellStart"/>
      <w:r w:rsidRPr="00373A55">
        <w:t>მთავრობა</w:t>
      </w:r>
      <w:proofErr w:type="spellEnd"/>
      <w:r w:rsidRPr="00373A55">
        <w:t xml:space="preserve">. </w:t>
      </w:r>
      <w:r w:rsidR="00D339EC" w:rsidRPr="00373A55">
        <w:t xml:space="preserve">2009 </w:t>
      </w:r>
      <w:proofErr w:type="spellStart"/>
      <w:r w:rsidR="00D339EC" w:rsidRPr="00373A55">
        <w:t>წლის</w:t>
      </w:r>
      <w:proofErr w:type="spellEnd"/>
      <w:r w:rsidR="00D339EC" w:rsidRPr="00373A55">
        <w:t xml:space="preserve"> 9 </w:t>
      </w:r>
      <w:proofErr w:type="spellStart"/>
      <w:r w:rsidR="00D339EC" w:rsidRPr="00373A55">
        <w:t>დეკმებრის</w:t>
      </w:r>
      <w:proofErr w:type="spellEnd"/>
      <w:r w:rsidR="00D339EC" w:rsidRPr="00373A55">
        <w:t xml:space="preserve"> N218 </w:t>
      </w:r>
      <w:proofErr w:type="spellStart"/>
      <w:r w:rsidR="00D339EC" w:rsidRPr="00373A55">
        <w:t>დადგენილება</w:t>
      </w:r>
      <w:proofErr w:type="spellEnd"/>
      <w:r w:rsidR="00D339EC" w:rsidRPr="00373A55">
        <w:t xml:space="preserve">. </w:t>
      </w:r>
      <w:proofErr w:type="spellStart"/>
      <w:proofErr w:type="gramStart"/>
      <w:r w:rsidRPr="00373A55">
        <w:t>სახელმწიფო</w:t>
      </w:r>
      <w:proofErr w:type="spellEnd"/>
      <w:proofErr w:type="gramEnd"/>
      <w:r w:rsidRPr="00373A55">
        <w:t xml:space="preserve"> </w:t>
      </w:r>
      <w:proofErr w:type="spellStart"/>
      <w:r w:rsidRPr="00373A55">
        <w:t>პროგრამების</w:t>
      </w:r>
      <w:proofErr w:type="spellEnd"/>
      <w:r w:rsidRPr="00373A55">
        <w:t xml:space="preserve"> </w:t>
      </w:r>
      <w:proofErr w:type="spellStart"/>
      <w:r w:rsidRPr="00373A55">
        <w:t>ფარგლებში</w:t>
      </w:r>
      <w:proofErr w:type="spellEnd"/>
      <w:r w:rsidRPr="00373A55">
        <w:t xml:space="preserve"> </w:t>
      </w:r>
      <w:proofErr w:type="spellStart"/>
      <w:r w:rsidRPr="00373A55">
        <w:t>მოსახლეობის</w:t>
      </w:r>
      <w:proofErr w:type="spellEnd"/>
      <w:r w:rsidRPr="00373A55">
        <w:t xml:space="preserve"> </w:t>
      </w:r>
      <w:proofErr w:type="spellStart"/>
      <w:r w:rsidRPr="00373A55">
        <w:t>ჯანმრთელობის</w:t>
      </w:r>
      <w:proofErr w:type="spellEnd"/>
      <w:r w:rsidRPr="00373A55">
        <w:t xml:space="preserve"> </w:t>
      </w:r>
      <w:proofErr w:type="spellStart"/>
      <w:r w:rsidRPr="00373A55">
        <w:t>დაზღვევის</w:t>
      </w:r>
      <w:proofErr w:type="spellEnd"/>
      <w:r w:rsidRPr="00373A55">
        <w:t xml:space="preserve"> </w:t>
      </w:r>
      <w:proofErr w:type="spellStart"/>
      <w:r w:rsidRPr="00373A55">
        <w:t>მიზნით</w:t>
      </w:r>
      <w:proofErr w:type="spellEnd"/>
      <w:r w:rsidRPr="00373A55">
        <w:t xml:space="preserve"> </w:t>
      </w:r>
      <w:proofErr w:type="spellStart"/>
      <w:r w:rsidRPr="00373A55">
        <w:lastRenderedPageBreak/>
        <w:t>გასატარებელი</w:t>
      </w:r>
      <w:proofErr w:type="spellEnd"/>
      <w:r w:rsidRPr="00373A55">
        <w:t xml:space="preserve"> </w:t>
      </w:r>
      <w:proofErr w:type="spellStart"/>
      <w:r w:rsidRPr="00373A55">
        <w:t>ღონისძიებებისა</w:t>
      </w:r>
      <w:proofErr w:type="spellEnd"/>
      <w:r w:rsidRPr="00373A55">
        <w:t xml:space="preserve"> </w:t>
      </w:r>
      <w:proofErr w:type="spellStart"/>
      <w:r w:rsidRPr="00373A55">
        <w:t>და</w:t>
      </w:r>
      <w:proofErr w:type="spellEnd"/>
      <w:r w:rsidRPr="00373A55">
        <w:t xml:space="preserve"> </w:t>
      </w:r>
      <w:proofErr w:type="spellStart"/>
      <w:r w:rsidRPr="00373A55">
        <w:t>სადაზღვევო</w:t>
      </w:r>
      <w:proofErr w:type="spellEnd"/>
      <w:r w:rsidRPr="00373A55">
        <w:t xml:space="preserve"> </w:t>
      </w:r>
      <w:proofErr w:type="spellStart"/>
      <w:r w:rsidRPr="00373A55">
        <w:t>ვაუჩერის</w:t>
      </w:r>
      <w:proofErr w:type="spellEnd"/>
      <w:r w:rsidRPr="00373A55">
        <w:t xml:space="preserve"> </w:t>
      </w:r>
      <w:proofErr w:type="spellStart"/>
      <w:r w:rsidRPr="00373A55">
        <w:t>პირობების</w:t>
      </w:r>
      <w:proofErr w:type="spellEnd"/>
      <w:r w:rsidRPr="00373A55">
        <w:t xml:space="preserve"> </w:t>
      </w:r>
      <w:proofErr w:type="spellStart"/>
      <w:r w:rsidRPr="00373A55">
        <w:t>განსაზღვრის</w:t>
      </w:r>
      <w:proofErr w:type="spellEnd"/>
      <w:r w:rsidRPr="00373A55">
        <w:t xml:space="preserve"> </w:t>
      </w:r>
      <w:proofErr w:type="spellStart"/>
      <w:r w:rsidRPr="00373A55">
        <w:t>შესახებ</w:t>
      </w:r>
      <w:proofErr w:type="spellEnd"/>
      <w:r w:rsidR="00D339EC" w:rsidRPr="00373A55">
        <w:t xml:space="preserve">, </w:t>
      </w:r>
      <w:proofErr w:type="spellStart"/>
      <w:r w:rsidR="00D339EC" w:rsidRPr="00373A55">
        <w:t>საქართველოს</w:t>
      </w:r>
      <w:proofErr w:type="spellEnd"/>
      <w:r w:rsidR="00D339EC" w:rsidRPr="00373A55">
        <w:t xml:space="preserve"> </w:t>
      </w:r>
      <w:proofErr w:type="spellStart"/>
      <w:r w:rsidR="00D339EC" w:rsidRPr="00373A55">
        <w:t>საკანონმდებლო</w:t>
      </w:r>
      <w:proofErr w:type="spellEnd"/>
      <w:r w:rsidR="00D339EC" w:rsidRPr="00373A55">
        <w:t xml:space="preserve"> </w:t>
      </w:r>
      <w:proofErr w:type="spellStart"/>
      <w:r w:rsidR="00D339EC" w:rsidRPr="00373A55">
        <w:t>მაცნე</w:t>
      </w:r>
      <w:proofErr w:type="spellEnd"/>
      <w:r w:rsidR="00D339EC" w:rsidRPr="00373A55">
        <w:t>.</w:t>
      </w:r>
      <w:r w:rsidR="00D339EC" w:rsidRPr="00373A55">
        <w:rPr>
          <w:rFonts w:cs="Sylfaen"/>
          <w:b/>
          <w:bCs/>
          <w:color w:val="333333"/>
          <w:sz w:val="21"/>
          <w:szCs w:val="21"/>
          <w:shd w:val="clear" w:color="auto" w:fill="FFFFFF"/>
        </w:rPr>
        <w:t xml:space="preserve"> </w:t>
      </w:r>
      <w:hyperlink r:id="rId23" w:history="1">
        <w:r w:rsidR="00D339EC" w:rsidRPr="00373A55">
          <w:rPr>
            <w:rStyle w:val="Hyperlink"/>
          </w:rPr>
          <w:t>https://matsne.gov.ge/ka/document/view/4372?publication=0</w:t>
        </w:r>
      </w:hyperlink>
    </w:p>
    <w:p w:rsidR="00D339EC" w:rsidRPr="00373A55" w:rsidRDefault="00D339EC" w:rsidP="001F006A">
      <w:pPr>
        <w:pStyle w:val="ListParagraph"/>
        <w:widowControl w:val="0"/>
        <w:numPr>
          <w:ilvl w:val="0"/>
          <w:numId w:val="8"/>
        </w:numPr>
        <w:overflowPunct w:val="0"/>
        <w:autoSpaceDE w:val="0"/>
        <w:autoSpaceDN w:val="0"/>
        <w:adjustRightInd w:val="0"/>
        <w:spacing w:after="0"/>
        <w:ind w:right="60"/>
        <w:jc w:val="both"/>
      </w:pPr>
      <w:proofErr w:type="spellStart"/>
      <w:proofErr w:type="gramStart"/>
      <w:r w:rsidRPr="00373A55">
        <w:t>საქართველოს</w:t>
      </w:r>
      <w:proofErr w:type="spellEnd"/>
      <w:proofErr w:type="gramEnd"/>
      <w:r w:rsidRPr="00373A55">
        <w:t xml:space="preserve"> </w:t>
      </w:r>
      <w:proofErr w:type="spellStart"/>
      <w:r w:rsidRPr="00373A55">
        <w:t>მთავრობა</w:t>
      </w:r>
      <w:proofErr w:type="spellEnd"/>
      <w:r w:rsidRPr="00373A55">
        <w:t xml:space="preserve">. 2012 </w:t>
      </w:r>
      <w:proofErr w:type="spellStart"/>
      <w:r w:rsidRPr="00373A55">
        <w:t>წლის</w:t>
      </w:r>
      <w:proofErr w:type="spellEnd"/>
      <w:r w:rsidRPr="00373A55">
        <w:t xml:space="preserve"> 7 </w:t>
      </w:r>
      <w:proofErr w:type="spellStart"/>
      <w:r w:rsidRPr="00373A55">
        <w:t>მაისის</w:t>
      </w:r>
      <w:proofErr w:type="spellEnd"/>
      <w:r w:rsidRPr="00373A55">
        <w:t xml:space="preserve"> N165 </w:t>
      </w:r>
      <w:proofErr w:type="spellStart"/>
      <w:r w:rsidRPr="00373A55">
        <w:t>დადგენილება</w:t>
      </w:r>
      <w:proofErr w:type="spellEnd"/>
      <w:r w:rsidRPr="00373A55">
        <w:t xml:space="preserve">. </w:t>
      </w:r>
      <w:proofErr w:type="spellStart"/>
      <w:r w:rsidRPr="00373A55">
        <w:t>ჯანმრთელობის</w:t>
      </w:r>
      <w:proofErr w:type="spellEnd"/>
      <w:r w:rsidRPr="00373A55">
        <w:t xml:space="preserve"> </w:t>
      </w:r>
      <w:proofErr w:type="spellStart"/>
      <w:r w:rsidRPr="00373A55">
        <w:t>დაზღვევის</w:t>
      </w:r>
      <w:proofErr w:type="spellEnd"/>
      <w:r w:rsidRPr="00373A55">
        <w:t xml:space="preserve"> </w:t>
      </w:r>
      <w:proofErr w:type="spellStart"/>
      <w:r w:rsidRPr="00373A55">
        <w:t>სახელმწიფო</w:t>
      </w:r>
      <w:proofErr w:type="spellEnd"/>
      <w:r w:rsidRPr="00373A55">
        <w:t xml:space="preserve"> </w:t>
      </w:r>
      <w:proofErr w:type="spellStart"/>
      <w:r w:rsidRPr="00373A55">
        <w:t>პროგრამების</w:t>
      </w:r>
      <w:proofErr w:type="spellEnd"/>
      <w:r w:rsidRPr="00373A55">
        <w:t xml:space="preserve"> </w:t>
      </w:r>
      <w:proofErr w:type="spellStart"/>
      <w:r w:rsidRPr="00373A55">
        <w:t>ფარგლებში</w:t>
      </w:r>
      <w:proofErr w:type="spellEnd"/>
      <w:r w:rsidRPr="00373A55">
        <w:t xml:space="preserve"> 0-5 </w:t>
      </w:r>
      <w:proofErr w:type="spellStart"/>
      <w:r w:rsidRPr="00373A55">
        <w:t>წლის</w:t>
      </w:r>
      <w:proofErr w:type="spellEnd"/>
      <w:r w:rsidRPr="00373A55">
        <w:t xml:space="preserve"> (</w:t>
      </w:r>
      <w:proofErr w:type="spellStart"/>
      <w:r w:rsidRPr="00373A55">
        <w:t>ჩათვლით</w:t>
      </w:r>
      <w:proofErr w:type="spellEnd"/>
      <w:r w:rsidRPr="00373A55">
        <w:t xml:space="preserve">) </w:t>
      </w:r>
      <w:proofErr w:type="spellStart"/>
      <w:r w:rsidRPr="00373A55">
        <w:t>ასაკის</w:t>
      </w:r>
      <w:proofErr w:type="spellEnd"/>
      <w:r w:rsidRPr="00373A55">
        <w:t xml:space="preserve"> </w:t>
      </w:r>
      <w:proofErr w:type="spellStart"/>
      <w:r w:rsidRPr="00373A55">
        <w:t>ბავშვების</w:t>
      </w:r>
      <w:proofErr w:type="spellEnd"/>
      <w:r w:rsidRPr="00373A55">
        <w:t xml:space="preserve">, 60 </w:t>
      </w:r>
      <w:proofErr w:type="spellStart"/>
      <w:r w:rsidRPr="00373A55">
        <w:t>წლის</w:t>
      </w:r>
      <w:proofErr w:type="spellEnd"/>
      <w:r w:rsidRPr="00373A55">
        <w:t xml:space="preserve"> </w:t>
      </w:r>
      <w:proofErr w:type="spellStart"/>
      <w:r w:rsidRPr="00373A55">
        <w:t>და</w:t>
      </w:r>
      <w:proofErr w:type="spellEnd"/>
      <w:r w:rsidRPr="00373A55">
        <w:t xml:space="preserve"> </w:t>
      </w:r>
      <w:proofErr w:type="spellStart"/>
      <w:r w:rsidRPr="00373A55">
        <w:t>ზემოთ</w:t>
      </w:r>
      <w:proofErr w:type="spellEnd"/>
      <w:r w:rsidRPr="00373A55">
        <w:t xml:space="preserve"> </w:t>
      </w:r>
      <w:proofErr w:type="spellStart"/>
      <w:r w:rsidRPr="00373A55">
        <w:t>ასაკის</w:t>
      </w:r>
      <w:proofErr w:type="spellEnd"/>
      <w:r w:rsidRPr="00373A55">
        <w:t xml:space="preserve"> </w:t>
      </w:r>
      <w:proofErr w:type="spellStart"/>
      <w:r w:rsidRPr="00373A55">
        <w:t>ქალების</w:t>
      </w:r>
      <w:proofErr w:type="spellEnd"/>
      <w:r w:rsidRPr="00373A55">
        <w:t xml:space="preserve"> </w:t>
      </w:r>
      <w:proofErr w:type="spellStart"/>
      <w:r w:rsidRPr="00373A55">
        <w:t>და</w:t>
      </w:r>
      <w:proofErr w:type="spellEnd"/>
      <w:r w:rsidRPr="00373A55">
        <w:t xml:space="preserve"> 65 </w:t>
      </w:r>
      <w:proofErr w:type="spellStart"/>
      <w:r w:rsidRPr="00373A55">
        <w:t>წლის</w:t>
      </w:r>
      <w:proofErr w:type="spellEnd"/>
      <w:r w:rsidRPr="00373A55">
        <w:t xml:space="preserve"> </w:t>
      </w:r>
      <w:proofErr w:type="spellStart"/>
      <w:r w:rsidRPr="00373A55">
        <w:t>და</w:t>
      </w:r>
      <w:proofErr w:type="spellEnd"/>
      <w:r w:rsidRPr="00373A55">
        <w:t xml:space="preserve"> </w:t>
      </w:r>
      <w:proofErr w:type="spellStart"/>
      <w:r w:rsidRPr="00373A55">
        <w:t>ზემოთ</w:t>
      </w:r>
      <w:proofErr w:type="spellEnd"/>
      <w:r w:rsidRPr="00373A55">
        <w:t xml:space="preserve"> </w:t>
      </w:r>
      <w:proofErr w:type="spellStart"/>
      <w:r w:rsidRPr="00373A55">
        <w:t>ასაკის</w:t>
      </w:r>
      <w:proofErr w:type="spellEnd"/>
      <w:r w:rsidRPr="00373A55">
        <w:t xml:space="preserve"> </w:t>
      </w:r>
      <w:proofErr w:type="spellStart"/>
      <w:r w:rsidRPr="00373A55">
        <w:t>მამაკაცების</w:t>
      </w:r>
      <w:proofErr w:type="spellEnd"/>
      <w:r w:rsidRPr="00373A55">
        <w:t xml:space="preserve"> (</w:t>
      </w:r>
      <w:proofErr w:type="spellStart"/>
      <w:r w:rsidRPr="00373A55">
        <w:t>საპენსიო</w:t>
      </w:r>
      <w:proofErr w:type="spellEnd"/>
      <w:r w:rsidRPr="00373A55">
        <w:t xml:space="preserve"> </w:t>
      </w:r>
      <w:proofErr w:type="spellStart"/>
      <w:r w:rsidRPr="00373A55">
        <w:t>ასაკის</w:t>
      </w:r>
      <w:proofErr w:type="spellEnd"/>
      <w:r w:rsidRPr="00373A55">
        <w:t xml:space="preserve"> </w:t>
      </w:r>
      <w:proofErr w:type="spellStart"/>
      <w:r w:rsidRPr="00373A55">
        <w:t>მოსახლეობა</w:t>
      </w:r>
      <w:proofErr w:type="spellEnd"/>
      <w:r w:rsidRPr="00373A55">
        <w:t xml:space="preserve">), </w:t>
      </w:r>
      <w:proofErr w:type="spellStart"/>
      <w:r w:rsidRPr="00373A55">
        <w:t>სტუდენტების</w:t>
      </w:r>
      <w:proofErr w:type="spellEnd"/>
      <w:r w:rsidRPr="00373A55">
        <w:t xml:space="preserve">, </w:t>
      </w:r>
      <w:proofErr w:type="spellStart"/>
      <w:r w:rsidRPr="00373A55">
        <w:t>შეზღუდული</w:t>
      </w:r>
      <w:proofErr w:type="spellEnd"/>
      <w:r w:rsidRPr="00373A55">
        <w:t xml:space="preserve"> </w:t>
      </w:r>
      <w:proofErr w:type="spellStart"/>
      <w:r w:rsidRPr="00373A55">
        <w:t>შესაძლებლობის</w:t>
      </w:r>
      <w:proofErr w:type="spellEnd"/>
      <w:r w:rsidRPr="00373A55">
        <w:t xml:space="preserve"> </w:t>
      </w:r>
      <w:proofErr w:type="spellStart"/>
      <w:r w:rsidRPr="00373A55">
        <w:t>მქონე</w:t>
      </w:r>
      <w:proofErr w:type="spellEnd"/>
      <w:r w:rsidRPr="00373A55">
        <w:t xml:space="preserve"> </w:t>
      </w:r>
      <w:proofErr w:type="spellStart"/>
      <w:r w:rsidRPr="00373A55">
        <w:t>ბავშვთა</w:t>
      </w:r>
      <w:proofErr w:type="spellEnd"/>
      <w:r w:rsidRPr="00373A55">
        <w:t xml:space="preserve"> </w:t>
      </w:r>
      <w:proofErr w:type="spellStart"/>
      <w:r w:rsidRPr="00373A55">
        <w:t>და</w:t>
      </w:r>
      <w:proofErr w:type="spellEnd"/>
      <w:r w:rsidRPr="00373A55">
        <w:t xml:space="preserve"> </w:t>
      </w:r>
      <w:proofErr w:type="spellStart"/>
      <w:r w:rsidRPr="00373A55">
        <w:t>მკვეთრად</w:t>
      </w:r>
      <w:proofErr w:type="spellEnd"/>
      <w:r w:rsidRPr="00373A55">
        <w:t xml:space="preserve"> </w:t>
      </w:r>
      <w:proofErr w:type="spellStart"/>
      <w:r w:rsidRPr="00373A55">
        <w:t>გამოხატული</w:t>
      </w:r>
      <w:proofErr w:type="spellEnd"/>
      <w:r w:rsidRPr="00373A55">
        <w:t xml:space="preserve"> </w:t>
      </w:r>
      <w:proofErr w:type="spellStart"/>
      <w:r w:rsidRPr="00373A55">
        <w:t>შეზღუდული</w:t>
      </w:r>
      <w:proofErr w:type="spellEnd"/>
      <w:r w:rsidRPr="00373A55">
        <w:t xml:space="preserve"> </w:t>
      </w:r>
      <w:proofErr w:type="spellStart"/>
      <w:r w:rsidRPr="00373A55">
        <w:t>შესაძლებლობის</w:t>
      </w:r>
      <w:proofErr w:type="spellEnd"/>
      <w:r w:rsidRPr="00373A55">
        <w:t xml:space="preserve"> </w:t>
      </w:r>
      <w:proofErr w:type="spellStart"/>
      <w:r w:rsidRPr="00373A55">
        <w:t>მქონე</w:t>
      </w:r>
      <w:proofErr w:type="spellEnd"/>
      <w:r w:rsidRPr="00373A55">
        <w:t xml:space="preserve"> </w:t>
      </w:r>
      <w:proofErr w:type="spellStart"/>
      <w:r w:rsidRPr="00373A55">
        <w:t>პირთა</w:t>
      </w:r>
      <w:proofErr w:type="spellEnd"/>
      <w:r w:rsidRPr="00373A55">
        <w:t xml:space="preserve"> </w:t>
      </w:r>
      <w:proofErr w:type="spellStart"/>
      <w:r w:rsidRPr="00373A55">
        <w:t>ჯანმრთელობის</w:t>
      </w:r>
      <w:proofErr w:type="spellEnd"/>
      <w:r w:rsidRPr="00373A55">
        <w:t xml:space="preserve"> </w:t>
      </w:r>
      <w:proofErr w:type="spellStart"/>
      <w:r w:rsidRPr="00373A55">
        <w:t>დაზღვევის</w:t>
      </w:r>
      <w:proofErr w:type="spellEnd"/>
      <w:r w:rsidRPr="00373A55">
        <w:t xml:space="preserve"> </w:t>
      </w:r>
      <w:proofErr w:type="spellStart"/>
      <w:r w:rsidRPr="00373A55">
        <w:t>მიზნით</w:t>
      </w:r>
      <w:proofErr w:type="spellEnd"/>
      <w:r w:rsidRPr="00373A55">
        <w:t xml:space="preserve"> </w:t>
      </w:r>
      <w:proofErr w:type="spellStart"/>
      <w:r w:rsidRPr="00373A55">
        <w:t>გასატარებელი</w:t>
      </w:r>
      <w:proofErr w:type="spellEnd"/>
      <w:r w:rsidRPr="00373A55">
        <w:t xml:space="preserve"> </w:t>
      </w:r>
      <w:proofErr w:type="spellStart"/>
      <w:r w:rsidRPr="00373A55">
        <w:t>ღონისძიებებისა</w:t>
      </w:r>
      <w:proofErr w:type="spellEnd"/>
      <w:r w:rsidRPr="00373A55">
        <w:t xml:space="preserve"> </w:t>
      </w:r>
      <w:proofErr w:type="spellStart"/>
      <w:r w:rsidRPr="00373A55">
        <w:t>და</w:t>
      </w:r>
      <w:proofErr w:type="spellEnd"/>
      <w:r w:rsidRPr="00373A55">
        <w:t xml:space="preserve"> </w:t>
      </w:r>
      <w:proofErr w:type="spellStart"/>
      <w:r w:rsidRPr="00373A55">
        <w:t>სადაზღვევო</w:t>
      </w:r>
      <w:proofErr w:type="spellEnd"/>
      <w:r w:rsidRPr="00373A55">
        <w:t xml:space="preserve"> </w:t>
      </w:r>
      <w:proofErr w:type="spellStart"/>
      <w:r w:rsidRPr="00373A55">
        <w:t>ვაუჩერის</w:t>
      </w:r>
      <w:proofErr w:type="spellEnd"/>
      <w:r w:rsidRPr="00373A55">
        <w:t xml:space="preserve"> </w:t>
      </w:r>
      <w:proofErr w:type="spellStart"/>
      <w:r w:rsidRPr="00373A55">
        <w:t>პირობების</w:t>
      </w:r>
      <w:proofErr w:type="spellEnd"/>
      <w:r w:rsidRPr="00373A55">
        <w:t xml:space="preserve"> </w:t>
      </w:r>
      <w:proofErr w:type="spellStart"/>
      <w:r w:rsidRPr="00373A55">
        <w:t>განსაზღვრის</w:t>
      </w:r>
      <w:proofErr w:type="spellEnd"/>
      <w:r w:rsidRPr="00373A55">
        <w:t xml:space="preserve"> </w:t>
      </w:r>
      <w:proofErr w:type="spellStart"/>
      <w:r w:rsidRPr="00373A55">
        <w:t>შესახებ</w:t>
      </w:r>
      <w:proofErr w:type="spellEnd"/>
      <w:r w:rsidRPr="00373A55">
        <w:rPr>
          <w:rFonts w:cs="Sylfaen"/>
          <w:b/>
          <w:bCs/>
          <w:color w:val="333333"/>
          <w:sz w:val="21"/>
          <w:szCs w:val="21"/>
          <w:shd w:val="clear" w:color="auto" w:fill="FFFFFF"/>
        </w:rPr>
        <w:t xml:space="preserve">. </w:t>
      </w:r>
      <w:proofErr w:type="spellStart"/>
      <w:proofErr w:type="gramStart"/>
      <w:r w:rsidRPr="00373A55">
        <w:t>საქართველოს</w:t>
      </w:r>
      <w:proofErr w:type="spellEnd"/>
      <w:proofErr w:type="gramEnd"/>
      <w:r w:rsidRPr="00373A55">
        <w:t xml:space="preserve"> </w:t>
      </w:r>
      <w:proofErr w:type="spellStart"/>
      <w:r w:rsidRPr="00373A55">
        <w:t>საკანონმდებლო</w:t>
      </w:r>
      <w:proofErr w:type="spellEnd"/>
      <w:r w:rsidRPr="00373A55">
        <w:t xml:space="preserve"> </w:t>
      </w:r>
      <w:proofErr w:type="spellStart"/>
      <w:r w:rsidRPr="00373A55">
        <w:t>მაცნე</w:t>
      </w:r>
      <w:proofErr w:type="spellEnd"/>
      <w:r w:rsidRPr="00373A55">
        <w:t>.</w:t>
      </w:r>
      <w:r w:rsidRPr="00373A55">
        <w:rPr>
          <w:rFonts w:cs="Sylfaen"/>
          <w:b/>
          <w:bCs/>
          <w:color w:val="333333"/>
          <w:sz w:val="21"/>
          <w:szCs w:val="21"/>
          <w:shd w:val="clear" w:color="auto" w:fill="FFFFFF"/>
        </w:rPr>
        <w:t xml:space="preserve"> </w:t>
      </w:r>
      <w:hyperlink r:id="rId24" w:history="1">
        <w:r w:rsidRPr="00373A55">
          <w:rPr>
            <w:rStyle w:val="Hyperlink"/>
          </w:rPr>
          <w:t>https://matsne.gov.ge/ka/document/view/1650266?publication=0</w:t>
        </w:r>
      </w:hyperlink>
    </w:p>
    <w:p w:rsidR="001F006A" w:rsidRPr="00373A55" w:rsidRDefault="001F006A" w:rsidP="001F006A">
      <w:pPr>
        <w:widowControl w:val="0"/>
        <w:overflowPunct w:val="0"/>
        <w:autoSpaceDE w:val="0"/>
        <w:autoSpaceDN w:val="0"/>
        <w:adjustRightInd w:val="0"/>
        <w:spacing w:line="360" w:lineRule="auto"/>
        <w:ind w:left="720" w:right="60" w:hanging="720"/>
        <w:jc w:val="both"/>
        <w:rPr>
          <w:rFonts w:ascii="Sylfaen" w:hAnsi="Sylfaen"/>
        </w:rPr>
      </w:pPr>
    </w:p>
    <w:p w:rsidR="001F006A" w:rsidRPr="00373A55" w:rsidRDefault="001F006A" w:rsidP="007E7E2F">
      <w:pPr>
        <w:widowControl w:val="0"/>
        <w:overflowPunct w:val="0"/>
        <w:autoSpaceDE w:val="0"/>
        <w:autoSpaceDN w:val="0"/>
        <w:adjustRightInd w:val="0"/>
        <w:spacing w:line="360" w:lineRule="auto"/>
        <w:ind w:left="720" w:right="60" w:hanging="720"/>
        <w:jc w:val="both"/>
        <w:rPr>
          <w:rFonts w:ascii="Sylfaen" w:hAnsi="Sylfaen"/>
        </w:rPr>
      </w:pPr>
    </w:p>
    <w:p w:rsidR="007E7E2F" w:rsidRPr="00373A55" w:rsidRDefault="007E7E2F" w:rsidP="00CB3AEA">
      <w:pPr>
        <w:jc w:val="both"/>
        <w:rPr>
          <w:rFonts w:ascii="Sylfaen" w:hAnsi="Sylfaen"/>
        </w:rPr>
      </w:pPr>
    </w:p>
    <w:p w:rsidR="007E7E2F" w:rsidRPr="00373A55" w:rsidRDefault="007E7E2F" w:rsidP="00CB3AEA">
      <w:pPr>
        <w:jc w:val="both"/>
        <w:rPr>
          <w:rFonts w:ascii="Sylfaen" w:hAnsi="Sylfaen"/>
        </w:rPr>
      </w:pPr>
    </w:p>
    <w:sectPr w:rsidR="007E7E2F" w:rsidRPr="00373A5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75" w:rsidRDefault="00BD5575" w:rsidP="00A559D6">
      <w:pPr>
        <w:spacing w:after="0" w:line="240" w:lineRule="auto"/>
      </w:pPr>
      <w:r>
        <w:separator/>
      </w:r>
    </w:p>
  </w:endnote>
  <w:endnote w:type="continuationSeparator" w:id="0">
    <w:p w:rsidR="00BD5575" w:rsidRDefault="00BD5575" w:rsidP="00A5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080624"/>
      <w:docPartObj>
        <w:docPartGallery w:val="Page Numbers (Bottom of Page)"/>
        <w:docPartUnique/>
      </w:docPartObj>
    </w:sdtPr>
    <w:sdtEndPr>
      <w:rPr>
        <w:noProof/>
      </w:rPr>
    </w:sdtEndPr>
    <w:sdtContent>
      <w:p w:rsidR="00AD007B" w:rsidRDefault="00AD007B">
        <w:pPr>
          <w:pStyle w:val="Footer"/>
          <w:jc w:val="center"/>
        </w:pPr>
        <w:r>
          <w:fldChar w:fldCharType="begin"/>
        </w:r>
        <w:r>
          <w:instrText xml:space="preserve"> PAGE   \* MERGEFORMAT </w:instrText>
        </w:r>
        <w:r>
          <w:fldChar w:fldCharType="separate"/>
        </w:r>
        <w:r w:rsidR="008304AE">
          <w:rPr>
            <w:noProof/>
          </w:rPr>
          <w:t>10</w:t>
        </w:r>
        <w:r>
          <w:rPr>
            <w:noProof/>
          </w:rPr>
          <w:fldChar w:fldCharType="end"/>
        </w:r>
      </w:p>
    </w:sdtContent>
  </w:sdt>
  <w:p w:rsidR="00AD007B" w:rsidRDefault="00AD0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75" w:rsidRDefault="00BD5575" w:rsidP="00A559D6">
      <w:pPr>
        <w:spacing w:after="0" w:line="240" w:lineRule="auto"/>
      </w:pPr>
      <w:r>
        <w:separator/>
      </w:r>
    </w:p>
  </w:footnote>
  <w:footnote w:type="continuationSeparator" w:id="0">
    <w:p w:rsidR="00BD5575" w:rsidRDefault="00BD5575" w:rsidP="00A55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1DDA"/>
    <w:multiLevelType w:val="multilevel"/>
    <w:tmpl w:val="19F400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1440"/>
      </w:pPr>
      <w:rPr>
        <w:rFonts w:hint="default"/>
      </w:rPr>
    </w:lvl>
    <w:lvl w:ilvl="4">
      <w:start w:val="1"/>
      <w:numFmt w:val="decimal"/>
      <w:lvlRestart w:val="1"/>
      <w:lvlText w:val="Table %1.%5"/>
      <w:lvlJc w:val="left"/>
      <w:pPr>
        <w:tabs>
          <w:tab w:val="num" w:pos="1440"/>
        </w:tabs>
        <w:ind w:left="1440" w:hanging="1440"/>
      </w:pPr>
      <w:rPr>
        <w:rFonts w:cs="Times New Roman"/>
        <w:bCs w:val="0"/>
        <w:i w:val="0"/>
        <w:iC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lvlText w:val="Figure %1.%6"/>
      <w:lvlJc w:val="left"/>
      <w:pPr>
        <w:tabs>
          <w:tab w:val="num" w:pos="1440"/>
        </w:tabs>
        <w:ind w:left="1440" w:hanging="1440"/>
      </w:pPr>
      <w:rPr>
        <w:rFonts w:hint="default"/>
      </w:rPr>
    </w:lvl>
    <w:lvl w:ilvl="6">
      <w:start w:val="1"/>
      <w:numFmt w:val="decimal"/>
      <w:lvlRestart w:val="1"/>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7001168"/>
    <w:multiLevelType w:val="hybridMultilevel"/>
    <w:tmpl w:val="087E2CEA"/>
    <w:lvl w:ilvl="0" w:tplc="11844CB8">
      <w:start w:val="1"/>
      <w:numFmt w:val="decimal"/>
      <w:lvlText w:val="2.%1"/>
      <w:lvlJc w:val="left"/>
      <w:pPr>
        <w:ind w:left="1637" w:hanging="360"/>
      </w:pPr>
      <w:rPr>
        <w:rFonts w:ascii="Cambria" w:hAnsi="Cambria" w:cs="Times New Roman" w:hint="default"/>
        <w:b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181E6FC1"/>
    <w:multiLevelType w:val="hybridMultilevel"/>
    <w:tmpl w:val="430A2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E1C14A0"/>
    <w:multiLevelType w:val="hybridMultilevel"/>
    <w:tmpl w:val="CB46BA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2624C1"/>
    <w:multiLevelType w:val="hybridMultilevel"/>
    <w:tmpl w:val="8ED64B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1F2132B"/>
    <w:multiLevelType w:val="hybridMultilevel"/>
    <w:tmpl w:val="6706A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B6F9A"/>
    <w:multiLevelType w:val="hybridMultilevel"/>
    <w:tmpl w:val="8DAA221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D5"/>
    <w:rsid w:val="0000068E"/>
    <w:rsid w:val="00003CDA"/>
    <w:rsid w:val="0000666B"/>
    <w:rsid w:val="00006915"/>
    <w:rsid w:val="000069E8"/>
    <w:rsid w:val="000108E1"/>
    <w:rsid w:val="0001125A"/>
    <w:rsid w:val="00013607"/>
    <w:rsid w:val="00013CC1"/>
    <w:rsid w:val="00014758"/>
    <w:rsid w:val="00014D6C"/>
    <w:rsid w:val="000158DC"/>
    <w:rsid w:val="00015A74"/>
    <w:rsid w:val="00017248"/>
    <w:rsid w:val="00020AE9"/>
    <w:rsid w:val="00022464"/>
    <w:rsid w:val="000250C8"/>
    <w:rsid w:val="000261E6"/>
    <w:rsid w:val="000275B1"/>
    <w:rsid w:val="00027B06"/>
    <w:rsid w:val="00027F62"/>
    <w:rsid w:val="000306A9"/>
    <w:rsid w:val="0003159B"/>
    <w:rsid w:val="00032D75"/>
    <w:rsid w:val="00033945"/>
    <w:rsid w:val="00033BBB"/>
    <w:rsid w:val="00033C58"/>
    <w:rsid w:val="00034070"/>
    <w:rsid w:val="00034E1D"/>
    <w:rsid w:val="0003513E"/>
    <w:rsid w:val="00035A49"/>
    <w:rsid w:val="00036600"/>
    <w:rsid w:val="000400D7"/>
    <w:rsid w:val="00040718"/>
    <w:rsid w:val="00041AC3"/>
    <w:rsid w:val="00041AFE"/>
    <w:rsid w:val="00042EFE"/>
    <w:rsid w:val="00044571"/>
    <w:rsid w:val="000448EE"/>
    <w:rsid w:val="000451DB"/>
    <w:rsid w:val="000454EE"/>
    <w:rsid w:val="00047C9C"/>
    <w:rsid w:val="000512FD"/>
    <w:rsid w:val="00052A21"/>
    <w:rsid w:val="00052AA3"/>
    <w:rsid w:val="00052F08"/>
    <w:rsid w:val="000531DD"/>
    <w:rsid w:val="0005624B"/>
    <w:rsid w:val="0005693B"/>
    <w:rsid w:val="000569EF"/>
    <w:rsid w:val="00056BF2"/>
    <w:rsid w:val="00057745"/>
    <w:rsid w:val="000617B7"/>
    <w:rsid w:val="000625E4"/>
    <w:rsid w:val="000626E3"/>
    <w:rsid w:val="000659B1"/>
    <w:rsid w:val="00066440"/>
    <w:rsid w:val="00066556"/>
    <w:rsid w:val="000678A9"/>
    <w:rsid w:val="000714CE"/>
    <w:rsid w:val="00071884"/>
    <w:rsid w:val="0007209A"/>
    <w:rsid w:val="000739F0"/>
    <w:rsid w:val="00073EC9"/>
    <w:rsid w:val="00074B94"/>
    <w:rsid w:val="00076829"/>
    <w:rsid w:val="00077101"/>
    <w:rsid w:val="00081658"/>
    <w:rsid w:val="00083270"/>
    <w:rsid w:val="00084125"/>
    <w:rsid w:val="0008506E"/>
    <w:rsid w:val="00085097"/>
    <w:rsid w:val="00085443"/>
    <w:rsid w:val="00087AE8"/>
    <w:rsid w:val="0009119A"/>
    <w:rsid w:val="00091549"/>
    <w:rsid w:val="000918AD"/>
    <w:rsid w:val="00093220"/>
    <w:rsid w:val="00093591"/>
    <w:rsid w:val="00094653"/>
    <w:rsid w:val="00094C68"/>
    <w:rsid w:val="0009563D"/>
    <w:rsid w:val="00097497"/>
    <w:rsid w:val="000A1E00"/>
    <w:rsid w:val="000A2E0A"/>
    <w:rsid w:val="000A2F72"/>
    <w:rsid w:val="000A36FB"/>
    <w:rsid w:val="000A5072"/>
    <w:rsid w:val="000A74D7"/>
    <w:rsid w:val="000B024C"/>
    <w:rsid w:val="000B3BE2"/>
    <w:rsid w:val="000B446F"/>
    <w:rsid w:val="000B49A3"/>
    <w:rsid w:val="000B4B66"/>
    <w:rsid w:val="000B53FF"/>
    <w:rsid w:val="000B5C12"/>
    <w:rsid w:val="000B7369"/>
    <w:rsid w:val="000B7E45"/>
    <w:rsid w:val="000C0536"/>
    <w:rsid w:val="000C1A4E"/>
    <w:rsid w:val="000C22D6"/>
    <w:rsid w:val="000C289B"/>
    <w:rsid w:val="000C41BF"/>
    <w:rsid w:val="000C42B6"/>
    <w:rsid w:val="000C4736"/>
    <w:rsid w:val="000C4A03"/>
    <w:rsid w:val="000C5D3B"/>
    <w:rsid w:val="000C7ECA"/>
    <w:rsid w:val="000D0AB5"/>
    <w:rsid w:val="000D1DC4"/>
    <w:rsid w:val="000D328C"/>
    <w:rsid w:val="000D3478"/>
    <w:rsid w:val="000D5BFE"/>
    <w:rsid w:val="000D5E00"/>
    <w:rsid w:val="000D6565"/>
    <w:rsid w:val="000D71DB"/>
    <w:rsid w:val="000D7671"/>
    <w:rsid w:val="000E0B58"/>
    <w:rsid w:val="000E0E87"/>
    <w:rsid w:val="000E0F45"/>
    <w:rsid w:val="000E1F85"/>
    <w:rsid w:val="000E30F8"/>
    <w:rsid w:val="000E357B"/>
    <w:rsid w:val="000E4325"/>
    <w:rsid w:val="000E49F0"/>
    <w:rsid w:val="000E635F"/>
    <w:rsid w:val="000E73F0"/>
    <w:rsid w:val="000E7837"/>
    <w:rsid w:val="000F046B"/>
    <w:rsid w:val="000F2C2B"/>
    <w:rsid w:val="000F4030"/>
    <w:rsid w:val="000F4E78"/>
    <w:rsid w:val="000F637D"/>
    <w:rsid w:val="000F7805"/>
    <w:rsid w:val="000F7D37"/>
    <w:rsid w:val="00100ABA"/>
    <w:rsid w:val="00100B47"/>
    <w:rsid w:val="00100D2F"/>
    <w:rsid w:val="001042F1"/>
    <w:rsid w:val="00105654"/>
    <w:rsid w:val="00107400"/>
    <w:rsid w:val="001076DD"/>
    <w:rsid w:val="00107790"/>
    <w:rsid w:val="0010787C"/>
    <w:rsid w:val="00107980"/>
    <w:rsid w:val="00107C8F"/>
    <w:rsid w:val="001113C6"/>
    <w:rsid w:val="00111C8B"/>
    <w:rsid w:val="00112394"/>
    <w:rsid w:val="00113382"/>
    <w:rsid w:val="00115DBB"/>
    <w:rsid w:val="00115E04"/>
    <w:rsid w:val="00115F43"/>
    <w:rsid w:val="001170C5"/>
    <w:rsid w:val="001229D5"/>
    <w:rsid w:val="00122B04"/>
    <w:rsid w:val="0012669F"/>
    <w:rsid w:val="0012752C"/>
    <w:rsid w:val="001319F0"/>
    <w:rsid w:val="0013422C"/>
    <w:rsid w:val="001375BF"/>
    <w:rsid w:val="001400C4"/>
    <w:rsid w:val="001406B7"/>
    <w:rsid w:val="00141244"/>
    <w:rsid w:val="001424E7"/>
    <w:rsid w:val="0014297E"/>
    <w:rsid w:val="00142A5A"/>
    <w:rsid w:val="00142BE4"/>
    <w:rsid w:val="00142BFE"/>
    <w:rsid w:val="00142E2B"/>
    <w:rsid w:val="00142EED"/>
    <w:rsid w:val="00144D78"/>
    <w:rsid w:val="001462E9"/>
    <w:rsid w:val="00146989"/>
    <w:rsid w:val="001516EA"/>
    <w:rsid w:val="00154823"/>
    <w:rsid w:val="0015487E"/>
    <w:rsid w:val="00156236"/>
    <w:rsid w:val="00156A6A"/>
    <w:rsid w:val="00157661"/>
    <w:rsid w:val="0016029E"/>
    <w:rsid w:val="00160CFE"/>
    <w:rsid w:val="00161094"/>
    <w:rsid w:val="00161911"/>
    <w:rsid w:val="00161C9B"/>
    <w:rsid w:val="00161D9F"/>
    <w:rsid w:val="001638EE"/>
    <w:rsid w:val="0016396B"/>
    <w:rsid w:val="00165F28"/>
    <w:rsid w:val="00167932"/>
    <w:rsid w:val="0017065C"/>
    <w:rsid w:val="00170A85"/>
    <w:rsid w:val="00171C1E"/>
    <w:rsid w:val="00171C27"/>
    <w:rsid w:val="00171F19"/>
    <w:rsid w:val="00172A05"/>
    <w:rsid w:val="00173299"/>
    <w:rsid w:val="00173CCE"/>
    <w:rsid w:val="00175C59"/>
    <w:rsid w:val="001763F9"/>
    <w:rsid w:val="00176693"/>
    <w:rsid w:val="00176E17"/>
    <w:rsid w:val="00180F2C"/>
    <w:rsid w:val="00180FD8"/>
    <w:rsid w:val="00181F0A"/>
    <w:rsid w:val="00183CBF"/>
    <w:rsid w:val="001847CF"/>
    <w:rsid w:val="00184F76"/>
    <w:rsid w:val="0018555F"/>
    <w:rsid w:val="001901C1"/>
    <w:rsid w:val="00190612"/>
    <w:rsid w:val="00190839"/>
    <w:rsid w:val="0019084C"/>
    <w:rsid w:val="0019129F"/>
    <w:rsid w:val="00191F14"/>
    <w:rsid w:val="001931F7"/>
    <w:rsid w:val="00195D9D"/>
    <w:rsid w:val="001969B0"/>
    <w:rsid w:val="001A0BAE"/>
    <w:rsid w:val="001A122B"/>
    <w:rsid w:val="001A1B76"/>
    <w:rsid w:val="001A29E3"/>
    <w:rsid w:val="001A73B7"/>
    <w:rsid w:val="001A784D"/>
    <w:rsid w:val="001B0913"/>
    <w:rsid w:val="001B33EE"/>
    <w:rsid w:val="001B3907"/>
    <w:rsid w:val="001B39DF"/>
    <w:rsid w:val="001B3C61"/>
    <w:rsid w:val="001B583A"/>
    <w:rsid w:val="001B584E"/>
    <w:rsid w:val="001B5D13"/>
    <w:rsid w:val="001B5EB9"/>
    <w:rsid w:val="001C16D6"/>
    <w:rsid w:val="001C21D2"/>
    <w:rsid w:val="001C44E8"/>
    <w:rsid w:val="001C46A1"/>
    <w:rsid w:val="001C602C"/>
    <w:rsid w:val="001C6404"/>
    <w:rsid w:val="001C66EC"/>
    <w:rsid w:val="001C7C3C"/>
    <w:rsid w:val="001C7D1A"/>
    <w:rsid w:val="001D0DF0"/>
    <w:rsid w:val="001D175B"/>
    <w:rsid w:val="001D320D"/>
    <w:rsid w:val="001D3DEB"/>
    <w:rsid w:val="001D4188"/>
    <w:rsid w:val="001E24A3"/>
    <w:rsid w:val="001E26ED"/>
    <w:rsid w:val="001E6017"/>
    <w:rsid w:val="001E7E61"/>
    <w:rsid w:val="001F006A"/>
    <w:rsid w:val="001F1A02"/>
    <w:rsid w:val="001F2930"/>
    <w:rsid w:val="001F3A91"/>
    <w:rsid w:val="001F3EA9"/>
    <w:rsid w:val="001F418C"/>
    <w:rsid w:val="001F42A8"/>
    <w:rsid w:val="001F43E8"/>
    <w:rsid w:val="001F4D31"/>
    <w:rsid w:val="001F4DE9"/>
    <w:rsid w:val="001F6998"/>
    <w:rsid w:val="001F6E1A"/>
    <w:rsid w:val="0020027F"/>
    <w:rsid w:val="00200528"/>
    <w:rsid w:val="00200DE2"/>
    <w:rsid w:val="002015C6"/>
    <w:rsid w:val="00201CE9"/>
    <w:rsid w:val="00203322"/>
    <w:rsid w:val="00203DFF"/>
    <w:rsid w:val="002044AB"/>
    <w:rsid w:val="002045D8"/>
    <w:rsid w:val="00204DA7"/>
    <w:rsid w:val="00204DAF"/>
    <w:rsid w:val="002050AB"/>
    <w:rsid w:val="0020547C"/>
    <w:rsid w:val="002061C5"/>
    <w:rsid w:val="00206709"/>
    <w:rsid w:val="00206F67"/>
    <w:rsid w:val="0020760D"/>
    <w:rsid w:val="00211A96"/>
    <w:rsid w:val="002131E5"/>
    <w:rsid w:val="00216145"/>
    <w:rsid w:val="00216FF9"/>
    <w:rsid w:val="00217EF7"/>
    <w:rsid w:val="00220D42"/>
    <w:rsid w:val="00220D95"/>
    <w:rsid w:val="0022107A"/>
    <w:rsid w:val="00221DAF"/>
    <w:rsid w:val="00221FDD"/>
    <w:rsid w:val="002238FA"/>
    <w:rsid w:val="00225D15"/>
    <w:rsid w:val="00225FF2"/>
    <w:rsid w:val="00226464"/>
    <w:rsid w:val="00226579"/>
    <w:rsid w:val="00230754"/>
    <w:rsid w:val="00230ED1"/>
    <w:rsid w:val="0023160F"/>
    <w:rsid w:val="002318D6"/>
    <w:rsid w:val="00231E99"/>
    <w:rsid w:val="0023279D"/>
    <w:rsid w:val="00232D9D"/>
    <w:rsid w:val="002336F2"/>
    <w:rsid w:val="00233CBC"/>
    <w:rsid w:val="002346B1"/>
    <w:rsid w:val="00235580"/>
    <w:rsid w:val="00237683"/>
    <w:rsid w:val="00237A0C"/>
    <w:rsid w:val="002401E7"/>
    <w:rsid w:val="00241456"/>
    <w:rsid w:val="002419CC"/>
    <w:rsid w:val="002425A2"/>
    <w:rsid w:val="0024329A"/>
    <w:rsid w:val="002436C7"/>
    <w:rsid w:val="00244252"/>
    <w:rsid w:val="00244390"/>
    <w:rsid w:val="0024472C"/>
    <w:rsid w:val="0024606B"/>
    <w:rsid w:val="00247CC6"/>
    <w:rsid w:val="0025434A"/>
    <w:rsid w:val="00255D21"/>
    <w:rsid w:val="00256485"/>
    <w:rsid w:val="002608C4"/>
    <w:rsid w:val="00261649"/>
    <w:rsid w:val="00262A64"/>
    <w:rsid w:val="00263240"/>
    <w:rsid w:val="00263E02"/>
    <w:rsid w:val="002644F5"/>
    <w:rsid w:val="00266CEB"/>
    <w:rsid w:val="002673A7"/>
    <w:rsid w:val="002679EA"/>
    <w:rsid w:val="00272B63"/>
    <w:rsid w:val="0027310E"/>
    <w:rsid w:val="00273701"/>
    <w:rsid w:val="00273CED"/>
    <w:rsid w:val="00273F5E"/>
    <w:rsid w:val="002748A4"/>
    <w:rsid w:val="002754DF"/>
    <w:rsid w:val="00276A60"/>
    <w:rsid w:val="002776A3"/>
    <w:rsid w:val="00281522"/>
    <w:rsid w:val="00285C6D"/>
    <w:rsid w:val="00291852"/>
    <w:rsid w:val="00293F9B"/>
    <w:rsid w:val="002965AF"/>
    <w:rsid w:val="0029769B"/>
    <w:rsid w:val="002A0764"/>
    <w:rsid w:val="002A114A"/>
    <w:rsid w:val="002A1795"/>
    <w:rsid w:val="002A2045"/>
    <w:rsid w:val="002A3527"/>
    <w:rsid w:val="002A4F26"/>
    <w:rsid w:val="002A7614"/>
    <w:rsid w:val="002A7799"/>
    <w:rsid w:val="002A7A32"/>
    <w:rsid w:val="002B0527"/>
    <w:rsid w:val="002B2167"/>
    <w:rsid w:val="002B50EB"/>
    <w:rsid w:val="002C0FC4"/>
    <w:rsid w:val="002C2CD0"/>
    <w:rsid w:val="002C3570"/>
    <w:rsid w:val="002C4384"/>
    <w:rsid w:val="002C5D18"/>
    <w:rsid w:val="002C5D46"/>
    <w:rsid w:val="002C6944"/>
    <w:rsid w:val="002C716F"/>
    <w:rsid w:val="002C7A61"/>
    <w:rsid w:val="002C7CA7"/>
    <w:rsid w:val="002D1DF5"/>
    <w:rsid w:val="002D3C8F"/>
    <w:rsid w:val="002D4042"/>
    <w:rsid w:val="002D45A6"/>
    <w:rsid w:val="002D69D0"/>
    <w:rsid w:val="002E0123"/>
    <w:rsid w:val="002E0312"/>
    <w:rsid w:val="002E0E11"/>
    <w:rsid w:val="002E0EF8"/>
    <w:rsid w:val="002E13C0"/>
    <w:rsid w:val="002E2586"/>
    <w:rsid w:val="002E34B1"/>
    <w:rsid w:val="002E4C95"/>
    <w:rsid w:val="002E4CC5"/>
    <w:rsid w:val="002E6A12"/>
    <w:rsid w:val="002F01F3"/>
    <w:rsid w:val="002F0327"/>
    <w:rsid w:val="002F04BB"/>
    <w:rsid w:val="002F1967"/>
    <w:rsid w:val="002F1CBE"/>
    <w:rsid w:val="002F2038"/>
    <w:rsid w:val="002F2F2C"/>
    <w:rsid w:val="002F37B4"/>
    <w:rsid w:val="002F3812"/>
    <w:rsid w:val="002F40AF"/>
    <w:rsid w:val="002F4564"/>
    <w:rsid w:val="002F605C"/>
    <w:rsid w:val="00300AFD"/>
    <w:rsid w:val="00301186"/>
    <w:rsid w:val="00301FE2"/>
    <w:rsid w:val="00304AF6"/>
    <w:rsid w:val="0030524D"/>
    <w:rsid w:val="00305A8A"/>
    <w:rsid w:val="003067D2"/>
    <w:rsid w:val="00306954"/>
    <w:rsid w:val="00310F7F"/>
    <w:rsid w:val="003112D1"/>
    <w:rsid w:val="00311D7E"/>
    <w:rsid w:val="00312071"/>
    <w:rsid w:val="00313790"/>
    <w:rsid w:val="00313AAD"/>
    <w:rsid w:val="0031424A"/>
    <w:rsid w:val="003158DD"/>
    <w:rsid w:val="00316D82"/>
    <w:rsid w:val="00320AA7"/>
    <w:rsid w:val="00320F15"/>
    <w:rsid w:val="00322E55"/>
    <w:rsid w:val="003240B3"/>
    <w:rsid w:val="00332277"/>
    <w:rsid w:val="00333203"/>
    <w:rsid w:val="00336975"/>
    <w:rsid w:val="003372E1"/>
    <w:rsid w:val="00340931"/>
    <w:rsid w:val="00341AAB"/>
    <w:rsid w:val="00343B4A"/>
    <w:rsid w:val="00345A26"/>
    <w:rsid w:val="003505F9"/>
    <w:rsid w:val="00351A71"/>
    <w:rsid w:val="0035391C"/>
    <w:rsid w:val="00354530"/>
    <w:rsid w:val="00356C6A"/>
    <w:rsid w:val="00356F7D"/>
    <w:rsid w:val="0035786C"/>
    <w:rsid w:val="003600A5"/>
    <w:rsid w:val="00360F10"/>
    <w:rsid w:val="00361855"/>
    <w:rsid w:val="00362E0A"/>
    <w:rsid w:val="003634BF"/>
    <w:rsid w:val="0036449C"/>
    <w:rsid w:val="003648B9"/>
    <w:rsid w:val="0036543C"/>
    <w:rsid w:val="00366F59"/>
    <w:rsid w:val="003678A5"/>
    <w:rsid w:val="003679C9"/>
    <w:rsid w:val="00367E11"/>
    <w:rsid w:val="0037072C"/>
    <w:rsid w:val="003715B8"/>
    <w:rsid w:val="003732A5"/>
    <w:rsid w:val="00373A55"/>
    <w:rsid w:val="00373AA9"/>
    <w:rsid w:val="00374455"/>
    <w:rsid w:val="003810EA"/>
    <w:rsid w:val="003812EB"/>
    <w:rsid w:val="00381ECC"/>
    <w:rsid w:val="00382F78"/>
    <w:rsid w:val="0038392C"/>
    <w:rsid w:val="003852AF"/>
    <w:rsid w:val="00385E04"/>
    <w:rsid w:val="003861F0"/>
    <w:rsid w:val="0038794F"/>
    <w:rsid w:val="00391D40"/>
    <w:rsid w:val="00393144"/>
    <w:rsid w:val="0039333D"/>
    <w:rsid w:val="0039472A"/>
    <w:rsid w:val="003A122B"/>
    <w:rsid w:val="003A1F1C"/>
    <w:rsid w:val="003A271A"/>
    <w:rsid w:val="003A3231"/>
    <w:rsid w:val="003A33FF"/>
    <w:rsid w:val="003A360E"/>
    <w:rsid w:val="003A4D13"/>
    <w:rsid w:val="003A6908"/>
    <w:rsid w:val="003A6D77"/>
    <w:rsid w:val="003B1748"/>
    <w:rsid w:val="003B39C5"/>
    <w:rsid w:val="003B41E7"/>
    <w:rsid w:val="003B4C8E"/>
    <w:rsid w:val="003B66DD"/>
    <w:rsid w:val="003B6DF4"/>
    <w:rsid w:val="003C0DBB"/>
    <w:rsid w:val="003C1086"/>
    <w:rsid w:val="003C16E0"/>
    <w:rsid w:val="003C18ED"/>
    <w:rsid w:val="003C3ACF"/>
    <w:rsid w:val="003C4E91"/>
    <w:rsid w:val="003C561B"/>
    <w:rsid w:val="003C579D"/>
    <w:rsid w:val="003C6D26"/>
    <w:rsid w:val="003C76CC"/>
    <w:rsid w:val="003D00ED"/>
    <w:rsid w:val="003D17F9"/>
    <w:rsid w:val="003D2427"/>
    <w:rsid w:val="003D4374"/>
    <w:rsid w:val="003D43E3"/>
    <w:rsid w:val="003D4EF5"/>
    <w:rsid w:val="003D6D27"/>
    <w:rsid w:val="003E1017"/>
    <w:rsid w:val="003E29F9"/>
    <w:rsid w:val="003E2B81"/>
    <w:rsid w:val="003E38EE"/>
    <w:rsid w:val="003E3B25"/>
    <w:rsid w:val="003E48F6"/>
    <w:rsid w:val="003E4DB6"/>
    <w:rsid w:val="003E5272"/>
    <w:rsid w:val="003E5A4C"/>
    <w:rsid w:val="003E5D8E"/>
    <w:rsid w:val="003E7D06"/>
    <w:rsid w:val="003F05A3"/>
    <w:rsid w:val="003F0B39"/>
    <w:rsid w:val="003F0F55"/>
    <w:rsid w:val="003F12FD"/>
    <w:rsid w:val="003F1A98"/>
    <w:rsid w:val="003F1E0E"/>
    <w:rsid w:val="003F382A"/>
    <w:rsid w:val="003F3E19"/>
    <w:rsid w:val="003F4B84"/>
    <w:rsid w:val="003F558F"/>
    <w:rsid w:val="003F7DBA"/>
    <w:rsid w:val="004014D6"/>
    <w:rsid w:val="00402589"/>
    <w:rsid w:val="004029F4"/>
    <w:rsid w:val="00403FE8"/>
    <w:rsid w:val="004052E3"/>
    <w:rsid w:val="004064B3"/>
    <w:rsid w:val="004064F7"/>
    <w:rsid w:val="00410066"/>
    <w:rsid w:val="004108B5"/>
    <w:rsid w:val="00410F04"/>
    <w:rsid w:val="00411F10"/>
    <w:rsid w:val="00412D03"/>
    <w:rsid w:val="004132B4"/>
    <w:rsid w:val="00414E31"/>
    <w:rsid w:val="004159F0"/>
    <w:rsid w:val="00415C12"/>
    <w:rsid w:val="00415D2F"/>
    <w:rsid w:val="00416C7D"/>
    <w:rsid w:val="0042075C"/>
    <w:rsid w:val="004216CF"/>
    <w:rsid w:val="00425AD0"/>
    <w:rsid w:val="004264C6"/>
    <w:rsid w:val="0042723D"/>
    <w:rsid w:val="00427F1E"/>
    <w:rsid w:val="00430DBB"/>
    <w:rsid w:val="00430EF6"/>
    <w:rsid w:val="004316EE"/>
    <w:rsid w:val="00431ABD"/>
    <w:rsid w:val="00431B11"/>
    <w:rsid w:val="00431D4F"/>
    <w:rsid w:val="00431E66"/>
    <w:rsid w:val="00432CCE"/>
    <w:rsid w:val="00433492"/>
    <w:rsid w:val="00434BE3"/>
    <w:rsid w:val="00436A63"/>
    <w:rsid w:val="00440DAA"/>
    <w:rsid w:val="0044312B"/>
    <w:rsid w:val="004434AC"/>
    <w:rsid w:val="004435FE"/>
    <w:rsid w:val="00443A08"/>
    <w:rsid w:val="00443DD0"/>
    <w:rsid w:val="00443E4E"/>
    <w:rsid w:val="004454AE"/>
    <w:rsid w:val="004463B3"/>
    <w:rsid w:val="0044703B"/>
    <w:rsid w:val="00447D67"/>
    <w:rsid w:val="00452797"/>
    <w:rsid w:val="004541BE"/>
    <w:rsid w:val="00454661"/>
    <w:rsid w:val="00454B94"/>
    <w:rsid w:val="00454DA8"/>
    <w:rsid w:val="004550BD"/>
    <w:rsid w:val="00455104"/>
    <w:rsid w:val="00457C41"/>
    <w:rsid w:val="00462253"/>
    <w:rsid w:val="004630B8"/>
    <w:rsid w:val="00463916"/>
    <w:rsid w:val="0046406B"/>
    <w:rsid w:val="004643BF"/>
    <w:rsid w:val="00464812"/>
    <w:rsid w:val="00464C80"/>
    <w:rsid w:val="00465830"/>
    <w:rsid w:val="00466958"/>
    <w:rsid w:val="004679F1"/>
    <w:rsid w:val="00470831"/>
    <w:rsid w:val="0047359B"/>
    <w:rsid w:val="00473C21"/>
    <w:rsid w:val="00474BD3"/>
    <w:rsid w:val="0047541F"/>
    <w:rsid w:val="0047569B"/>
    <w:rsid w:val="00476528"/>
    <w:rsid w:val="004767B0"/>
    <w:rsid w:val="00476A44"/>
    <w:rsid w:val="00480117"/>
    <w:rsid w:val="0048093A"/>
    <w:rsid w:val="00480D29"/>
    <w:rsid w:val="00480DEC"/>
    <w:rsid w:val="00482041"/>
    <w:rsid w:val="00483765"/>
    <w:rsid w:val="00483D7D"/>
    <w:rsid w:val="0048423C"/>
    <w:rsid w:val="004848F8"/>
    <w:rsid w:val="00485165"/>
    <w:rsid w:val="004913B3"/>
    <w:rsid w:val="00492430"/>
    <w:rsid w:val="0049290B"/>
    <w:rsid w:val="00495742"/>
    <w:rsid w:val="004A0278"/>
    <w:rsid w:val="004A08AC"/>
    <w:rsid w:val="004A0C66"/>
    <w:rsid w:val="004A10C5"/>
    <w:rsid w:val="004A12D3"/>
    <w:rsid w:val="004A144B"/>
    <w:rsid w:val="004A1613"/>
    <w:rsid w:val="004A1E91"/>
    <w:rsid w:val="004A1FA9"/>
    <w:rsid w:val="004A2EB3"/>
    <w:rsid w:val="004A2FB9"/>
    <w:rsid w:val="004A318A"/>
    <w:rsid w:val="004A3539"/>
    <w:rsid w:val="004A4325"/>
    <w:rsid w:val="004A5B6D"/>
    <w:rsid w:val="004A64DD"/>
    <w:rsid w:val="004A7DAB"/>
    <w:rsid w:val="004B1DD2"/>
    <w:rsid w:val="004B38C5"/>
    <w:rsid w:val="004B4198"/>
    <w:rsid w:val="004B4E35"/>
    <w:rsid w:val="004B551A"/>
    <w:rsid w:val="004B5659"/>
    <w:rsid w:val="004B79FD"/>
    <w:rsid w:val="004B7F57"/>
    <w:rsid w:val="004C135C"/>
    <w:rsid w:val="004C179E"/>
    <w:rsid w:val="004C2AAC"/>
    <w:rsid w:val="004C38A2"/>
    <w:rsid w:val="004C4759"/>
    <w:rsid w:val="004C4F55"/>
    <w:rsid w:val="004C55B1"/>
    <w:rsid w:val="004C5822"/>
    <w:rsid w:val="004C695B"/>
    <w:rsid w:val="004C7016"/>
    <w:rsid w:val="004C75B3"/>
    <w:rsid w:val="004D0E28"/>
    <w:rsid w:val="004D1214"/>
    <w:rsid w:val="004D13E1"/>
    <w:rsid w:val="004D2FFF"/>
    <w:rsid w:val="004D4760"/>
    <w:rsid w:val="004D49D3"/>
    <w:rsid w:val="004D7529"/>
    <w:rsid w:val="004E1A05"/>
    <w:rsid w:val="004E3137"/>
    <w:rsid w:val="004E5C0E"/>
    <w:rsid w:val="004E6B0B"/>
    <w:rsid w:val="004E7B09"/>
    <w:rsid w:val="004F00CD"/>
    <w:rsid w:val="004F08C4"/>
    <w:rsid w:val="004F0BD4"/>
    <w:rsid w:val="004F1083"/>
    <w:rsid w:val="004F1DA5"/>
    <w:rsid w:val="004F2BF3"/>
    <w:rsid w:val="004F4842"/>
    <w:rsid w:val="004F5754"/>
    <w:rsid w:val="004F588D"/>
    <w:rsid w:val="004F6BD4"/>
    <w:rsid w:val="004F74DA"/>
    <w:rsid w:val="0050024B"/>
    <w:rsid w:val="005005DD"/>
    <w:rsid w:val="00501D1C"/>
    <w:rsid w:val="00501D25"/>
    <w:rsid w:val="0050260D"/>
    <w:rsid w:val="00502BCD"/>
    <w:rsid w:val="00503B18"/>
    <w:rsid w:val="0050546E"/>
    <w:rsid w:val="005070CE"/>
    <w:rsid w:val="005074ED"/>
    <w:rsid w:val="0050757E"/>
    <w:rsid w:val="00510359"/>
    <w:rsid w:val="00510F36"/>
    <w:rsid w:val="005111B4"/>
    <w:rsid w:val="00511B68"/>
    <w:rsid w:val="00511F32"/>
    <w:rsid w:val="00512179"/>
    <w:rsid w:val="0051315E"/>
    <w:rsid w:val="00513FAA"/>
    <w:rsid w:val="005141FF"/>
    <w:rsid w:val="00517152"/>
    <w:rsid w:val="0052004B"/>
    <w:rsid w:val="005202C4"/>
    <w:rsid w:val="00520825"/>
    <w:rsid w:val="00521718"/>
    <w:rsid w:val="00521C2B"/>
    <w:rsid w:val="005232CF"/>
    <w:rsid w:val="005234BF"/>
    <w:rsid w:val="00525B31"/>
    <w:rsid w:val="00526556"/>
    <w:rsid w:val="00526B00"/>
    <w:rsid w:val="00527A67"/>
    <w:rsid w:val="00530049"/>
    <w:rsid w:val="005310B9"/>
    <w:rsid w:val="00531327"/>
    <w:rsid w:val="005342E8"/>
    <w:rsid w:val="0053558E"/>
    <w:rsid w:val="00536695"/>
    <w:rsid w:val="0053691F"/>
    <w:rsid w:val="00536983"/>
    <w:rsid w:val="00536C83"/>
    <w:rsid w:val="005373D1"/>
    <w:rsid w:val="00537787"/>
    <w:rsid w:val="00540151"/>
    <w:rsid w:val="005403E1"/>
    <w:rsid w:val="00540948"/>
    <w:rsid w:val="005420A7"/>
    <w:rsid w:val="00544792"/>
    <w:rsid w:val="00545096"/>
    <w:rsid w:val="00547519"/>
    <w:rsid w:val="00547D33"/>
    <w:rsid w:val="00551F0F"/>
    <w:rsid w:val="00552269"/>
    <w:rsid w:val="00553151"/>
    <w:rsid w:val="0055539C"/>
    <w:rsid w:val="005559BD"/>
    <w:rsid w:val="00556F87"/>
    <w:rsid w:val="00557350"/>
    <w:rsid w:val="005574A8"/>
    <w:rsid w:val="005604FD"/>
    <w:rsid w:val="0056168E"/>
    <w:rsid w:val="005616CF"/>
    <w:rsid w:val="005620CB"/>
    <w:rsid w:val="00563780"/>
    <w:rsid w:val="0056447A"/>
    <w:rsid w:val="00564A11"/>
    <w:rsid w:val="00564E69"/>
    <w:rsid w:val="0056617C"/>
    <w:rsid w:val="005669F6"/>
    <w:rsid w:val="00571EE4"/>
    <w:rsid w:val="00572677"/>
    <w:rsid w:val="0057342F"/>
    <w:rsid w:val="005751EA"/>
    <w:rsid w:val="0057667A"/>
    <w:rsid w:val="005801F1"/>
    <w:rsid w:val="00580361"/>
    <w:rsid w:val="00580DF2"/>
    <w:rsid w:val="00581E31"/>
    <w:rsid w:val="00582753"/>
    <w:rsid w:val="00586449"/>
    <w:rsid w:val="00587D8F"/>
    <w:rsid w:val="00592418"/>
    <w:rsid w:val="00592A54"/>
    <w:rsid w:val="0059647D"/>
    <w:rsid w:val="005966B7"/>
    <w:rsid w:val="00597806"/>
    <w:rsid w:val="005A3194"/>
    <w:rsid w:val="005A37FC"/>
    <w:rsid w:val="005A3A76"/>
    <w:rsid w:val="005A4799"/>
    <w:rsid w:val="005A47A0"/>
    <w:rsid w:val="005A67F8"/>
    <w:rsid w:val="005A7325"/>
    <w:rsid w:val="005A790B"/>
    <w:rsid w:val="005A7BED"/>
    <w:rsid w:val="005A7D4B"/>
    <w:rsid w:val="005B1010"/>
    <w:rsid w:val="005B33FB"/>
    <w:rsid w:val="005B4C8A"/>
    <w:rsid w:val="005B589A"/>
    <w:rsid w:val="005B6A33"/>
    <w:rsid w:val="005B72DF"/>
    <w:rsid w:val="005B74B6"/>
    <w:rsid w:val="005B7D2C"/>
    <w:rsid w:val="005C019E"/>
    <w:rsid w:val="005C062B"/>
    <w:rsid w:val="005C532F"/>
    <w:rsid w:val="005C7DD5"/>
    <w:rsid w:val="005D0BEB"/>
    <w:rsid w:val="005D1A0C"/>
    <w:rsid w:val="005D209A"/>
    <w:rsid w:val="005D3599"/>
    <w:rsid w:val="005D4100"/>
    <w:rsid w:val="005D4DBC"/>
    <w:rsid w:val="005D4E87"/>
    <w:rsid w:val="005D67B1"/>
    <w:rsid w:val="005E005A"/>
    <w:rsid w:val="005E10D2"/>
    <w:rsid w:val="005E1A6F"/>
    <w:rsid w:val="005E1ED2"/>
    <w:rsid w:val="005E4419"/>
    <w:rsid w:val="005E4825"/>
    <w:rsid w:val="005E5A08"/>
    <w:rsid w:val="005E5C9F"/>
    <w:rsid w:val="005E6260"/>
    <w:rsid w:val="005E6BD1"/>
    <w:rsid w:val="005E6FE0"/>
    <w:rsid w:val="005E7C5D"/>
    <w:rsid w:val="005F0B3B"/>
    <w:rsid w:val="005F0F9F"/>
    <w:rsid w:val="005F1D06"/>
    <w:rsid w:val="005F2C5E"/>
    <w:rsid w:val="005F795C"/>
    <w:rsid w:val="0060081D"/>
    <w:rsid w:val="00600B56"/>
    <w:rsid w:val="00600E41"/>
    <w:rsid w:val="0060122A"/>
    <w:rsid w:val="0060123B"/>
    <w:rsid w:val="00601DF2"/>
    <w:rsid w:val="00604AAC"/>
    <w:rsid w:val="00605095"/>
    <w:rsid w:val="006054C7"/>
    <w:rsid w:val="00605A95"/>
    <w:rsid w:val="00607240"/>
    <w:rsid w:val="006075CD"/>
    <w:rsid w:val="006079EC"/>
    <w:rsid w:val="0061011C"/>
    <w:rsid w:val="0061051E"/>
    <w:rsid w:val="00610FF5"/>
    <w:rsid w:val="00611589"/>
    <w:rsid w:val="00611A62"/>
    <w:rsid w:val="0061241B"/>
    <w:rsid w:val="00613348"/>
    <w:rsid w:val="00614246"/>
    <w:rsid w:val="00614F22"/>
    <w:rsid w:val="00615B48"/>
    <w:rsid w:val="00617AC7"/>
    <w:rsid w:val="00617B64"/>
    <w:rsid w:val="006244CE"/>
    <w:rsid w:val="00624A62"/>
    <w:rsid w:val="00625322"/>
    <w:rsid w:val="0062552E"/>
    <w:rsid w:val="00627D53"/>
    <w:rsid w:val="00630EC3"/>
    <w:rsid w:val="0063152A"/>
    <w:rsid w:val="00632689"/>
    <w:rsid w:val="00632F1F"/>
    <w:rsid w:val="0063346B"/>
    <w:rsid w:val="00634014"/>
    <w:rsid w:val="00634B9C"/>
    <w:rsid w:val="006373AA"/>
    <w:rsid w:val="00637518"/>
    <w:rsid w:val="00640737"/>
    <w:rsid w:val="00642104"/>
    <w:rsid w:val="0064278B"/>
    <w:rsid w:val="00644099"/>
    <w:rsid w:val="00644912"/>
    <w:rsid w:val="00646AF2"/>
    <w:rsid w:val="00647CF8"/>
    <w:rsid w:val="006511A6"/>
    <w:rsid w:val="0065231E"/>
    <w:rsid w:val="00653ADE"/>
    <w:rsid w:val="00654187"/>
    <w:rsid w:val="00654593"/>
    <w:rsid w:val="00654B71"/>
    <w:rsid w:val="00654CF8"/>
    <w:rsid w:val="00655292"/>
    <w:rsid w:val="00655384"/>
    <w:rsid w:val="0065569B"/>
    <w:rsid w:val="00655A63"/>
    <w:rsid w:val="00657215"/>
    <w:rsid w:val="00657939"/>
    <w:rsid w:val="00660075"/>
    <w:rsid w:val="006603D3"/>
    <w:rsid w:val="00662EAE"/>
    <w:rsid w:val="0066307E"/>
    <w:rsid w:val="00665481"/>
    <w:rsid w:val="00666A2D"/>
    <w:rsid w:val="00667C59"/>
    <w:rsid w:val="006720CE"/>
    <w:rsid w:val="006727F7"/>
    <w:rsid w:val="00675FB7"/>
    <w:rsid w:val="00677D4B"/>
    <w:rsid w:val="006801F2"/>
    <w:rsid w:val="00680342"/>
    <w:rsid w:val="00681AFD"/>
    <w:rsid w:val="00682016"/>
    <w:rsid w:val="00686089"/>
    <w:rsid w:val="00690020"/>
    <w:rsid w:val="006905AD"/>
    <w:rsid w:val="00690EAD"/>
    <w:rsid w:val="00691029"/>
    <w:rsid w:val="00691F6C"/>
    <w:rsid w:val="006925EB"/>
    <w:rsid w:val="006930AE"/>
    <w:rsid w:val="00694677"/>
    <w:rsid w:val="00695F1A"/>
    <w:rsid w:val="006A036C"/>
    <w:rsid w:val="006A1160"/>
    <w:rsid w:val="006A116B"/>
    <w:rsid w:val="006A316D"/>
    <w:rsid w:val="006A371E"/>
    <w:rsid w:val="006A4445"/>
    <w:rsid w:val="006A6DCE"/>
    <w:rsid w:val="006A71D1"/>
    <w:rsid w:val="006A7E09"/>
    <w:rsid w:val="006B0077"/>
    <w:rsid w:val="006B1304"/>
    <w:rsid w:val="006B1848"/>
    <w:rsid w:val="006B1D9F"/>
    <w:rsid w:val="006B1E2D"/>
    <w:rsid w:val="006B5B58"/>
    <w:rsid w:val="006B5E4A"/>
    <w:rsid w:val="006B764A"/>
    <w:rsid w:val="006C023B"/>
    <w:rsid w:val="006C02BD"/>
    <w:rsid w:val="006C52D6"/>
    <w:rsid w:val="006C6223"/>
    <w:rsid w:val="006D0852"/>
    <w:rsid w:val="006D2439"/>
    <w:rsid w:val="006D2D15"/>
    <w:rsid w:val="006D4A3B"/>
    <w:rsid w:val="006D636E"/>
    <w:rsid w:val="006D6AD5"/>
    <w:rsid w:val="006D710B"/>
    <w:rsid w:val="006E1387"/>
    <w:rsid w:val="006E1C6F"/>
    <w:rsid w:val="006E27E8"/>
    <w:rsid w:val="006E3E11"/>
    <w:rsid w:val="006E4244"/>
    <w:rsid w:val="006E6026"/>
    <w:rsid w:val="006E604F"/>
    <w:rsid w:val="006E6081"/>
    <w:rsid w:val="006E64E7"/>
    <w:rsid w:val="006E66DA"/>
    <w:rsid w:val="006E6786"/>
    <w:rsid w:val="006E761C"/>
    <w:rsid w:val="006E77A1"/>
    <w:rsid w:val="006F3099"/>
    <w:rsid w:val="006F4F13"/>
    <w:rsid w:val="006F64E8"/>
    <w:rsid w:val="006F6509"/>
    <w:rsid w:val="0070243F"/>
    <w:rsid w:val="00704518"/>
    <w:rsid w:val="00704931"/>
    <w:rsid w:val="0070592E"/>
    <w:rsid w:val="007069EB"/>
    <w:rsid w:val="00707225"/>
    <w:rsid w:val="00707815"/>
    <w:rsid w:val="0071198F"/>
    <w:rsid w:val="00711D06"/>
    <w:rsid w:val="00712507"/>
    <w:rsid w:val="00712B1B"/>
    <w:rsid w:val="00716085"/>
    <w:rsid w:val="007174BB"/>
    <w:rsid w:val="007179F8"/>
    <w:rsid w:val="00717EB5"/>
    <w:rsid w:val="00721574"/>
    <w:rsid w:val="00722B53"/>
    <w:rsid w:val="007240E1"/>
    <w:rsid w:val="007258B0"/>
    <w:rsid w:val="007260FA"/>
    <w:rsid w:val="007261DD"/>
    <w:rsid w:val="00726BB7"/>
    <w:rsid w:val="00730B35"/>
    <w:rsid w:val="00730C88"/>
    <w:rsid w:val="0073182A"/>
    <w:rsid w:val="007332AB"/>
    <w:rsid w:val="00733F01"/>
    <w:rsid w:val="00733F13"/>
    <w:rsid w:val="00734B70"/>
    <w:rsid w:val="00735DAF"/>
    <w:rsid w:val="00736511"/>
    <w:rsid w:val="00736A4D"/>
    <w:rsid w:val="00741B39"/>
    <w:rsid w:val="00742323"/>
    <w:rsid w:val="00742B8B"/>
    <w:rsid w:val="00743595"/>
    <w:rsid w:val="00746235"/>
    <w:rsid w:val="00750259"/>
    <w:rsid w:val="007515B8"/>
    <w:rsid w:val="00751E2A"/>
    <w:rsid w:val="007527EE"/>
    <w:rsid w:val="00753769"/>
    <w:rsid w:val="007542E9"/>
    <w:rsid w:val="00754599"/>
    <w:rsid w:val="007550D8"/>
    <w:rsid w:val="00756147"/>
    <w:rsid w:val="00757B03"/>
    <w:rsid w:val="00760551"/>
    <w:rsid w:val="0076070E"/>
    <w:rsid w:val="00760862"/>
    <w:rsid w:val="00760A91"/>
    <w:rsid w:val="00761818"/>
    <w:rsid w:val="007629D3"/>
    <w:rsid w:val="00762BCB"/>
    <w:rsid w:val="007648AD"/>
    <w:rsid w:val="00765872"/>
    <w:rsid w:val="00765B93"/>
    <w:rsid w:val="00766DB4"/>
    <w:rsid w:val="00767F67"/>
    <w:rsid w:val="0077305E"/>
    <w:rsid w:val="00773821"/>
    <w:rsid w:val="00774089"/>
    <w:rsid w:val="007744F4"/>
    <w:rsid w:val="007748A1"/>
    <w:rsid w:val="00775C03"/>
    <w:rsid w:val="00776B15"/>
    <w:rsid w:val="00777761"/>
    <w:rsid w:val="00777FDD"/>
    <w:rsid w:val="007812E3"/>
    <w:rsid w:val="00783853"/>
    <w:rsid w:val="00784806"/>
    <w:rsid w:val="00784F2D"/>
    <w:rsid w:val="00784F86"/>
    <w:rsid w:val="007857F2"/>
    <w:rsid w:val="007860AB"/>
    <w:rsid w:val="00787967"/>
    <w:rsid w:val="00787E45"/>
    <w:rsid w:val="00790E8C"/>
    <w:rsid w:val="00792AAA"/>
    <w:rsid w:val="00792F24"/>
    <w:rsid w:val="0079384A"/>
    <w:rsid w:val="00795672"/>
    <w:rsid w:val="007964D4"/>
    <w:rsid w:val="00796E6B"/>
    <w:rsid w:val="00797BDB"/>
    <w:rsid w:val="00797F03"/>
    <w:rsid w:val="007A0580"/>
    <w:rsid w:val="007A2AB5"/>
    <w:rsid w:val="007A2D58"/>
    <w:rsid w:val="007A38CA"/>
    <w:rsid w:val="007A4342"/>
    <w:rsid w:val="007A4396"/>
    <w:rsid w:val="007A4B1B"/>
    <w:rsid w:val="007A54D3"/>
    <w:rsid w:val="007A6034"/>
    <w:rsid w:val="007A7AB6"/>
    <w:rsid w:val="007B41DD"/>
    <w:rsid w:val="007B46AF"/>
    <w:rsid w:val="007B5B49"/>
    <w:rsid w:val="007B727C"/>
    <w:rsid w:val="007C1B80"/>
    <w:rsid w:val="007C2182"/>
    <w:rsid w:val="007C21B7"/>
    <w:rsid w:val="007C2547"/>
    <w:rsid w:val="007C2C40"/>
    <w:rsid w:val="007C2DF0"/>
    <w:rsid w:val="007C3FCE"/>
    <w:rsid w:val="007C4DBF"/>
    <w:rsid w:val="007C695B"/>
    <w:rsid w:val="007C6BCC"/>
    <w:rsid w:val="007C6E84"/>
    <w:rsid w:val="007C730B"/>
    <w:rsid w:val="007C7A08"/>
    <w:rsid w:val="007C7C37"/>
    <w:rsid w:val="007D2926"/>
    <w:rsid w:val="007D432F"/>
    <w:rsid w:val="007D4A1F"/>
    <w:rsid w:val="007D5A8B"/>
    <w:rsid w:val="007D5E9E"/>
    <w:rsid w:val="007D66CD"/>
    <w:rsid w:val="007D6835"/>
    <w:rsid w:val="007E0B64"/>
    <w:rsid w:val="007E1665"/>
    <w:rsid w:val="007E1952"/>
    <w:rsid w:val="007E1B54"/>
    <w:rsid w:val="007E2453"/>
    <w:rsid w:val="007E2CD6"/>
    <w:rsid w:val="007E4251"/>
    <w:rsid w:val="007E4C97"/>
    <w:rsid w:val="007E6930"/>
    <w:rsid w:val="007E7E2F"/>
    <w:rsid w:val="007E7E63"/>
    <w:rsid w:val="007F0291"/>
    <w:rsid w:val="007F066E"/>
    <w:rsid w:val="007F0785"/>
    <w:rsid w:val="007F081E"/>
    <w:rsid w:val="007F130B"/>
    <w:rsid w:val="007F2678"/>
    <w:rsid w:val="007F2DBE"/>
    <w:rsid w:val="007F5A4F"/>
    <w:rsid w:val="007F5F70"/>
    <w:rsid w:val="007F6CE8"/>
    <w:rsid w:val="007F7136"/>
    <w:rsid w:val="00800536"/>
    <w:rsid w:val="00800E74"/>
    <w:rsid w:val="00802684"/>
    <w:rsid w:val="008038B5"/>
    <w:rsid w:val="00804657"/>
    <w:rsid w:val="00805079"/>
    <w:rsid w:val="008078AF"/>
    <w:rsid w:val="00807970"/>
    <w:rsid w:val="00810BB9"/>
    <w:rsid w:val="00813C62"/>
    <w:rsid w:val="00813D20"/>
    <w:rsid w:val="008144AC"/>
    <w:rsid w:val="00814F3F"/>
    <w:rsid w:val="00815A62"/>
    <w:rsid w:val="008167D2"/>
    <w:rsid w:val="00816AE1"/>
    <w:rsid w:val="008170D4"/>
    <w:rsid w:val="00820F90"/>
    <w:rsid w:val="00820FB7"/>
    <w:rsid w:val="00821196"/>
    <w:rsid w:val="0082401C"/>
    <w:rsid w:val="00824730"/>
    <w:rsid w:val="00824953"/>
    <w:rsid w:val="00825130"/>
    <w:rsid w:val="008256D1"/>
    <w:rsid w:val="008266A5"/>
    <w:rsid w:val="00827503"/>
    <w:rsid w:val="008304AE"/>
    <w:rsid w:val="008306E7"/>
    <w:rsid w:val="00830B05"/>
    <w:rsid w:val="00830E8A"/>
    <w:rsid w:val="008311D9"/>
    <w:rsid w:val="00831B2A"/>
    <w:rsid w:val="00831C0B"/>
    <w:rsid w:val="00832935"/>
    <w:rsid w:val="008344C6"/>
    <w:rsid w:val="00841A3F"/>
    <w:rsid w:val="00841A4D"/>
    <w:rsid w:val="008424C4"/>
    <w:rsid w:val="00842A20"/>
    <w:rsid w:val="00842D74"/>
    <w:rsid w:val="008446EE"/>
    <w:rsid w:val="00844CEE"/>
    <w:rsid w:val="00845524"/>
    <w:rsid w:val="0085064A"/>
    <w:rsid w:val="00850D73"/>
    <w:rsid w:val="008510B1"/>
    <w:rsid w:val="00851210"/>
    <w:rsid w:val="00851371"/>
    <w:rsid w:val="00851A0B"/>
    <w:rsid w:val="008523CE"/>
    <w:rsid w:val="008525A4"/>
    <w:rsid w:val="00852979"/>
    <w:rsid w:val="00854DED"/>
    <w:rsid w:val="00854EA9"/>
    <w:rsid w:val="00855D12"/>
    <w:rsid w:val="00855F3A"/>
    <w:rsid w:val="00857203"/>
    <w:rsid w:val="00857EAF"/>
    <w:rsid w:val="0086089F"/>
    <w:rsid w:val="00861CC7"/>
    <w:rsid w:val="00862525"/>
    <w:rsid w:val="0086342A"/>
    <w:rsid w:val="00863C2B"/>
    <w:rsid w:val="008640DF"/>
    <w:rsid w:val="00866390"/>
    <w:rsid w:val="00867811"/>
    <w:rsid w:val="00867822"/>
    <w:rsid w:val="0087092A"/>
    <w:rsid w:val="008717D5"/>
    <w:rsid w:val="00871BF6"/>
    <w:rsid w:val="00871E44"/>
    <w:rsid w:val="0087382E"/>
    <w:rsid w:val="008738B0"/>
    <w:rsid w:val="008756DD"/>
    <w:rsid w:val="00875FAF"/>
    <w:rsid w:val="00880318"/>
    <w:rsid w:val="00880CF0"/>
    <w:rsid w:val="00880D76"/>
    <w:rsid w:val="00880F8E"/>
    <w:rsid w:val="00881965"/>
    <w:rsid w:val="00882208"/>
    <w:rsid w:val="00882856"/>
    <w:rsid w:val="00882FAE"/>
    <w:rsid w:val="0088340A"/>
    <w:rsid w:val="00883D0F"/>
    <w:rsid w:val="008851CF"/>
    <w:rsid w:val="00886650"/>
    <w:rsid w:val="0089031A"/>
    <w:rsid w:val="00892229"/>
    <w:rsid w:val="00892B69"/>
    <w:rsid w:val="00893572"/>
    <w:rsid w:val="00894011"/>
    <w:rsid w:val="00894653"/>
    <w:rsid w:val="00895486"/>
    <w:rsid w:val="008955B5"/>
    <w:rsid w:val="00897C86"/>
    <w:rsid w:val="008A1770"/>
    <w:rsid w:val="008A1C33"/>
    <w:rsid w:val="008A1E78"/>
    <w:rsid w:val="008A5174"/>
    <w:rsid w:val="008A5CDC"/>
    <w:rsid w:val="008B0C67"/>
    <w:rsid w:val="008B1A45"/>
    <w:rsid w:val="008B1A75"/>
    <w:rsid w:val="008B2B95"/>
    <w:rsid w:val="008B3229"/>
    <w:rsid w:val="008C1DFA"/>
    <w:rsid w:val="008C3C6C"/>
    <w:rsid w:val="008C528E"/>
    <w:rsid w:val="008C588D"/>
    <w:rsid w:val="008C7B27"/>
    <w:rsid w:val="008D0413"/>
    <w:rsid w:val="008D05B0"/>
    <w:rsid w:val="008D0C16"/>
    <w:rsid w:val="008D1EB7"/>
    <w:rsid w:val="008D3A21"/>
    <w:rsid w:val="008D71E3"/>
    <w:rsid w:val="008E0B1E"/>
    <w:rsid w:val="008E47C9"/>
    <w:rsid w:val="008E675A"/>
    <w:rsid w:val="008E708E"/>
    <w:rsid w:val="008F09F3"/>
    <w:rsid w:val="008F0ADC"/>
    <w:rsid w:val="008F182B"/>
    <w:rsid w:val="008F5807"/>
    <w:rsid w:val="008F740A"/>
    <w:rsid w:val="009007DA"/>
    <w:rsid w:val="00900E8B"/>
    <w:rsid w:val="00901822"/>
    <w:rsid w:val="0090394E"/>
    <w:rsid w:val="009040D1"/>
    <w:rsid w:val="00904E4E"/>
    <w:rsid w:val="00905AF1"/>
    <w:rsid w:val="00906741"/>
    <w:rsid w:val="00906E0C"/>
    <w:rsid w:val="00911205"/>
    <w:rsid w:val="00911927"/>
    <w:rsid w:val="00913D04"/>
    <w:rsid w:val="009144B6"/>
    <w:rsid w:val="00916E94"/>
    <w:rsid w:val="009178A0"/>
    <w:rsid w:val="009234D7"/>
    <w:rsid w:val="009234DB"/>
    <w:rsid w:val="00923674"/>
    <w:rsid w:val="00923FC2"/>
    <w:rsid w:val="00925B4F"/>
    <w:rsid w:val="009271CF"/>
    <w:rsid w:val="00927B9D"/>
    <w:rsid w:val="00930282"/>
    <w:rsid w:val="00930FA2"/>
    <w:rsid w:val="00932337"/>
    <w:rsid w:val="0093286D"/>
    <w:rsid w:val="0093487C"/>
    <w:rsid w:val="009353F3"/>
    <w:rsid w:val="009359AE"/>
    <w:rsid w:val="00937C45"/>
    <w:rsid w:val="00937C7E"/>
    <w:rsid w:val="00937E22"/>
    <w:rsid w:val="009401FA"/>
    <w:rsid w:val="00942E5E"/>
    <w:rsid w:val="00943078"/>
    <w:rsid w:val="0094361C"/>
    <w:rsid w:val="00944848"/>
    <w:rsid w:val="00944A0C"/>
    <w:rsid w:val="0094721E"/>
    <w:rsid w:val="009477F5"/>
    <w:rsid w:val="00953219"/>
    <w:rsid w:val="0095428D"/>
    <w:rsid w:val="00956416"/>
    <w:rsid w:val="00957AA6"/>
    <w:rsid w:val="009605D4"/>
    <w:rsid w:val="00960763"/>
    <w:rsid w:val="009611C0"/>
    <w:rsid w:val="00961A67"/>
    <w:rsid w:val="00962CE7"/>
    <w:rsid w:val="00963CA1"/>
    <w:rsid w:val="0096481E"/>
    <w:rsid w:val="0096619B"/>
    <w:rsid w:val="00967149"/>
    <w:rsid w:val="009679A1"/>
    <w:rsid w:val="009704AE"/>
    <w:rsid w:val="0097243F"/>
    <w:rsid w:val="0097352C"/>
    <w:rsid w:val="00974F57"/>
    <w:rsid w:val="00974FEE"/>
    <w:rsid w:val="009755CF"/>
    <w:rsid w:val="0097590D"/>
    <w:rsid w:val="00976D2F"/>
    <w:rsid w:val="009778A2"/>
    <w:rsid w:val="00980A1F"/>
    <w:rsid w:val="00980C5C"/>
    <w:rsid w:val="00980EB1"/>
    <w:rsid w:val="00982443"/>
    <w:rsid w:val="00983C06"/>
    <w:rsid w:val="00983F1F"/>
    <w:rsid w:val="009861E9"/>
    <w:rsid w:val="00986D02"/>
    <w:rsid w:val="00990B7B"/>
    <w:rsid w:val="00991211"/>
    <w:rsid w:val="00992049"/>
    <w:rsid w:val="0099274D"/>
    <w:rsid w:val="00997D1D"/>
    <w:rsid w:val="009A017A"/>
    <w:rsid w:val="009A1FCA"/>
    <w:rsid w:val="009A311E"/>
    <w:rsid w:val="009A3245"/>
    <w:rsid w:val="009A5ABD"/>
    <w:rsid w:val="009A673C"/>
    <w:rsid w:val="009B0025"/>
    <w:rsid w:val="009B2354"/>
    <w:rsid w:val="009B2D6F"/>
    <w:rsid w:val="009B3289"/>
    <w:rsid w:val="009B4389"/>
    <w:rsid w:val="009B4FA5"/>
    <w:rsid w:val="009B5B91"/>
    <w:rsid w:val="009B6402"/>
    <w:rsid w:val="009C33BA"/>
    <w:rsid w:val="009C4BBF"/>
    <w:rsid w:val="009C4BFA"/>
    <w:rsid w:val="009C5AE0"/>
    <w:rsid w:val="009C684E"/>
    <w:rsid w:val="009C6E6D"/>
    <w:rsid w:val="009C7B3B"/>
    <w:rsid w:val="009D0124"/>
    <w:rsid w:val="009D0529"/>
    <w:rsid w:val="009D0FBE"/>
    <w:rsid w:val="009D5ADF"/>
    <w:rsid w:val="009D649C"/>
    <w:rsid w:val="009D6A4E"/>
    <w:rsid w:val="009E0422"/>
    <w:rsid w:val="009E0433"/>
    <w:rsid w:val="009E2467"/>
    <w:rsid w:val="009E33B0"/>
    <w:rsid w:val="009E3D9A"/>
    <w:rsid w:val="009E4105"/>
    <w:rsid w:val="009E57CF"/>
    <w:rsid w:val="009E636C"/>
    <w:rsid w:val="009F0896"/>
    <w:rsid w:val="009F0F12"/>
    <w:rsid w:val="009F227C"/>
    <w:rsid w:val="009F6712"/>
    <w:rsid w:val="009F70BE"/>
    <w:rsid w:val="00A0160C"/>
    <w:rsid w:val="00A02B51"/>
    <w:rsid w:val="00A04CF5"/>
    <w:rsid w:val="00A079D3"/>
    <w:rsid w:val="00A10981"/>
    <w:rsid w:val="00A109E2"/>
    <w:rsid w:val="00A1122A"/>
    <w:rsid w:val="00A11F8B"/>
    <w:rsid w:val="00A135A2"/>
    <w:rsid w:val="00A13D8C"/>
    <w:rsid w:val="00A1619F"/>
    <w:rsid w:val="00A16F1B"/>
    <w:rsid w:val="00A17320"/>
    <w:rsid w:val="00A17687"/>
    <w:rsid w:val="00A1772B"/>
    <w:rsid w:val="00A2047A"/>
    <w:rsid w:val="00A22292"/>
    <w:rsid w:val="00A24D61"/>
    <w:rsid w:val="00A250D8"/>
    <w:rsid w:val="00A25510"/>
    <w:rsid w:val="00A25F75"/>
    <w:rsid w:val="00A26296"/>
    <w:rsid w:val="00A30272"/>
    <w:rsid w:val="00A30B19"/>
    <w:rsid w:val="00A30EBC"/>
    <w:rsid w:val="00A32A2B"/>
    <w:rsid w:val="00A32A4E"/>
    <w:rsid w:val="00A334B3"/>
    <w:rsid w:val="00A33928"/>
    <w:rsid w:val="00A353B0"/>
    <w:rsid w:val="00A35F71"/>
    <w:rsid w:val="00A364CF"/>
    <w:rsid w:val="00A3786D"/>
    <w:rsid w:val="00A41830"/>
    <w:rsid w:val="00A42DFC"/>
    <w:rsid w:val="00A42E5F"/>
    <w:rsid w:val="00A440EF"/>
    <w:rsid w:val="00A44243"/>
    <w:rsid w:val="00A44AD6"/>
    <w:rsid w:val="00A504D5"/>
    <w:rsid w:val="00A50733"/>
    <w:rsid w:val="00A51BA6"/>
    <w:rsid w:val="00A51FC9"/>
    <w:rsid w:val="00A531FC"/>
    <w:rsid w:val="00A53575"/>
    <w:rsid w:val="00A53722"/>
    <w:rsid w:val="00A53A9A"/>
    <w:rsid w:val="00A54554"/>
    <w:rsid w:val="00A54BDB"/>
    <w:rsid w:val="00A559D6"/>
    <w:rsid w:val="00A56E04"/>
    <w:rsid w:val="00A5729B"/>
    <w:rsid w:val="00A57543"/>
    <w:rsid w:val="00A5757B"/>
    <w:rsid w:val="00A575C0"/>
    <w:rsid w:val="00A57AC5"/>
    <w:rsid w:val="00A604C6"/>
    <w:rsid w:val="00A60F02"/>
    <w:rsid w:val="00A610A1"/>
    <w:rsid w:val="00A613A7"/>
    <w:rsid w:val="00A6154E"/>
    <w:rsid w:val="00A62526"/>
    <w:rsid w:val="00A6275D"/>
    <w:rsid w:val="00A62901"/>
    <w:rsid w:val="00A6396E"/>
    <w:rsid w:val="00A63B5B"/>
    <w:rsid w:val="00A65D0E"/>
    <w:rsid w:val="00A65DBE"/>
    <w:rsid w:val="00A6745F"/>
    <w:rsid w:val="00A70170"/>
    <w:rsid w:val="00A7025A"/>
    <w:rsid w:val="00A702B1"/>
    <w:rsid w:val="00A70D7F"/>
    <w:rsid w:val="00A71953"/>
    <w:rsid w:val="00A7246E"/>
    <w:rsid w:val="00A74E43"/>
    <w:rsid w:val="00A764A2"/>
    <w:rsid w:val="00A765F8"/>
    <w:rsid w:val="00A77372"/>
    <w:rsid w:val="00A77582"/>
    <w:rsid w:val="00A77768"/>
    <w:rsid w:val="00A82580"/>
    <w:rsid w:val="00A82EA3"/>
    <w:rsid w:val="00A8496E"/>
    <w:rsid w:val="00A87307"/>
    <w:rsid w:val="00A9059A"/>
    <w:rsid w:val="00A90FDF"/>
    <w:rsid w:val="00A91B2F"/>
    <w:rsid w:val="00A9499B"/>
    <w:rsid w:val="00A96E26"/>
    <w:rsid w:val="00A975D1"/>
    <w:rsid w:val="00AA030C"/>
    <w:rsid w:val="00AA08B3"/>
    <w:rsid w:val="00AA1CC7"/>
    <w:rsid w:val="00AA262F"/>
    <w:rsid w:val="00AA3365"/>
    <w:rsid w:val="00AA43B8"/>
    <w:rsid w:val="00AA4990"/>
    <w:rsid w:val="00AA6412"/>
    <w:rsid w:val="00AA66D1"/>
    <w:rsid w:val="00AA7BB3"/>
    <w:rsid w:val="00AB25CE"/>
    <w:rsid w:val="00AB3C1C"/>
    <w:rsid w:val="00AB5451"/>
    <w:rsid w:val="00AB54C0"/>
    <w:rsid w:val="00AB565E"/>
    <w:rsid w:val="00AB6CF2"/>
    <w:rsid w:val="00AC11CA"/>
    <w:rsid w:val="00AC183E"/>
    <w:rsid w:val="00AC2EBD"/>
    <w:rsid w:val="00AC39E5"/>
    <w:rsid w:val="00AC4C72"/>
    <w:rsid w:val="00AC54D8"/>
    <w:rsid w:val="00AC64A8"/>
    <w:rsid w:val="00AD007B"/>
    <w:rsid w:val="00AD07AA"/>
    <w:rsid w:val="00AD119B"/>
    <w:rsid w:val="00AD1E17"/>
    <w:rsid w:val="00AD3D67"/>
    <w:rsid w:val="00AD5B5B"/>
    <w:rsid w:val="00AD6A9D"/>
    <w:rsid w:val="00AD7A58"/>
    <w:rsid w:val="00AD7B6F"/>
    <w:rsid w:val="00AD7E34"/>
    <w:rsid w:val="00AE00BC"/>
    <w:rsid w:val="00AE0EA0"/>
    <w:rsid w:val="00AE0F26"/>
    <w:rsid w:val="00AE24F0"/>
    <w:rsid w:val="00AE53C3"/>
    <w:rsid w:val="00AE5D85"/>
    <w:rsid w:val="00AE694D"/>
    <w:rsid w:val="00AE70C9"/>
    <w:rsid w:val="00AE72E7"/>
    <w:rsid w:val="00AE7423"/>
    <w:rsid w:val="00AE7F80"/>
    <w:rsid w:val="00AF04E8"/>
    <w:rsid w:val="00AF10B3"/>
    <w:rsid w:val="00AF23BD"/>
    <w:rsid w:val="00AF2EA2"/>
    <w:rsid w:val="00AF3E85"/>
    <w:rsid w:val="00AF4A98"/>
    <w:rsid w:val="00AF4B74"/>
    <w:rsid w:val="00AF4BA4"/>
    <w:rsid w:val="00AF6B8B"/>
    <w:rsid w:val="00AF6ECC"/>
    <w:rsid w:val="00B00845"/>
    <w:rsid w:val="00B00FF4"/>
    <w:rsid w:val="00B01878"/>
    <w:rsid w:val="00B03C9A"/>
    <w:rsid w:val="00B049CF"/>
    <w:rsid w:val="00B07B4E"/>
    <w:rsid w:val="00B1099C"/>
    <w:rsid w:val="00B10B0F"/>
    <w:rsid w:val="00B11362"/>
    <w:rsid w:val="00B1153A"/>
    <w:rsid w:val="00B115B4"/>
    <w:rsid w:val="00B11E98"/>
    <w:rsid w:val="00B12CDE"/>
    <w:rsid w:val="00B12F02"/>
    <w:rsid w:val="00B16287"/>
    <w:rsid w:val="00B1689E"/>
    <w:rsid w:val="00B20869"/>
    <w:rsid w:val="00B212BB"/>
    <w:rsid w:val="00B21372"/>
    <w:rsid w:val="00B21807"/>
    <w:rsid w:val="00B21C44"/>
    <w:rsid w:val="00B229C1"/>
    <w:rsid w:val="00B2460B"/>
    <w:rsid w:val="00B2472B"/>
    <w:rsid w:val="00B25214"/>
    <w:rsid w:val="00B253B6"/>
    <w:rsid w:val="00B25A9D"/>
    <w:rsid w:val="00B25B6F"/>
    <w:rsid w:val="00B27296"/>
    <w:rsid w:val="00B27713"/>
    <w:rsid w:val="00B27C2C"/>
    <w:rsid w:val="00B306AB"/>
    <w:rsid w:val="00B322B2"/>
    <w:rsid w:val="00B34D10"/>
    <w:rsid w:val="00B34E68"/>
    <w:rsid w:val="00B35DF2"/>
    <w:rsid w:val="00B42C38"/>
    <w:rsid w:val="00B42FA3"/>
    <w:rsid w:val="00B436BF"/>
    <w:rsid w:val="00B4494E"/>
    <w:rsid w:val="00B44C58"/>
    <w:rsid w:val="00B46485"/>
    <w:rsid w:val="00B46B3C"/>
    <w:rsid w:val="00B52E48"/>
    <w:rsid w:val="00B52F47"/>
    <w:rsid w:val="00B54632"/>
    <w:rsid w:val="00B54DF7"/>
    <w:rsid w:val="00B56104"/>
    <w:rsid w:val="00B56123"/>
    <w:rsid w:val="00B57F08"/>
    <w:rsid w:val="00B60033"/>
    <w:rsid w:val="00B604DB"/>
    <w:rsid w:val="00B6082E"/>
    <w:rsid w:val="00B61CA6"/>
    <w:rsid w:val="00B62818"/>
    <w:rsid w:val="00B65466"/>
    <w:rsid w:val="00B67850"/>
    <w:rsid w:val="00B7120B"/>
    <w:rsid w:val="00B71EE2"/>
    <w:rsid w:val="00B73100"/>
    <w:rsid w:val="00B73815"/>
    <w:rsid w:val="00B74701"/>
    <w:rsid w:val="00B7501C"/>
    <w:rsid w:val="00B76222"/>
    <w:rsid w:val="00B76A38"/>
    <w:rsid w:val="00B7740F"/>
    <w:rsid w:val="00B77875"/>
    <w:rsid w:val="00B81678"/>
    <w:rsid w:val="00B830CD"/>
    <w:rsid w:val="00B8491C"/>
    <w:rsid w:val="00B86DD7"/>
    <w:rsid w:val="00B86EC6"/>
    <w:rsid w:val="00B879C8"/>
    <w:rsid w:val="00B91155"/>
    <w:rsid w:val="00B92D25"/>
    <w:rsid w:val="00B93D64"/>
    <w:rsid w:val="00B94683"/>
    <w:rsid w:val="00B95C50"/>
    <w:rsid w:val="00B95DAD"/>
    <w:rsid w:val="00B95E71"/>
    <w:rsid w:val="00B96FD2"/>
    <w:rsid w:val="00BA00A6"/>
    <w:rsid w:val="00BA2738"/>
    <w:rsid w:val="00BA29AB"/>
    <w:rsid w:val="00BA41A6"/>
    <w:rsid w:val="00BA4B11"/>
    <w:rsid w:val="00BA595F"/>
    <w:rsid w:val="00BA63FF"/>
    <w:rsid w:val="00BA652D"/>
    <w:rsid w:val="00BA70FA"/>
    <w:rsid w:val="00BB0C25"/>
    <w:rsid w:val="00BB3F52"/>
    <w:rsid w:val="00BB6193"/>
    <w:rsid w:val="00BB64D8"/>
    <w:rsid w:val="00BB6987"/>
    <w:rsid w:val="00BB6A90"/>
    <w:rsid w:val="00BB6B2C"/>
    <w:rsid w:val="00BB7149"/>
    <w:rsid w:val="00BB76E4"/>
    <w:rsid w:val="00BB779C"/>
    <w:rsid w:val="00BC20CC"/>
    <w:rsid w:val="00BC2DF3"/>
    <w:rsid w:val="00BC372B"/>
    <w:rsid w:val="00BC39F1"/>
    <w:rsid w:val="00BC3ED7"/>
    <w:rsid w:val="00BC4258"/>
    <w:rsid w:val="00BC4482"/>
    <w:rsid w:val="00BC55A0"/>
    <w:rsid w:val="00BC65DD"/>
    <w:rsid w:val="00BC6764"/>
    <w:rsid w:val="00BC7236"/>
    <w:rsid w:val="00BC78DD"/>
    <w:rsid w:val="00BD07E5"/>
    <w:rsid w:val="00BD1177"/>
    <w:rsid w:val="00BD11EB"/>
    <w:rsid w:val="00BD1E60"/>
    <w:rsid w:val="00BD2808"/>
    <w:rsid w:val="00BD5575"/>
    <w:rsid w:val="00BD5602"/>
    <w:rsid w:val="00BD6130"/>
    <w:rsid w:val="00BD69CF"/>
    <w:rsid w:val="00BD6AE7"/>
    <w:rsid w:val="00BD7284"/>
    <w:rsid w:val="00BD7AFF"/>
    <w:rsid w:val="00BE0EE4"/>
    <w:rsid w:val="00BE2809"/>
    <w:rsid w:val="00BE2ECE"/>
    <w:rsid w:val="00BE33C7"/>
    <w:rsid w:val="00BE5030"/>
    <w:rsid w:val="00BE59D2"/>
    <w:rsid w:val="00BE71E4"/>
    <w:rsid w:val="00BF0401"/>
    <w:rsid w:val="00BF0F35"/>
    <w:rsid w:val="00BF2979"/>
    <w:rsid w:val="00BF315D"/>
    <w:rsid w:val="00BF4339"/>
    <w:rsid w:val="00BF4FD1"/>
    <w:rsid w:val="00BF7B97"/>
    <w:rsid w:val="00C00324"/>
    <w:rsid w:val="00C0037B"/>
    <w:rsid w:val="00C00D11"/>
    <w:rsid w:val="00C01505"/>
    <w:rsid w:val="00C01BB5"/>
    <w:rsid w:val="00C01DAA"/>
    <w:rsid w:val="00C047FC"/>
    <w:rsid w:val="00C04BEB"/>
    <w:rsid w:val="00C04BFB"/>
    <w:rsid w:val="00C04F31"/>
    <w:rsid w:val="00C07C8F"/>
    <w:rsid w:val="00C07F10"/>
    <w:rsid w:val="00C10491"/>
    <w:rsid w:val="00C113B7"/>
    <w:rsid w:val="00C11458"/>
    <w:rsid w:val="00C116E5"/>
    <w:rsid w:val="00C11B4A"/>
    <w:rsid w:val="00C11CD5"/>
    <w:rsid w:val="00C12115"/>
    <w:rsid w:val="00C1313D"/>
    <w:rsid w:val="00C13F16"/>
    <w:rsid w:val="00C1454D"/>
    <w:rsid w:val="00C163F3"/>
    <w:rsid w:val="00C168D9"/>
    <w:rsid w:val="00C174F1"/>
    <w:rsid w:val="00C17F42"/>
    <w:rsid w:val="00C2027D"/>
    <w:rsid w:val="00C21850"/>
    <w:rsid w:val="00C239DF"/>
    <w:rsid w:val="00C241DA"/>
    <w:rsid w:val="00C26788"/>
    <w:rsid w:val="00C268AA"/>
    <w:rsid w:val="00C27995"/>
    <w:rsid w:val="00C279B5"/>
    <w:rsid w:val="00C27FEC"/>
    <w:rsid w:val="00C300FA"/>
    <w:rsid w:val="00C305E0"/>
    <w:rsid w:val="00C32652"/>
    <w:rsid w:val="00C32FC1"/>
    <w:rsid w:val="00C336F6"/>
    <w:rsid w:val="00C337D6"/>
    <w:rsid w:val="00C34F11"/>
    <w:rsid w:val="00C35DE5"/>
    <w:rsid w:val="00C3720B"/>
    <w:rsid w:val="00C37949"/>
    <w:rsid w:val="00C405F3"/>
    <w:rsid w:val="00C408ED"/>
    <w:rsid w:val="00C40B37"/>
    <w:rsid w:val="00C40FB2"/>
    <w:rsid w:val="00C4166A"/>
    <w:rsid w:val="00C428BB"/>
    <w:rsid w:val="00C43A7A"/>
    <w:rsid w:val="00C43CBC"/>
    <w:rsid w:val="00C44087"/>
    <w:rsid w:val="00C44290"/>
    <w:rsid w:val="00C4453A"/>
    <w:rsid w:val="00C47AF6"/>
    <w:rsid w:val="00C504A4"/>
    <w:rsid w:val="00C51998"/>
    <w:rsid w:val="00C52223"/>
    <w:rsid w:val="00C5262B"/>
    <w:rsid w:val="00C52FD5"/>
    <w:rsid w:val="00C56DE3"/>
    <w:rsid w:val="00C61190"/>
    <w:rsid w:val="00C6158C"/>
    <w:rsid w:val="00C6190C"/>
    <w:rsid w:val="00C61D55"/>
    <w:rsid w:val="00C61F5E"/>
    <w:rsid w:val="00C61FF9"/>
    <w:rsid w:val="00C622DD"/>
    <w:rsid w:val="00C636C4"/>
    <w:rsid w:val="00C64A3E"/>
    <w:rsid w:val="00C6545E"/>
    <w:rsid w:val="00C65B04"/>
    <w:rsid w:val="00C6650A"/>
    <w:rsid w:val="00C66EDE"/>
    <w:rsid w:val="00C71FD5"/>
    <w:rsid w:val="00C73B90"/>
    <w:rsid w:val="00C760C6"/>
    <w:rsid w:val="00C801F3"/>
    <w:rsid w:val="00C8080A"/>
    <w:rsid w:val="00C81CDD"/>
    <w:rsid w:val="00C82111"/>
    <w:rsid w:val="00C8341A"/>
    <w:rsid w:val="00C83CB1"/>
    <w:rsid w:val="00C840BE"/>
    <w:rsid w:val="00C87AE3"/>
    <w:rsid w:val="00C9004F"/>
    <w:rsid w:val="00C919DE"/>
    <w:rsid w:val="00C9234B"/>
    <w:rsid w:val="00C93B93"/>
    <w:rsid w:val="00C95FD3"/>
    <w:rsid w:val="00C9611B"/>
    <w:rsid w:val="00C96E79"/>
    <w:rsid w:val="00C96EBB"/>
    <w:rsid w:val="00C972F1"/>
    <w:rsid w:val="00C97BB0"/>
    <w:rsid w:val="00CA1BA5"/>
    <w:rsid w:val="00CA28BA"/>
    <w:rsid w:val="00CA2CB6"/>
    <w:rsid w:val="00CA3F15"/>
    <w:rsid w:val="00CA5732"/>
    <w:rsid w:val="00CA62BA"/>
    <w:rsid w:val="00CA75BB"/>
    <w:rsid w:val="00CB1462"/>
    <w:rsid w:val="00CB170E"/>
    <w:rsid w:val="00CB37B2"/>
    <w:rsid w:val="00CB3AEA"/>
    <w:rsid w:val="00CB5D8A"/>
    <w:rsid w:val="00CB6CF2"/>
    <w:rsid w:val="00CB797D"/>
    <w:rsid w:val="00CC0332"/>
    <w:rsid w:val="00CC0E89"/>
    <w:rsid w:val="00CC12F5"/>
    <w:rsid w:val="00CC3C61"/>
    <w:rsid w:val="00CC67AB"/>
    <w:rsid w:val="00CC6FAE"/>
    <w:rsid w:val="00CC75BC"/>
    <w:rsid w:val="00CC7A25"/>
    <w:rsid w:val="00CD1735"/>
    <w:rsid w:val="00CD2EF6"/>
    <w:rsid w:val="00CD303E"/>
    <w:rsid w:val="00CD36D7"/>
    <w:rsid w:val="00CD55A1"/>
    <w:rsid w:val="00CD5EDB"/>
    <w:rsid w:val="00CD7559"/>
    <w:rsid w:val="00CE0878"/>
    <w:rsid w:val="00CE12DB"/>
    <w:rsid w:val="00CE189E"/>
    <w:rsid w:val="00CE2598"/>
    <w:rsid w:val="00CE373A"/>
    <w:rsid w:val="00CF1772"/>
    <w:rsid w:val="00CF2D31"/>
    <w:rsid w:val="00CF33DC"/>
    <w:rsid w:val="00CF3488"/>
    <w:rsid w:val="00CF34B7"/>
    <w:rsid w:val="00CF3743"/>
    <w:rsid w:val="00CF3C7B"/>
    <w:rsid w:val="00CF3D52"/>
    <w:rsid w:val="00CF4962"/>
    <w:rsid w:val="00CF4B17"/>
    <w:rsid w:val="00CF570E"/>
    <w:rsid w:val="00CF6213"/>
    <w:rsid w:val="00CF6A12"/>
    <w:rsid w:val="00D01CC5"/>
    <w:rsid w:val="00D02451"/>
    <w:rsid w:val="00D02D52"/>
    <w:rsid w:val="00D03367"/>
    <w:rsid w:val="00D04286"/>
    <w:rsid w:val="00D05380"/>
    <w:rsid w:val="00D053E6"/>
    <w:rsid w:val="00D05EE9"/>
    <w:rsid w:val="00D061F3"/>
    <w:rsid w:val="00D0627E"/>
    <w:rsid w:val="00D066E0"/>
    <w:rsid w:val="00D075D3"/>
    <w:rsid w:val="00D10D62"/>
    <w:rsid w:val="00D10FC8"/>
    <w:rsid w:val="00D1105E"/>
    <w:rsid w:val="00D11484"/>
    <w:rsid w:val="00D11931"/>
    <w:rsid w:val="00D12ACE"/>
    <w:rsid w:val="00D13749"/>
    <w:rsid w:val="00D144EE"/>
    <w:rsid w:val="00D15704"/>
    <w:rsid w:val="00D161DB"/>
    <w:rsid w:val="00D171B1"/>
    <w:rsid w:val="00D176EA"/>
    <w:rsid w:val="00D17A3E"/>
    <w:rsid w:val="00D2044A"/>
    <w:rsid w:val="00D22F01"/>
    <w:rsid w:val="00D2367A"/>
    <w:rsid w:val="00D25ECC"/>
    <w:rsid w:val="00D26A2D"/>
    <w:rsid w:val="00D26EED"/>
    <w:rsid w:val="00D26F78"/>
    <w:rsid w:val="00D27ED6"/>
    <w:rsid w:val="00D3048A"/>
    <w:rsid w:val="00D305FF"/>
    <w:rsid w:val="00D32626"/>
    <w:rsid w:val="00D339EC"/>
    <w:rsid w:val="00D35355"/>
    <w:rsid w:val="00D3794A"/>
    <w:rsid w:val="00D404DE"/>
    <w:rsid w:val="00D42611"/>
    <w:rsid w:val="00D442FB"/>
    <w:rsid w:val="00D44FB9"/>
    <w:rsid w:val="00D4605D"/>
    <w:rsid w:val="00D471E2"/>
    <w:rsid w:val="00D47E30"/>
    <w:rsid w:val="00D47E55"/>
    <w:rsid w:val="00D510F0"/>
    <w:rsid w:val="00D51B34"/>
    <w:rsid w:val="00D55916"/>
    <w:rsid w:val="00D573E1"/>
    <w:rsid w:val="00D57F75"/>
    <w:rsid w:val="00D624EB"/>
    <w:rsid w:val="00D6305B"/>
    <w:rsid w:val="00D654B7"/>
    <w:rsid w:val="00D65CFB"/>
    <w:rsid w:val="00D675B1"/>
    <w:rsid w:val="00D712F6"/>
    <w:rsid w:val="00D71967"/>
    <w:rsid w:val="00D74BCA"/>
    <w:rsid w:val="00D76718"/>
    <w:rsid w:val="00D77078"/>
    <w:rsid w:val="00D7707A"/>
    <w:rsid w:val="00D82FF3"/>
    <w:rsid w:val="00D928F1"/>
    <w:rsid w:val="00D9404C"/>
    <w:rsid w:val="00D95887"/>
    <w:rsid w:val="00D95B6B"/>
    <w:rsid w:val="00D975EB"/>
    <w:rsid w:val="00D9773E"/>
    <w:rsid w:val="00D979A3"/>
    <w:rsid w:val="00DA028D"/>
    <w:rsid w:val="00DA03FE"/>
    <w:rsid w:val="00DA08AB"/>
    <w:rsid w:val="00DA1196"/>
    <w:rsid w:val="00DA1F63"/>
    <w:rsid w:val="00DA2CD2"/>
    <w:rsid w:val="00DA6771"/>
    <w:rsid w:val="00DA691B"/>
    <w:rsid w:val="00DA7F25"/>
    <w:rsid w:val="00DB3A8F"/>
    <w:rsid w:val="00DB5C92"/>
    <w:rsid w:val="00DB63D9"/>
    <w:rsid w:val="00DB6678"/>
    <w:rsid w:val="00DB6EAF"/>
    <w:rsid w:val="00DB7290"/>
    <w:rsid w:val="00DC3E99"/>
    <w:rsid w:val="00DC43E8"/>
    <w:rsid w:val="00DC4735"/>
    <w:rsid w:val="00DC5F58"/>
    <w:rsid w:val="00DC69F8"/>
    <w:rsid w:val="00DC7F6E"/>
    <w:rsid w:val="00DD0556"/>
    <w:rsid w:val="00DD204D"/>
    <w:rsid w:val="00DD55DE"/>
    <w:rsid w:val="00DE39D9"/>
    <w:rsid w:val="00DE4ACB"/>
    <w:rsid w:val="00DE5056"/>
    <w:rsid w:val="00DE51BC"/>
    <w:rsid w:val="00DE5F35"/>
    <w:rsid w:val="00DE6B2A"/>
    <w:rsid w:val="00DE7AEC"/>
    <w:rsid w:val="00DF13C6"/>
    <w:rsid w:val="00DF1424"/>
    <w:rsid w:val="00DF172A"/>
    <w:rsid w:val="00DF3B63"/>
    <w:rsid w:val="00DF5E44"/>
    <w:rsid w:val="00DF66C3"/>
    <w:rsid w:val="00DF68D2"/>
    <w:rsid w:val="00E016DD"/>
    <w:rsid w:val="00E01FA7"/>
    <w:rsid w:val="00E021E6"/>
    <w:rsid w:val="00E03AF4"/>
    <w:rsid w:val="00E061B8"/>
    <w:rsid w:val="00E07113"/>
    <w:rsid w:val="00E07C1D"/>
    <w:rsid w:val="00E07F6B"/>
    <w:rsid w:val="00E10839"/>
    <w:rsid w:val="00E10BB3"/>
    <w:rsid w:val="00E10C4C"/>
    <w:rsid w:val="00E114E3"/>
    <w:rsid w:val="00E11D2B"/>
    <w:rsid w:val="00E12241"/>
    <w:rsid w:val="00E130B0"/>
    <w:rsid w:val="00E13B05"/>
    <w:rsid w:val="00E14343"/>
    <w:rsid w:val="00E14611"/>
    <w:rsid w:val="00E14832"/>
    <w:rsid w:val="00E15D30"/>
    <w:rsid w:val="00E16AF7"/>
    <w:rsid w:val="00E1732A"/>
    <w:rsid w:val="00E21E9B"/>
    <w:rsid w:val="00E2231A"/>
    <w:rsid w:val="00E23657"/>
    <w:rsid w:val="00E23D07"/>
    <w:rsid w:val="00E25751"/>
    <w:rsid w:val="00E25E42"/>
    <w:rsid w:val="00E279DC"/>
    <w:rsid w:val="00E27D76"/>
    <w:rsid w:val="00E317BB"/>
    <w:rsid w:val="00E319FE"/>
    <w:rsid w:val="00E34EEE"/>
    <w:rsid w:val="00E350F7"/>
    <w:rsid w:val="00E37BCF"/>
    <w:rsid w:val="00E37E7C"/>
    <w:rsid w:val="00E41252"/>
    <w:rsid w:val="00E415D0"/>
    <w:rsid w:val="00E428FB"/>
    <w:rsid w:val="00E43C5D"/>
    <w:rsid w:val="00E44C35"/>
    <w:rsid w:val="00E466CF"/>
    <w:rsid w:val="00E47C8D"/>
    <w:rsid w:val="00E47D57"/>
    <w:rsid w:val="00E50393"/>
    <w:rsid w:val="00E51153"/>
    <w:rsid w:val="00E519D4"/>
    <w:rsid w:val="00E51B79"/>
    <w:rsid w:val="00E52A6A"/>
    <w:rsid w:val="00E5359A"/>
    <w:rsid w:val="00E546DB"/>
    <w:rsid w:val="00E5568A"/>
    <w:rsid w:val="00E60D12"/>
    <w:rsid w:val="00E61B77"/>
    <w:rsid w:val="00E61E1B"/>
    <w:rsid w:val="00E631AA"/>
    <w:rsid w:val="00E64D42"/>
    <w:rsid w:val="00E65AE8"/>
    <w:rsid w:val="00E66B94"/>
    <w:rsid w:val="00E67DAE"/>
    <w:rsid w:val="00E74C48"/>
    <w:rsid w:val="00E76D62"/>
    <w:rsid w:val="00E76D9F"/>
    <w:rsid w:val="00E807E1"/>
    <w:rsid w:val="00E81398"/>
    <w:rsid w:val="00E832E5"/>
    <w:rsid w:val="00E83CF7"/>
    <w:rsid w:val="00E83F1B"/>
    <w:rsid w:val="00E87828"/>
    <w:rsid w:val="00E9180E"/>
    <w:rsid w:val="00E94BA9"/>
    <w:rsid w:val="00E96993"/>
    <w:rsid w:val="00E972E6"/>
    <w:rsid w:val="00EA35B6"/>
    <w:rsid w:val="00EA3E44"/>
    <w:rsid w:val="00EA4EF1"/>
    <w:rsid w:val="00EA50A7"/>
    <w:rsid w:val="00EA6193"/>
    <w:rsid w:val="00EB2EA5"/>
    <w:rsid w:val="00EB39BA"/>
    <w:rsid w:val="00EB475C"/>
    <w:rsid w:val="00EB4DA0"/>
    <w:rsid w:val="00EB5651"/>
    <w:rsid w:val="00EB60CD"/>
    <w:rsid w:val="00EB61B2"/>
    <w:rsid w:val="00EB6BE6"/>
    <w:rsid w:val="00EB6E86"/>
    <w:rsid w:val="00EB7885"/>
    <w:rsid w:val="00EC1274"/>
    <w:rsid w:val="00EC5E78"/>
    <w:rsid w:val="00EC5EF6"/>
    <w:rsid w:val="00EC60A6"/>
    <w:rsid w:val="00ED24B2"/>
    <w:rsid w:val="00ED37E9"/>
    <w:rsid w:val="00ED3C48"/>
    <w:rsid w:val="00ED4F9E"/>
    <w:rsid w:val="00ED64E8"/>
    <w:rsid w:val="00ED6B25"/>
    <w:rsid w:val="00EE0147"/>
    <w:rsid w:val="00EE0903"/>
    <w:rsid w:val="00EE1243"/>
    <w:rsid w:val="00EE18B2"/>
    <w:rsid w:val="00EE2A42"/>
    <w:rsid w:val="00EE2E3C"/>
    <w:rsid w:val="00EE2FA1"/>
    <w:rsid w:val="00EE364E"/>
    <w:rsid w:val="00EE3B85"/>
    <w:rsid w:val="00EE3BF8"/>
    <w:rsid w:val="00EE5B49"/>
    <w:rsid w:val="00EE64EB"/>
    <w:rsid w:val="00EE67A6"/>
    <w:rsid w:val="00EF0529"/>
    <w:rsid w:val="00EF0652"/>
    <w:rsid w:val="00EF0907"/>
    <w:rsid w:val="00EF259A"/>
    <w:rsid w:val="00EF325F"/>
    <w:rsid w:val="00EF4B48"/>
    <w:rsid w:val="00EF5FB5"/>
    <w:rsid w:val="00EF7E97"/>
    <w:rsid w:val="00F00372"/>
    <w:rsid w:val="00F003BD"/>
    <w:rsid w:val="00F00B53"/>
    <w:rsid w:val="00F01999"/>
    <w:rsid w:val="00F03C40"/>
    <w:rsid w:val="00F03CE0"/>
    <w:rsid w:val="00F03DD3"/>
    <w:rsid w:val="00F05155"/>
    <w:rsid w:val="00F06683"/>
    <w:rsid w:val="00F06B31"/>
    <w:rsid w:val="00F11D9F"/>
    <w:rsid w:val="00F1230C"/>
    <w:rsid w:val="00F12A2F"/>
    <w:rsid w:val="00F12F77"/>
    <w:rsid w:val="00F13948"/>
    <w:rsid w:val="00F14396"/>
    <w:rsid w:val="00F152C1"/>
    <w:rsid w:val="00F17604"/>
    <w:rsid w:val="00F208CC"/>
    <w:rsid w:val="00F22F4A"/>
    <w:rsid w:val="00F233A2"/>
    <w:rsid w:val="00F238E4"/>
    <w:rsid w:val="00F23909"/>
    <w:rsid w:val="00F249CF"/>
    <w:rsid w:val="00F25DBF"/>
    <w:rsid w:val="00F25EA1"/>
    <w:rsid w:val="00F265A0"/>
    <w:rsid w:val="00F272D0"/>
    <w:rsid w:val="00F309EA"/>
    <w:rsid w:val="00F30FD5"/>
    <w:rsid w:val="00F325A4"/>
    <w:rsid w:val="00F32E96"/>
    <w:rsid w:val="00F338E7"/>
    <w:rsid w:val="00F33C7C"/>
    <w:rsid w:val="00F34FCC"/>
    <w:rsid w:val="00F35B67"/>
    <w:rsid w:val="00F36B64"/>
    <w:rsid w:val="00F418BF"/>
    <w:rsid w:val="00F41D2F"/>
    <w:rsid w:val="00F4328C"/>
    <w:rsid w:val="00F43671"/>
    <w:rsid w:val="00F43D8E"/>
    <w:rsid w:val="00F444C4"/>
    <w:rsid w:val="00F45B2B"/>
    <w:rsid w:val="00F47220"/>
    <w:rsid w:val="00F47C61"/>
    <w:rsid w:val="00F50138"/>
    <w:rsid w:val="00F50A2C"/>
    <w:rsid w:val="00F513C1"/>
    <w:rsid w:val="00F52104"/>
    <w:rsid w:val="00F531F3"/>
    <w:rsid w:val="00F538A9"/>
    <w:rsid w:val="00F53D01"/>
    <w:rsid w:val="00F56A63"/>
    <w:rsid w:val="00F60C93"/>
    <w:rsid w:val="00F61F1F"/>
    <w:rsid w:val="00F62907"/>
    <w:rsid w:val="00F63938"/>
    <w:rsid w:val="00F64376"/>
    <w:rsid w:val="00F64E17"/>
    <w:rsid w:val="00F65088"/>
    <w:rsid w:val="00F67726"/>
    <w:rsid w:val="00F70189"/>
    <w:rsid w:val="00F73038"/>
    <w:rsid w:val="00F73F0D"/>
    <w:rsid w:val="00F745F9"/>
    <w:rsid w:val="00F746F9"/>
    <w:rsid w:val="00F74C85"/>
    <w:rsid w:val="00F759B9"/>
    <w:rsid w:val="00F75CCA"/>
    <w:rsid w:val="00F775F9"/>
    <w:rsid w:val="00F81135"/>
    <w:rsid w:val="00F831AB"/>
    <w:rsid w:val="00F83256"/>
    <w:rsid w:val="00F8377D"/>
    <w:rsid w:val="00F84268"/>
    <w:rsid w:val="00F846A3"/>
    <w:rsid w:val="00F858B4"/>
    <w:rsid w:val="00F86C6B"/>
    <w:rsid w:val="00F87E04"/>
    <w:rsid w:val="00F925A2"/>
    <w:rsid w:val="00F92980"/>
    <w:rsid w:val="00F93989"/>
    <w:rsid w:val="00F954CF"/>
    <w:rsid w:val="00FA272C"/>
    <w:rsid w:val="00FA3B65"/>
    <w:rsid w:val="00FA4552"/>
    <w:rsid w:val="00FA5554"/>
    <w:rsid w:val="00FA6100"/>
    <w:rsid w:val="00FA6105"/>
    <w:rsid w:val="00FA6223"/>
    <w:rsid w:val="00FA6B81"/>
    <w:rsid w:val="00FA7085"/>
    <w:rsid w:val="00FB0205"/>
    <w:rsid w:val="00FB0D8C"/>
    <w:rsid w:val="00FB176E"/>
    <w:rsid w:val="00FB3BCE"/>
    <w:rsid w:val="00FB650B"/>
    <w:rsid w:val="00FB76F4"/>
    <w:rsid w:val="00FB7737"/>
    <w:rsid w:val="00FB7B1B"/>
    <w:rsid w:val="00FC008B"/>
    <w:rsid w:val="00FC21F3"/>
    <w:rsid w:val="00FC279A"/>
    <w:rsid w:val="00FC3725"/>
    <w:rsid w:val="00FC374B"/>
    <w:rsid w:val="00FC3B81"/>
    <w:rsid w:val="00FC4CBC"/>
    <w:rsid w:val="00FC53BE"/>
    <w:rsid w:val="00FC614D"/>
    <w:rsid w:val="00FC6BAF"/>
    <w:rsid w:val="00FD0175"/>
    <w:rsid w:val="00FD12CE"/>
    <w:rsid w:val="00FD13B4"/>
    <w:rsid w:val="00FD185B"/>
    <w:rsid w:val="00FD1B1F"/>
    <w:rsid w:val="00FD3FBE"/>
    <w:rsid w:val="00FD42BE"/>
    <w:rsid w:val="00FD5156"/>
    <w:rsid w:val="00FD5440"/>
    <w:rsid w:val="00FD560C"/>
    <w:rsid w:val="00FE2CC9"/>
    <w:rsid w:val="00FE3261"/>
    <w:rsid w:val="00FE3B67"/>
    <w:rsid w:val="00FE4AC5"/>
    <w:rsid w:val="00FE5710"/>
    <w:rsid w:val="00FE5A8E"/>
    <w:rsid w:val="00FF00D4"/>
    <w:rsid w:val="00FF02BB"/>
    <w:rsid w:val="00FF11E8"/>
    <w:rsid w:val="00FF160E"/>
    <w:rsid w:val="00FF23E5"/>
    <w:rsid w:val="00FF30A1"/>
    <w:rsid w:val="00FF46D6"/>
    <w:rsid w:val="00FF5523"/>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5986D-E534-472C-9DEB-987CBD2B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2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25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italic"/>
    <w:basedOn w:val="Heading2"/>
    <w:next w:val="Normal"/>
    <w:link w:val="Heading3Char"/>
    <w:qFormat/>
    <w:rsid w:val="00AA6412"/>
    <w:pPr>
      <w:keepLines w:val="0"/>
      <w:tabs>
        <w:tab w:val="num" w:pos="1440"/>
      </w:tabs>
      <w:spacing w:before="0" w:line="240" w:lineRule="auto"/>
      <w:ind w:left="1440" w:hanging="1440"/>
      <w:outlineLvl w:val="2"/>
    </w:pPr>
    <w:rPr>
      <w:rFonts w:ascii="Arial" w:eastAsia="Times New Roman" w:hAnsi="Arial" w:cs="Times New Roman"/>
      <w:bCs w:val="0"/>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09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A559D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A559D6"/>
    <w:rPr>
      <w:rFonts w:ascii="Calibri" w:eastAsia="Calibri" w:hAnsi="Calibri" w:cs="Times New Roman"/>
      <w:sz w:val="20"/>
      <w:szCs w:val="20"/>
      <w:lang w:val="x-none" w:eastAsia="x-none"/>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uiPriority w:val="99"/>
    <w:unhideWhenUsed/>
    <w:qFormat/>
    <w:rsid w:val="00A559D6"/>
    <w:rPr>
      <w:vertAlign w:val="superscript"/>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36511"/>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36511"/>
    <w:rPr>
      <w:rFonts w:ascii="Sylfaen" w:hAnsi="Sylfaen"/>
    </w:rPr>
  </w:style>
  <w:style w:type="character" w:customStyle="1" w:styleId="Heading1Char">
    <w:name w:val="Heading 1 Char"/>
    <w:basedOn w:val="DefaultParagraphFont"/>
    <w:link w:val="Heading1"/>
    <w:uiPriority w:val="9"/>
    <w:rsid w:val="006925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25E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52"/>
    <w:rPr>
      <w:rFonts w:ascii="Tahoma" w:hAnsi="Tahoma" w:cs="Tahoma"/>
      <w:sz w:val="16"/>
      <w:szCs w:val="16"/>
    </w:rPr>
  </w:style>
  <w:style w:type="table" w:styleId="TableGrid">
    <w:name w:val="Table Grid"/>
    <w:basedOn w:val="TableNormal"/>
    <w:uiPriority w:val="39"/>
    <w:rsid w:val="00FA6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eading 3 italic Char"/>
    <w:basedOn w:val="DefaultParagraphFont"/>
    <w:link w:val="Heading3"/>
    <w:rsid w:val="00AA6412"/>
    <w:rPr>
      <w:rFonts w:ascii="Arial" w:eastAsia="Times New Roman" w:hAnsi="Arial" w:cs="Times New Roman"/>
      <w:b/>
      <w:szCs w:val="20"/>
      <w:lang w:val="en-GB"/>
    </w:rPr>
  </w:style>
  <w:style w:type="paragraph" w:customStyle="1" w:styleId="Section">
    <w:name w:val="Section"/>
    <w:basedOn w:val="Normal"/>
    <w:next w:val="Heading1"/>
    <w:qFormat/>
    <w:rsid w:val="00AA6412"/>
    <w:pPr>
      <w:keepNext/>
      <w:pageBreakBefore/>
      <w:tabs>
        <w:tab w:val="num" w:pos="720"/>
      </w:tabs>
      <w:spacing w:after="400" w:line="240" w:lineRule="auto"/>
      <w:ind w:left="720" w:hanging="720"/>
      <w:outlineLvl w:val="0"/>
    </w:pPr>
    <w:rPr>
      <w:rFonts w:ascii="Arial" w:eastAsia="Times New Roman" w:hAnsi="Arial" w:cs="Times New Roman"/>
      <w:b/>
      <w:kern w:val="32"/>
      <w:sz w:val="32"/>
      <w:szCs w:val="20"/>
      <w:lang w:val="en-GB"/>
    </w:rPr>
  </w:style>
  <w:style w:type="paragraph" w:customStyle="1" w:styleId="Table">
    <w:name w:val="Table"/>
    <w:basedOn w:val="Normal"/>
    <w:next w:val="Normal"/>
    <w:link w:val="TableChar"/>
    <w:uiPriority w:val="99"/>
    <w:qFormat/>
    <w:rsid w:val="00AA6412"/>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character" w:customStyle="1" w:styleId="TableChar">
    <w:name w:val="Table Char"/>
    <w:basedOn w:val="DefaultParagraphFont"/>
    <w:link w:val="Table"/>
    <w:uiPriority w:val="99"/>
    <w:rsid w:val="00AA6412"/>
    <w:rPr>
      <w:rFonts w:ascii="Arial" w:eastAsia="Times New Roman" w:hAnsi="Arial" w:cs="Times New Roman"/>
      <w:b/>
      <w:sz w:val="24"/>
      <w:szCs w:val="20"/>
      <w:lang w:val="en-GB"/>
    </w:rPr>
  </w:style>
  <w:style w:type="paragraph" w:customStyle="1" w:styleId="Boxtitle">
    <w:name w:val="Box title"/>
    <w:basedOn w:val="Normal"/>
    <w:next w:val="Normal"/>
    <w:rsid w:val="00AA6412"/>
    <w:pPr>
      <w:keepNext/>
      <w:tabs>
        <w:tab w:val="num" w:pos="1440"/>
      </w:tabs>
      <w:spacing w:before="160" w:after="240" w:line="240" w:lineRule="auto"/>
      <w:ind w:left="1440" w:hanging="1440"/>
      <w:outlineLvl w:val="1"/>
    </w:pPr>
    <w:rPr>
      <w:rFonts w:ascii="Arial" w:eastAsia="Times New Roman" w:hAnsi="Arial" w:cs="Times New Roman"/>
      <w:b/>
      <w:sz w:val="24"/>
      <w:szCs w:val="20"/>
      <w:lang w:val="en-GB"/>
    </w:rPr>
  </w:style>
  <w:style w:type="paragraph" w:customStyle="1" w:styleId="BodyText1">
    <w:name w:val="Body Text1"/>
    <w:aliases w:val="OPM"/>
    <w:basedOn w:val="Normal"/>
    <w:link w:val="BodytextChar"/>
    <w:qFormat/>
    <w:rsid w:val="00AA6412"/>
    <w:pPr>
      <w:spacing w:after="240" w:line="240" w:lineRule="auto"/>
      <w:jc w:val="both"/>
    </w:pPr>
    <w:rPr>
      <w:rFonts w:ascii="Arial" w:eastAsia="Times New Roman" w:hAnsi="Arial" w:cs="Times New Roman"/>
      <w:szCs w:val="20"/>
      <w:lang w:val="en-GB"/>
    </w:rPr>
  </w:style>
  <w:style w:type="character" w:customStyle="1" w:styleId="BodytextChar">
    <w:name w:val="Body text Char"/>
    <w:aliases w:val="OPM Char,Body Text Char"/>
    <w:basedOn w:val="DefaultParagraphFont"/>
    <w:link w:val="BodyText1"/>
    <w:rsid w:val="00AA6412"/>
    <w:rPr>
      <w:rFonts w:ascii="Arial" w:eastAsia="Times New Roman" w:hAnsi="Arial" w:cs="Times New Roman"/>
      <w:szCs w:val="20"/>
      <w:lang w:val="en-GB"/>
    </w:rPr>
  </w:style>
  <w:style w:type="paragraph" w:styleId="BodyText">
    <w:name w:val="Body Text"/>
    <w:basedOn w:val="Normal"/>
    <w:link w:val="BodyTextChar1"/>
    <w:semiHidden/>
    <w:rsid w:val="00AA6412"/>
    <w:pPr>
      <w:spacing w:after="240" w:line="240" w:lineRule="auto"/>
      <w:jc w:val="both"/>
    </w:pPr>
    <w:rPr>
      <w:rFonts w:ascii="Arial" w:eastAsia="Times New Roman" w:hAnsi="Arial" w:cs="Times New Roman"/>
      <w:szCs w:val="20"/>
      <w:lang w:val="en-GB"/>
    </w:rPr>
  </w:style>
  <w:style w:type="character" w:customStyle="1" w:styleId="BodyTextChar1">
    <w:name w:val="Body Text Char1"/>
    <w:basedOn w:val="DefaultParagraphFont"/>
    <w:link w:val="BodyText"/>
    <w:semiHidden/>
    <w:rsid w:val="00AA6412"/>
    <w:rPr>
      <w:rFonts w:ascii="Arial" w:eastAsia="Times New Roman" w:hAnsi="Arial" w:cs="Times New Roman"/>
      <w:szCs w:val="20"/>
      <w:lang w:val="en-GB"/>
    </w:rPr>
  </w:style>
  <w:style w:type="paragraph" w:customStyle="1" w:styleId="Tablenotes">
    <w:name w:val="Table notes"/>
    <w:basedOn w:val="Normal"/>
    <w:next w:val="BodyText1"/>
    <w:rsid w:val="00B95C50"/>
    <w:pPr>
      <w:spacing w:after="240" w:line="240" w:lineRule="auto"/>
      <w:jc w:val="both"/>
    </w:pPr>
    <w:rPr>
      <w:rFonts w:ascii="Arial" w:eastAsia="Times New Roman" w:hAnsi="Arial" w:cs="Times New Roman"/>
      <w:sz w:val="18"/>
      <w:szCs w:val="20"/>
      <w:lang w:val="en-GB"/>
    </w:rPr>
  </w:style>
  <w:style w:type="paragraph" w:styleId="NoSpacing">
    <w:name w:val="No Spacing"/>
    <w:uiPriority w:val="1"/>
    <w:qFormat/>
    <w:rsid w:val="00E631AA"/>
    <w:pPr>
      <w:spacing w:after="0" w:line="240" w:lineRule="auto"/>
    </w:pPr>
  </w:style>
  <w:style w:type="paragraph" w:styleId="Caption">
    <w:name w:val="caption"/>
    <w:aliases w:val="Table title,Figure Head"/>
    <w:basedOn w:val="Normal"/>
    <w:next w:val="Normal"/>
    <w:link w:val="CaptionChar"/>
    <w:uiPriority w:val="35"/>
    <w:unhideWhenUsed/>
    <w:qFormat/>
    <w:rsid w:val="0096481E"/>
    <w:pPr>
      <w:spacing w:after="40" w:line="240" w:lineRule="auto"/>
    </w:pPr>
    <w:rPr>
      <w:rFonts w:ascii="Cambria" w:eastAsiaTheme="minorEastAsia" w:hAnsi="Cambria"/>
      <w:b/>
      <w:bCs/>
      <w:sz w:val="20"/>
      <w:szCs w:val="18"/>
    </w:rPr>
  </w:style>
  <w:style w:type="character" w:customStyle="1" w:styleId="CaptionChar">
    <w:name w:val="Caption Char"/>
    <w:aliases w:val="Table title Char,Figure Head Char"/>
    <w:link w:val="Caption"/>
    <w:uiPriority w:val="35"/>
    <w:locked/>
    <w:rsid w:val="0096481E"/>
    <w:rPr>
      <w:rFonts w:ascii="Cambria" w:eastAsiaTheme="minorEastAsia" w:hAnsi="Cambria"/>
      <w:b/>
      <w:bCs/>
      <w:sz w:val="20"/>
      <w:szCs w:val="18"/>
    </w:rPr>
  </w:style>
  <w:style w:type="character" w:styleId="CommentReference">
    <w:name w:val="annotation reference"/>
    <w:basedOn w:val="DefaultParagraphFont"/>
    <w:uiPriority w:val="99"/>
    <w:unhideWhenUsed/>
    <w:rsid w:val="0096481E"/>
    <w:rPr>
      <w:sz w:val="16"/>
      <w:szCs w:val="16"/>
    </w:rPr>
  </w:style>
  <w:style w:type="paragraph" w:styleId="CommentText">
    <w:name w:val="annotation text"/>
    <w:basedOn w:val="Normal"/>
    <w:link w:val="CommentTextChar"/>
    <w:uiPriority w:val="99"/>
    <w:unhideWhenUsed/>
    <w:rsid w:val="0096481E"/>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96481E"/>
    <w:rPr>
      <w:rFonts w:ascii="Cambria" w:hAnsi="Cambria"/>
      <w:sz w:val="20"/>
      <w:szCs w:val="20"/>
    </w:rPr>
  </w:style>
  <w:style w:type="table" w:customStyle="1" w:styleId="TableGrid1">
    <w:name w:val="Table Grid1"/>
    <w:basedOn w:val="TableNormal"/>
    <w:next w:val="TableGrid"/>
    <w:uiPriority w:val="39"/>
    <w:rsid w:val="009A3245"/>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9B23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2354"/>
    <w:rPr>
      <w:sz w:val="20"/>
      <w:szCs w:val="20"/>
    </w:rPr>
  </w:style>
  <w:style w:type="character" w:styleId="EndnoteReference">
    <w:name w:val="endnote reference"/>
    <w:basedOn w:val="DefaultParagraphFont"/>
    <w:uiPriority w:val="99"/>
    <w:semiHidden/>
    <w:unhideWhenUsed/>
    <w:rsid w:val="009B2354"/>
    <w:rPr>
      <w:vertAlign w:val="superscript"/>
    </w:rPr>
  </w:style>
  <w:style w:type="paragraph" w:styleId="Header">
    <w:name w:val="header"/>
    <w:basedOn w:val="Normal"/>
    <w:link w:val="HeaderChar"/>
    <w:uiPriority w:val="99"/>
    <w:unhideWhenUsed/>
    <w:rsid w:val="0042075C"/>
    <w:pPr>
      <w:tabs>
        <w:tab w:val="center" w:pos="4844"/>
        <w:tab w:val="right" w:pos="9689"/>
      </w:tabs>
      <w:spacing w:after="0" w:line="240" w:lineRule="auto"/>
    </w:pPr>
  </w:style>
  <w:style w:type="character" w:customStyle="1" w:styleId="HeaderChar">
    <w:name w:val="Header Char"/>
    <w:basedOn w:val="DefaultParagraphFont"/>
    <w:link w:val="Header"/>
    <w:uiPriority w:val="99"/>
    <w:rsid w:val="0042075C"/>
  </w:style>
  <w:style w:type="paragraph" w:styleId="Footer">
    <w:name w:val="footer"/>
    <w:basedOn w:val="Normal"/>
    <w:link w:val="FooterChar"/>
    <w:uiPriority w:val="99"/>
    <w:unhideWhenUsed/>
    <w:rsid w:val="0042075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2075C"/>
  </w:style>
  <w:style w:type="character" w:styleId="Hyperlink">
    <w:name w:val="Hyperlink"/>
    <w:basedOn w:val="DefaultParagraphFont"/>
    <w:uiPriority w:val="99"/>
    <w:unhideWhenUsed/>
    <w:rsid w:val="007E7E2F"/>
    <w:rPr>
      <w:color w:val="0000FF"/>
      <w:u w:val="single"/>
    </w:rPr>
  </w:style>
  <w:style w:type="character" w:customStyle="1" w:styleId="portal-name">
    <w:name w:val="portal-name"/>
    <w:basedOn w:val="DefaultParagraphFont"/>
    <w:rsid w:val="00EE0903"/>
  </w:style>
  <w:style w:type="character" w:customStyle="1" w:styleId="separator">
    <w:name w:val="separator"/>
    <w:basedOn w:val="DefaultParagraphFont"/>
    <w:rsid w:val="00EE0903"/>
  </w:style>
  <w:style w:type="character" w:customStyle="1" w:styleId="content-title">
    <w:name w:val="content-title"/>
    <w:basedOn w:val="DefaultParagraphFont"/>
    <w:rsid w:val="00EE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71629">
      <w:bodyDiv w:val="1"/>
      <w:marLeft w:val="0"/>
      <w:marRight w:val="0"/>
      <w:marTop w:val="0"/>
      <w:marBottom w:val="0"/>
      <w:divBdr>
        <w:top w:val="none" w:sz="0" w:space="0" w:color="auto"/>
        <w:left w:val="none" w:sz="0" w:space="0" w:color="auto"/>
        <w:bottom w:val="none" w:sz="0" w:space="0" w:color="auto"/>
        <w:right w:val="none" w:sz="0" w:space="0" w:color="auto"/>
      </w:divBdr>
    </w:div>
    <w:div w:id="1185562092">
      <w:bodyDiv w:val="1"/>
      <w:marLeft w:val="0"/>
      <w:marRight w:val="0"/>
      <w:marTop w:val="0"/>
      <w:marBottom w:val="0"/>
      <w:divBdr>
        <w:top w:val="none" w:sz="0" w:space="0" w:color="auto"/>
        <w:left w:val="none" w:sz="0" w:space="0" w:color="auto"/>
        <w:bottom w:val="none" w:sz="0" w:space="0" w:color="auto"/>
        <w:right w:val="none" w:sz="0" w:space="0" w:color="auto"/>
      </w:divBdr>
    </w:div>
    <w:div w:id="1266377377">
      <w:bodyDiv w:val="1"/>
      <w:marLeft w:val="0"/>
      <w:marRight w:val="0"/>
      <w:marTop w:val="0"/>
      <w:marBottom w:val="0"/>
      <w:divBdr>
        <w:top w:val="none" w:sz="0" w:space="0" w:color="auto"/>
        <w:left w:val="none" w:sz="0" w:space="0" w:color="auto"/>
        <w:bottom w:val="none" w:sz="0" w:space="0" w:color="auto"/>
        <w:right w:val="none" w:sz="0" w:space="0" w:color="auto"/>
      </w:divBdr>
    </w:div>
    <w:div w:id="1340308964">
      <w:bodyDiv w:val="1"/>
      <w:marLeft w:val="0"/>
      <w:marRight w:val="0"/>
      <w:marTop w:val="0"/>
      <w:marBottom w:val="0"/>
      <w:divBdr>
        <w:top w:val="none" w:sz="0" w:space="0" w:color="auto"/>
        <w:left w:val="none" w:sz="0" w:space="0" w:color="auto"/>
        <w:bottom w:val="none" w:sz="0" w:space="0" w:color="auto"/>
        <w:right w:val="none" w:sz="0" w:space="0" w:color="auto"/>
      </w:divBdr>
    </w:div>
    <w:div w:id="18402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matsne.gov.ge/ka/document/view/185244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ustainabledevelopment.un.org/sdgs" TargetMode="External"/><Relationship Id="rId7" Type="http://schemas.openxmlformats.org/officeDocument/2006/relationships/endnotes" Target="endnotes.xml"/><Relationship Id="rId12" Type="http://schemas.openxmlformats.org/officeDocument/2006/relationships/hyperlink" Target="http://ssa.gov.ge/index.php?lang_id=GEO&amp;sec_id=750" TargetMode="External"/><Relationship Id="rId17" Type="http://schemas.openxmlformats.org/officeDocument/2006/relationships/hyperlink" Target="https://www.moh.gov.ge/ka/566/jandacvis-erovnuli-angariSeb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gov.ge/index.php?lang_id=GEO&amp;sec_id=610" TargetMode="External"/><Relationship Id="rId20" Type="http://schemas.openxmlformats.org/officeDocument/2006/relationships/hyperlink" Target="http://documents.worldbank.org/curated/en/630321497350151165/pdf/114062-PER-P156724-PUBLIC-PER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matsne.gov.ge/ka/document/view/1650266?publication=0"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matsne.gov.ge/ka/document/view/4372?publication=0" TargetMode="External"/><Relationship Id="rId10" Type="http://schemas.openxmlformats.org/officeDocument/2006/relationships/chart" Target="charts/chart3.xml"/><Relationship Id="rId19" Type="http://schemas.openxmlformats.org/officeDocument/2006/relationships/hyperlink" Target="http://www.geostat.ge/?action=page&amp;p_id=127&amp;lang=geo"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gateway.euro.who.int/en/hfa-explorer/"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6.4881466519607189E-2"/>
          <c:y val="4.4057617797775277E-2"/>
          <c:w val="0.87905116739531974"/>
          <c:h val="0.81381171103612049"/>
        </c:manualLayout>
      </c:layout>
      <c:barChart>
        <c:barDir val="col"/>
        <c:grouping val="clustered"/>
        <c:varyColors val="0"/>
        <c:ser>
          <c:idx val="0"/>
          <c:order val="0"/>
          <c:tx>
            <c:strRef>
              <c:f>Sheet1!$A$2</c:f>
              <c:strCache>
                <c:ptCount val="1"/>
                <c:pt idx="0">
                  <c:v>state health expenditure, million GEL</c:v>
                </c:pt>
              </c:strCache>
            </c:strRef>
          </c:tx>
          <c:invertIfNegative val="0"/>
          <c:dLbls>
            <c:spPr>
              <a:noFill/>
              <a:ln>
                <a:noFill/>
              </a:ln>
              <a:effectLst/>
            </c:sp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Sheet1!$B$2:$N$2</c:f>
              <c:numCache>
                <c:formatCode>_(* #,##0_);_(* \(#,##0\);_(* "-"??_);_(@_)</c:formatCode>
                <c:ptCount val="13"/>
                <c:pt idx="0">
                  <c:v>174.6</c:v>
                </c:pt>
                <c:pt idx="1">
                  <c:v>203.2</c:v>
                </c:pt>
                <c:pt idx="2">
                  <c:v>310.5</c:v>
                </c:pt>
                <c:pt idx="3">
                  <c:v>398.9</c:v>
                </c:pt>
                <c:pt idx="4">
                  <c:v>440.9</c:v>
                </c:pt>
                <c:pt idx="5">
                  <c:v>375.5</c:v>
                </c:pt>
                <c:pt idx="6">
                  <c:v>450.3</c:v>
                </c:pt>
                <c:pt idx="7">
                  <c:v>547.9</c:v>
                </c:pt>
                <c:pt idx="8">
                  <c:v>693.2</c:v>
                </c:pt>
                <c:pt idx="9">
                  <c:v>914</c:v>
                </c:pt>
                <c:pt idx="10" formatCode="General">
                  <c:v>1068</c:v>
                </c:pt>
                <c:pt idx="11" formatCode="General">
                  <c:v>1092</c:v>
                </c:pt>
                <c:pt idx="12" formatCode="General">
                  <c:v>1135</c:v>
                </c:pt>
              </c:numCache>
            </c:numRef>
          </c:val>
          <c:extLst xmlns:c16r2="http://schemas.microsoft.com/office/drawing/2015/06/chart">
            <c:ext xmlns:c16="http://schemas.microsoft.com/office/drawing/2014/chart" uri="{C3380CC4-5D6E-409C-BE32-E72D297353CC}">
              <c16:uniqueId val="{00000000-FAEE-4540-842A-02F6BF4248B6}"/>
            </c:ext>
          </c:extLst>
        </c:ser>
        <c:dLbls>
          <c:showLegendKey val="0"/>
          <c:showVal val="0"/>
          <c:showCatName val="0"/>
          <c:showSerName val="0"/>
          <c:showPercent val="0"/>
          <c:showBubbleSize val="0"/>
        </c:dLbls>
        <c:gapWidth val="62"/>
        <c:axId val="-1528032736"/>
        <c:axId val="-1528026208"/>
      </c:barChart>
      <c:lineChart>
        <c:grouping val="standard"/>
        <c:varyColors val="0"/>
        <c:ser>
          <c:idx val="1"/>
          <c:order val="1"/>
          <c:tx>
            <c:strRef>
              <c:f>Sheet1!$A$3</c:f>
              <c:strCache>
                <c:ptCount val="1"/>
                <c:pt idx="0">
                  <c:v>% of GDP</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Sheet1!$B$3:$N$3</c:f>
              <c:numCache>
                <c:formatCode>0.0%</c:formatCode>
                <c:ptCount val="13"/>
                <c:pt idx="0">
                  <c:v>1.2662034732232092E-2</c:v>
                </c:pt>
                <c:pt idx="1">
                  <c:v>1.195537311333851E-2</c:v>
                </c:pt>
                <c:pt idx="2">
                  <c:v>1.6279552256556206E-2</c:v>
                </c:pt>
                <c:pt idx="3">
                  <c:v>2.2177275306261193E-2</c:v>
                </c:pt>
                <c:pt idx="4">
                  <c:v>2.1533107964660497E-2</c:v>
                </c:pt>
                <c:pt idx="5">
                  <c:v>1.5424689032252081E-2</c:v>
                </c:pt>
                <c:pt idx="6">
                  <c:v>1.7209900867980875E-2</c:v>
                </c:pt>
                <c:pt idx="7">
                  <c:v>2.0409014953656761E-2</c:v>
                </c:pt>
                <c:pt idx="8">
                  <c:v>2.3780707749627678E-2</c:v>
                </c:pt>
                <c:pt idx="9">
                  <c:v>2.8780935147780341E-2</c:v>
                </c:pt>
                <c:pt idx="10">
                  <c:v>3.1381837671577366E-2</c:v>
                </c:pt>
                <c:pt idx="11">
                  <c:v>2.8859473291398846E-2</c:v>
                </c:pt>
                <c:pt idx="12">
                  <c:v>0.03</c:v>
                </c:pt>
              </c:numCache>
            </c:numRef>
          </c:val>
          <c:smooth val="0"/>
          <c:extLst xmlns:c16r2="http://schemas.microsoft.com/office/drawing/2015/06/chart">
            <c:ext xmlns:c16="http://schemas.microsoft.com/office/drawing/2014/chart" uri="{C3380CC4-5D6E-409C-BE32-E72D297353CC}">
              <c16:uniqueId val="{00000001-FAEE-4540-842A-02F6BF4248B6}"/>
            </c:ext>
          </c:extLst>
        </c:ser>
        <c:ser>
          <c:idx val="2"/>
          <c:order val="2"/>
          <c:tx>
            <c:strRef>
              <c:f>Sheet1!$A$4</c:f>
              <c:strCache>
                <c:ptCount val="1"/>
                <c:pt idx="0">
                  <c:v>% of state budget</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Sheet1!$B$4:$N$4</c:f>
              <c:numCache>
                <c:formatCode>0.0%</c:formatCode>
                <c:ptCount val="13"/>
                <c:pt idx="0">
                  <c:v>3.9113636951322778E-2</c:v>
                </c:pt>
                <c:pt idx="1">
                  <c:v>3.3398546604247473E-2</c:v>
                </c:pt>
                <c:pt idx="2">
                  <c:v>4.4775927166787174E-2</c:v>
                </c:pt>
                <c:pt idx="3">
                  <c:v>5.7566671482548008E-2</c:v>
                </c:pt>
                <c:pt idx="4">
                  <c:v>5.8930080551220454E-2</c:v>
                </c:pt>
                <c:pt idx="5">
                  <c:v>4.7131747182269944E-2</c:v>
                </c:pt>
                <c:pt idx="6">
                  <c:v>5.3137066546633145E-2</c:v>
                </c:pt>
                <c:pt idx="7">
                  <c:v>6.3278552727428633E-2</c:v>
                </c:pt>
                <c:pt idx="8">
                  <c:v>7.1791582565816248E-2</c:v>
                </c:pt>
                <c:pt idx="9">
                  <c:v>8.6196922343756754E-2</c:v>
                </c:pt>
                <c:pt idx="10">
                  <c:v>0.1132639701037963</c:v>
                </c:pt>
                <c:pt idx="11">
                  <c:v>0.10001130469312691</c:v>
                </c:pt>
                <c:pt idx="12">
                  <c:v>0.10299999999999999</c:v>
                </c:pt>
              </c:numCache>
            </c:numRef>
          </c:val>
          <c:smooth val="0"/>
          <c:extLst xmlns:c16r2="http://schemas.microsoft.com/office/drawing/2015/06/chart">
            <c:ext xmlns:c16="http://schemas.microsoft.com/office/drawing/2014/chart" uri="{C3380CC4-5D6E-409C-BE32-E72D297353CC}">
              <c16:uniqueId val="{00000002-FAEE-4540-842A-02F6BF4248B6}"/>
            </c:ext>
          </c:extLst>
        </c:ser>
        <c:dLbls>
          <c:showLegendKey val="0"/>
          <c:showVal val="0"/>
          <c:showCatName val="0"/>
          <c:showSerName val="0"/>
          <c:showPercent val="0"/>
          <c:showBubbleSize val="0"/>
        </c:dLbls>
        <c:marker val="1"/>
        <c:smooth val="0"/>
        <c:axId val="-1528032192"/>
        <c:axId val="-1528025664"/>
      </c:lineChart>
      <c:catAx>
        <c:axId val="-1528032736"/>
        <c:scaling>
          <c:orientation val="minMax"/>
        </c:scaling>
        <c:delete val="0"/>
        <c:axPos val="b"/>
        <c:numFmt formatCode="General" sourceLinked="0"/>
        <c:majorTickMark val="out"/>
        <c:minorTickMark val="none"/>
        <c:tickLblPos val="nextTo"/>
        <c:crossAx val="-1528026208"/>
        <c:crosses val="autoZero"/>
        <c:auto val="1"/>
        <c:lblAlgn val="ctr"/>
        <c:lblOffset val="100"/>
        <c:noMultiLvlLbl val="0"/>
      </c:catAx>
      <c:valAx>
        <c:axId val="-1528026208"/>
        <c:scaling>
          <c:orientation val="minMax"/>
        </c:scaling>
        <c:delete val="0"/>
        <c:axPos val="l"/>
        <c:numFmt formatCode="_(* #,##0_);_(* \(#,##0\);_(* &quot;-&quot;??_);_(@_)" sourceLinked="1"/>
        <c:majorTickMark val="out"/>
        <c:minorTickMark val="none"/>
        <c:tickLblPos val="nextTo"/>
        <c:txPr>
          <a:bodyPr/>
          <a:lstStyle/>
          <a:p>
            <a:pPr>
              <a:defRPr sz="800"/>
            </a:pPr>
            <a:endParaRPr lang="en-US"/>
          </a:p>
        </c:txPr>
        <c:crossAx val="-1528032736"/>
        <c:crosses val="autoZero"/>
        <c:crossBetween val="between"/>
      </c:valAx>
      <c:valAx>
        <c:axId val="-1528025664"/>
        <c:scaling>
          <c:orientation val="minMax"/>
        </c:scaling>
        <c:delete val="0"/>
        <c:axPos val="r"/>
        <c:numFmt formatCode="0%" sourceLinked="0"/>
        <c:majorTickMark val="out"/>
        <c:minorTickMark val="none"/>
        <c:tickLblPos val="nextTo"/>
        <c:txPr>
          <a:bodyPr/>
          <a:lstStyle/>
          <a:p>
            <a:pPr>
              <a:defRPr sz="800"/>
            </a:pPr>
            <a:endParaRPr lang="en-US"/>
          </a:p>
        </c:txPr>
        <c:crossAx val="-1528032192"/>
        <c:crosses val="max"/>
        <c:crossBetween val="between"/>
      </c:valAx>
      <c:catAx>
        <c:axId val="-1528032192"/>
        <c:scaling>
          <c:orientation val="minMax"/>
        </c:scaling>
        <c:delete val="1"/>
        <c:axPos val="b"/>
        <c:numFmt formatCode="General" sourceLinked="1"/>
        <c:majorTickMark val="out"/>
        <c:minorTickMark val="none"/>
        <c:tickLblPos val="nextTo"/>
        <c:crossAx val="-1528025664"/>
        <c:crosses val="autoZero"/>
        <c:auto val="1"/>
        <c:lblAlgn val="ctr"/>
        <c:lblOffset val="100"/>
        <c:noMultiLvlLbl val="0"/>
      </c:catAx>
    </c:plotArea>
    <c:legend>
      <c:legendPos val="r"/>
      <c:layout>
        <c:manualLayout>
          <c:xMode val="edge"/>
          <c:yMode val="edge"/>
          <c:x val="0.15046296296296297"/>
          <c:y val="7.8378015248093999E-2"/>
          <c:w val="0.62037037037037035"/>
          <c:h val="0.1884820647419072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27E-2"/>
          <c:w val="0.88118530398385309"/>
          <c:h val="0.73668251340171564"/>
        </c:manualLayout>
      </c:layout>
      <c:barChart>
        <c:barDir val="col"/>
        <c:grouping val="percentStacked"/>
        <c:varyColors val="0"/>
        <c:ser>
          <c:idx val="0"/>
          <c:order val="0"/>
          <c:tx>
            <c:strRef>
              <c:f>Sheet1!$A$2</c:f>
              <c:strCache>
                <c:ptCount val="1"/>
                <c:pt idx="0">
                  <c:v>public</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0.0%</c:formatCode>
                <c:ptCount val="12"/>
                <c:pt idx="0">
                  <c:v>0.16143108265720446</c:v>
                </c:pt>
                <c:pt idx="1">
                  <c:v>0.15638809063788717</c:v>
                </c:pt>
                <c:pt idx="2">
                  <c:v>0.1875627729921201</c:v>
                </c:pt>
                <c:pt idx="3">
                  <c:v>0.22551126059583557</c:v>
                </c:pt>
                <c:pt idx="4">
                  <c:v>0.22261162605956195</c:v>
                </c:pt>
                <c:pt idx="5">
                  <c:v>0.18389450440508417</c:v>
                </c:pt>
                <c:pt idx="6">
                  <c:v>0.20558478137628822</c:v>
                </c:pt>
                <c:pt idx="7">
                  <c:v>0.24305935029790032</c:v>
                </c:pt>
                <c:pt idx="8">
                  <c:v>0.28178101399054317</c:v>
                </c:pt>
                <c:pt idx="9">
                  <c:v>0.36286876705483739</c:v>
                </c:pt>
                <c:pt idx="10">
                  <c:v>0.37275077765633524</c:v>
                </c:pt>
                <c:pt idx="11">
                  <c:v>0.37956673001006569</c:v>
                </c:pt>
              </c:numCache>
            </c:numRef>
          </c:val>
          <c:extLst xmlns:c16r2="http://schemas.microsoft.com/office/drawing/2015/06/chart">
            <c:ext xmlns:c16="http://schemas.microsoft.com/office/drawing/2014/chart" uri="{C3380CC4-5D6E-409C-BE32-E72D297353CC}">
              <c16:uniqueId val="{00000000-140B-E44C-98DD-F80817B241F6}"/>
            </c:ext>
          </c:extLst>
        </c:ser>
        <c:ser>
          <c:idx val="1"/>
          <c:order val="1"/>
          <c:tx>
            <c:strRef>
              <c:f>Sheet1!$A$3</c:f>
              <c:strCache>
                <c:ptCount val="1"/>
                <c:pt idx="0">
                  <c:v>private</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Sheet1!$B$3:$M$3</c:f>
              <c:numCache>
                <c:formatCode>0.0%</c:formatCode>
                <c:ptCount val="12"/>
                <c:pt idx="0">
                  <c:v>0.78785257347005</c:v>
                </c:pt>
                <c:pt idx="1">
                  <c:v>0.78588910452734273</c:v>
                </c:pt>
                <c:pt idx="2">
                  <c:v>0.71769460750877689</c:v>
                </c:pt>
                <c:pt idx="3">
                  <c:v>0.73152284009282442</c:v>
                </c:pt>
                <c:pt idx="4">
                  <c:v>0.75060887839799795</c:v>
                </c:pt>
                <c:pt idx="5">
                  <c:v>0.79117243857065067</c:v>
                </c:pt>
                <c:pt idx="6">
                  <c:v>0.77138019413324044</c:v>
                </c:pt>
                <c:pt idx="7">
                  <c:v>0.73436844981121385</c:v>
                </c:pt>
                <c:pt idx="8">
                  <c:v>0.69930892367581288</c:v>
                </c:pt>
                <c:pt idx="9">
                  <c:v>0.61894795977806183</c:v>
                </c:pt>
                <c:pt idx="10">
                  <c:v>0.61101691848208295</c:v>
                </c:pt>
                <c:pt idx="11">
                  <c:v>0.60392730613466028</c:v>
                </c:pt>
              </c:numCache>
            </c:numRef>
          </c:val>
          <c:extLst xmlns:c16r2="http://schemas.microsoft.com/office/drawing/2015/06/chart">
            <c:ext xmlns:c16="http://schemas.microsoft.com/office/drawing/2014/chart" uri="{C3380CC4-5D6E-409C-BE32-E72D297353CC}">
              <c16:uniqueId val="{00000001-140B-E44C-98DD-F80817B241F6}"/>
            </c:ext>
          </c:extLst>
        </c:ser>
        <c:ser>
          <c:idx val="2"/>
          <c:order val="2"/>
          <c:tx>
            <c:strRef>
              <c:f>Sheet1!$A$4</c:f>
              <c:strCache>
                <c:ptCount val="1"/>
                <c:pt idx="0">
                  <c:v>international aid</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Sheet1!$B$4:$M$4</c:f>
              <c:numCache>
                <c:formatCode>0.0%</c:formatCode>
                <c:ptCount val="12"/>
                <c:pt idx="0">
                  <c:v>5.0716343872745498E-2</c:v>
                </c:pt>
                <c:pt idx="1">
                  <c:v>5.7722804834769992E-2</c:v>
                </c:pt>
                <c:pt idx="2">
                  <c:v>9.4742619499103023E-2</c:v>
                </c:pt>
                <c:pt idx="3">
                  <c:v>4.2965899311339976E-2</c:v>
                </c:pt>
                <c:pt idx="4">
                  <c:v>2.6779495542440149E-2</c:v>
                </c:pt>
                <c:pt idx="5">
                  <c:v>2.4933057024265196E-2</c:v>
                </c:pt>
                <c:pt idx="6">
                  <c:v>2.3035024490471314E-2</c:v>
                </c:pt>
                <c:pt idx="7">
                  <c:v>2.2572199890885752E-2</c:v>
                </c:pt>
                <c:pt idx="8">
                  <c:v>1.8910062333644111E-2</c:v>
                </c:pt>
                <c:pt idx="9">
                  <c:v>1.8183273167100784E-2</c:v>
                </c:pt>
                <c:pt idx="10">
                  <c:v>1.6232303861581879E-2</c:v>
                </c:pt>
                <c:pt idx="11">
                  <c:v>1.6505963855274093E-2</c:v>
                </c:pt>
              </c:numCache>
            </c:numRef>
          </c:val>
          <c:extLst xmlns:c16r2="http://schemas.microsoft.com/office/drawing/2015/06/chart">
            <c:ext xmlns:c16="http://schemas.microsoft.com/office/drawing/2014/chart" uri="{C3380CC4-5D6E-409C-BE32-E72D297353CC}">
              <c16:uniqueId val="{00000002-140B-E44C-98DD-F80817B241F6}"/>
            </c:ext>
          </c:extLst>
        </c:ser>
        <c:dLbls>
          <c:showLegendKey val="0"/>
          <c:showVal val="0"/>
          <c:showCatName val="0"/>
          <c:showSerName val="0"/>
          <c:showPercent val="0"/>
          <c:showBubbleSize val="0"/>
        </c:dLbls>
        <c:gapWidth val="46"/>
        <c:overlap val="100"/>
        <c:axId val="-1528022944"/>
        <c:axId val="-1528030560"/>
      </c:barChart>
      <c:catAx>
        <c:axId val="-1528022944"/>
        <c:scaling>
          <c:orientation val="minMax"/>
        </c:scaling>
        <c:delete val="0"/>
        <c:axPos val="b"/>
        <c:numFmt formatCode="General" sourceLinked="0"/>
        <c:majorTickMark val="out"/>
        <c:minorTickMark val="none"/>
        <c:tickLblPos val="nextTo"/>
        <c:txPr>
          <a:bodyPr/>
          <a:lstStyle/>
          <a:p>
            <a:pPr>
              <a:defRPr sz="1100"/>
            </a:pPr>
            <a:endParaRPr lang="en-US"/>
          </a:p>
        </c:txPr>
        <c:crossAx val="-1528030560"/>
        <c:crosses val="autoZero"/>
        <c:auto val="1"/>
        <c:lblAlgn val="ctr"/>
        <c:lblOffset val="100"/>
        <c:noMultiLvlLbl val="0"/>
      </c:catAx>
      <c:valAx>
        <c:axId val="-1528030560"/>
        <c:scaling>
          <c:orientation val="minMax"/>
        </c:scaling>
        <c:delete val="0"/>
        <c:axPos val="l"/>
        <c:numFmt formatCode="0%" sourceLinked="1"/>
        <c:majorTickMark val="out"/>
        <c:minorTickMark val="none"/>
        <c:tickLblPos val="nextTo"/>
        <c:txPr>
          <a:bodyPr/>
          <a:lstStyle/>
          <a:p>
            <a:pPr>
              <a:defRPr sz="1100"/>
            </a:pPr>
            <a:endParaRPr lang="en-US"/>
          </a:p>
        </c:txPr>
        <c:crossAx val="-1528022944"/>
        <c:crosses val="autoZero"/>
        <c:crossBetween val="between"/>
      </c:valAx>
    </c:plotArea>
    <c:legend>
      <c:legendPos val="r"/>
      <c:layout>
        <c:manualLayout>
          <c:xMode val="edge"/>
          <c:yMode val="edge"/>
          <c:x val="3.2018567123550409E-4"/>
          <c:y val="0.90881238653857865"/>
          <c:w val="0.95184030815592502"/>
          <c:h val="9.1187613461421679E-2"/>
        </c:manualLayout>
      </c:layout>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1.2260582811763912E-2"/>
          <c:y val="7.9341508302260898E-4"/>
          <c:w val="0.97287519348542972"/>
          <c:h val="0.86386902239512664"/>
        </c:manualLayout>
      </c:layout>
      <c:barChart>
        <c:barDir val="col"/>
        <c:grouping val="clustered"/>
        <c:varyColors val="0"/>
        <c:ser>
          <c:idx val="0"/>
          <c:order val="0"/>
          <c:tx>
            <c:strRef>
              <c:f>Sheet1!$B$1</c:f>
              <c:strCache>
                <c:ptCount val="1"/>
                <c:pt idx="0">
                  <c:v>ჯიბიდან გადახდების წილი (%) ჯანდაცვაზე მთლიანი დანახარჯებიდან</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0.0%</c:formatCode>
                <c:ptCount val="12"/>
                <c:pt idx="0">
                  <c:v>0.77309038653259021</c:v>
                </c:pt>
                <c:pt idx="1">
                  <c:v>0.75636175085336577</c:v>
                </c:pt>
                <c:pt idx="2">
                  <c:v>0.66557004085239468</c:v>
                </c:pt>
                <c:pt idx="3">
                  <c:v>0.68903813164013739</c:v>
                </c:pt>
                <c:pt idx="4">
                  <c:v>0.72737542920592146</c:v>
                </c:pt>
                <c:pt idx="5">
                  <c:v>0.7560654495225847</c:v>
                </c:pt>
                <c:pt idx="6">
                  <c:v>0.73445032685797784</c:v>
                </c:pt>
                <c:pt idx="7">
                  <c:v>0.69068155329956815</c:v>
                </c:pt>
                <c:pt idx="8">
                  <c:v>0.65986745096870114</c:v>
                </c:pt>
                <c:pt idx="9">
                  <c:v>0.57323960843132638</c:v>
                </c:pt>
                <c:pt idx="10">
                  <c:v>0.55532240581207393</c:v>
                </c:pt>
                <c:pt idx="11">
                  <c:v>0.54749482239465641</c:v>
                </c:pt>
              </c:numCache>
            </c:numRef>
          </c:val>
          <c:extLst xmlns:c16r2="http://schemas.microsoft.com/office/drawing/2015/06/chart">
            <c:ext xmlns:c16="http://schemas.microsoft.com/office/drawing/2014/chart" uri="{C3380CC4-5D6E-409C-BE32-E72D297353CC}">
              <c16:uniqueId val="{00000000-A0F1-BB4E-933B-1FD8E5743C0A}"/>
            </c:ext>
          </c:extLst>
        </c:ser>
        <c:dLbls>
          <c:showLegendKey val="0"/>
          <c:showVal val="0"/>
          <c:showCatName val="0"/>
          <c:showSerName val="0"/>
          <c:showPercent val="0"/>
          <c:showBubbleSize val="0"/>
        </c:dLbls>
        <c:gapWidth val="72"/>
        <c:axId val="-1528030016"/>
        <c:axId val="-1528036544"/>
      </c:barChart>
      <c:valAx>
        <c:axId val="-1528036544"/>
        <c:scaling>
          <c:orientation val="minMax"/>
        </c:scaling>
        <c:delete val="1"/>
        <c:axPos val="r"/>
        <c:numFmt formatCode="0.0%" sourceLinked="1"/>
        <c:majorTickMark val="out"/>
        <c:minorTickMark val="none"/>
        <c:tickLblPos val="nextTo"/>
        <c:crossAx val="-1528030016"/>
        <c:crosses val="max"/>
        <c:crossBetween val="between"/>
      </c:valAx>
      <c:catAx>
        <c:axId val="-1528030016"/>
        <c:scaling>
          <c:orientation val="minMax"/>
        </c:scaling>
        <c:delete val="0"/>
        <c:axPos val="b"/>
        <c:numFmt formatCode="General" sourceLinked="1"/>
        <c:majorTickMark val="out"/>
        <c:minorTickMark val="none"/>
        <c:tickLblPos val="nextTo"/>
        <c:crossAx val="-1528036544"/>
        <c:crosses val="autoZero"/>
        <c:auto val="1"/>
        <c:lblAlgn val="ctr"/>
        <c:lblOffset val="100"/>
        <c:noMultiLvlLbl val="0"/>
      </c:cat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6595217264508603E-2"/>
          <c:y val="4.3650793650793648E-2"/>
          <c:w val="0.6932555045202683"/>
          <c:h val="0.85693788276465443"/>
        </c:manualLayout>
      </c:layout>
      <c:barChart>
        <c:barDir val="bar"/>
        <c:grouping val="percentStacked"/>
        <c:varyColors val="0"/>
        <c:ser>
          <c:idx val="0"/>
          <c:order val="0"/>
          <c:tx>
            <c:strRef>
              <c:f>Sheet1!$A$2</c:f>
              <c:strCache>
                <c:ptCount val="1"/>
                <c:pt idx="0">
                  <c:v>hospital</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0%</c:formatCode>
                <c:ptCount val="12"/>
                <c:pt idx="0">
                  <c:v>0.25805889982218638</c:v>
                </c:pt>
                <c:pt idx="1">
                  <c:v>0.25914144074003831</c:v>
                </c:pt>
                <c:pt idx="2">
                  <c:v>0.2472808340037794</c:v>
                </c:pt>
                <c:pt idx="3">
                  <c:v>0.24045263423942687</c:v>
                </c:pt>
                <c:pt idx="4">
                  <c:v>0.18079088487274864</c:v>
                </c:pt>
                <c:pt idx="5">
                  <c:v>0.18654715746275374</c:v>
                </c:pt>
                <c:pt idx="6">
                  <c:v>0.20034114233191402</c:v>
                </c:pt>
                <c:pt idx="7">
                  <c:v>0.217715217447738</c:v>
                </c:pt>
                <c:pt idx="8">
                  <c:v>0.26169953604022467</c:v>
                </c:pt>
                <c:pt idx="9">
                  <c:v>0.31467079636967532</c:v>
                </c:pt>
                <c:pt idx="10">
                  <c:v>0.34300000000000003</c:v>
                </c:pt>
                <c:pt idx="11">
                  <c:v>0.33500000000000002</c:v>
                </c:pt>
              </c:numCache>
            </c:numRef>
          </c:val>
          <c:extLst xmlns:c16r2="http://schemas.microsoft.com/office/drawing/2015/06/chart">
            <c:ext xmlns:c16="http://schemas.microsoft.com/office/drawing/2014/chart" uri="{C3380CC4-5D6E-409C-BE32-E72D297353CC}">
              <c16:uniqueId val="{00000000-BDCD-884D-9894-355F1EF27AB6}"/>
            </c:ext>
          </c:extLst>
        </c:ser>
        <c:ser>
          <c:idx val="1"/>
          <c:order val="1"/>
          <c:tx>
            <c:strRef>
              <c:f>Sheet1!$A$3</c:f>
              <c:strCache>
                <c:ptCount val="1"/>
                <c:pt idx="0">
                  <c:v>outpatient</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Sheet1!$B$3:$M$3</c:f>
              <c:numCache>
                <c:formatCode>0%</c:formatCode>
                <c:ptCount val="12"/>
                <c:pt idx="0">
                  <c:v>0.17830855311176932</c:v>
                </c:pt>
                <c:pt idx="1">
                  <c:v>0.1671955268114978</c:v>
                </c:pt>
                <c:pt idx="2">
                  <c:v>0.14530977076375096</c:v>
                </c:pt>
                <c:pt idx="3">
                  <c:v>0.15372891250079473</c:v>
                </c:pt>
                <c:pt idx="4">
                  <c:v>0.19026062090134943</c:v>
                </c:pt>
                <c:pt idx="5">
                  <c:v>0.18762442550324515</c:v>
                </c:pt>
                <c:pt idx="6">
                  <c:v>0.18730879825927776</c:v>
                </c:pt>
                <c:pt idx="7">
                  <c:v>0.20100858794098342</c:v>
                </c:pt>
                <c:pt idx="8">
                  <c:v>0.16441643373644624</c:v>
                </c:pt>
                <c:pt idx="9">
                  <c:v>0.17045681871456606</c:v>
                </c:pt>
                <c:pt idx="10">
                  <c:v>0.17411537669696481</c:v>
                </c:pt>
                <c:pt idx="11">
                  <c:v>0.17436214996779453</c:v>
                </c:pt>
              </c:numCache>
            </c:numRef>
          </c:val>
          <c:extLst xmlns:c16r2="http://schemas.microsoft.com/office/drawing/2015/06/chart">
            <c:ext xmlns:c16="http://schemas.microsoft.com/office/drawing/2014/chart" uri="{C3380CC4-5D6E-409C-BE32-E72D297353CC}">
              <c16:uniqueId val="{00000001-BDCD-884D-9894-355F1EF27AB6}"/>
            </c:ext>
          </c:extLst>
        </c:ser>
        <c:ser>
          <c:idx val="2"/>
          <c:order val="2"/>
          <c:tx>
            <c:strRef>
              <c:f>Sheet1!$A$4</c:f>
              <c:strCache>
                <c:ptCount val="1"/>
                <c:pt idx="0">
                  <c:v>additional</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Sheet1!$B$4:$M$4</c:f>
              <c:numCache>
                <c:formatCode>0%</c:formatCode>
                <c:ptCount val="12"/>
                <c:pt idx="0">
                  <c:v>0.11797692732617771</c:v>
                </c:pt>
                <c:pt idx="1">
                  <c:v>0.1217958285335413</c:v>
                </c:pt>
                <c:pt idx="2">
                  <c:v>0.10073899737696884</c:v>
                </c:pt>
                <c:pt idx="3">
                  <c:v>9.6984837283157557E-2</c:v>
                </c:pt>
                <c:pt idx="4">
                  <c:v>7.7503514435889098E-2</c:v>
                </c:pt>
                <c:pt idx="5">
                  <c:v>8.2442197754109339E-2</c:v>
                </c:pt>
                <c:pt idx="6">
                  <c:v>8.2644112580597659E-2</c:v>
                </c:pt>
                <c:pt idx="7">
                  <c:v>8.9303150379103954E-2</c:v>
                </c:pt>
                <c:pt idx="8">
                  <c:v>9.24092388886322E-2</c:v>
                </c:pt>
                <c:pt idx="9">
                  <c:v>8.4006472493979564E-2</c:v>
                </c:pt>
                <c:pt idx="10">
                  <c:v>7.2543692545602126E-2</c:v>
                </c:pt>
                <c:pt idx="11">
                  <c:v>8.0529993862561988E-2</c:v>
                </c:pt>
              </c:numCache>
            </c:numRef>
          </c:val>
          <c:extLst xmlns:c16r2="http://schemas.microsoft.com/office/drawing/2015/06/chart">
            <c:ext xmlns:c16="http://schemas.microsoft.com/office/drawing/2014/chart" uri="{C3380CC4-5D6E-409C-BE32-E72D297353CC}">
              <c16:uniqueId val="{00000002-BDCD-884D-9894-355F1EF27AB6}"/>
            </c:ext>
          </c:extLst>
        </c:ser>
        <c:ser>
          <c:idx val="3"/>
          <c:order val="3"/>
          <c:tx>
            <c:strRef>
              <c:f>Sheet1!$A$5</c:f>
              <c:strCache>
                <c:ptCount val="1"/>
                <c:pt idx="0">
                  <c:v>drugs</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Sheet1!$B$5:$M$5</c:f>
              <c:numCache>
                <c:formatCode>0%</c:formatCode>
                <c:ptCount val="12"/>
                <c:pt idx="0">
                  <c:v>0.39273068166807712</c:v>
                </c:pt>
                <c:pt idx="1">
                  <c:v>0.39640106814146614</c:v>
                </c:pt>
                <c:pt idx="2">
                  <c:v>0.43293377981267461</c:v>
                </c:pt>
                <c:pt idx="3">
                  <c:v>0.4126088638801616</c:v>
                </c:pt>
                <c:pt idx="4">
                  <c:v>0.4705979074693139</c:v>
                </c:pt>
                <c:pt idx="5">
                  <c:v>0.48112669834018679</c:v>
                </c:pt>
                <c:pt idx="6">
                  <c:v>0.47386385835206518</c:v>
                </c:pt>
                <c:pt idx="7">
                  <c:v>0.44451178464518204</c:v>
                </c:pt>
                <c:pt idx="8">
                  <c:v>0.42923594347074928</c:v>
                </c:pt>
                <c:pt idx="9">
                  <c:v>0.37879018438398049</c:v>
                </c:pt>
                <c:pt idx="10">
                  <c:v>0.36044866725131103</c:v>
                </c:pt>
                <c:pt idx="11">
                  <c:v>0.35734130084888088</c:v>
                </c:pt>
              </c:numCache>
            </c:numRef>
          </c:val>
          <c:extLst xmlns:c16r2="http://schemas.microsoft.com/office/drawing/2015/06/chart">
            <c:ext xmlns:c16="http://schemas.microsoft.com/office/drawing/2014/chart" uri="{C3380CC4-5D6E-409C-BE32-E72D297353CC}">
              <c16:uniqueId val="{00000003-BDCD-884D-9894-355F1EF27AB6}"/>
            </c:ext>
          </c:extLst>
        </c:ser>
        <c:ser>
          <c:idx val="4"/>
          <c:order val="4"/>
          <c:tx>
            <c:strRef>
              <c:f>Sheet1!$A$6</c:f>
              <c:strCache>
                <c:ptCount val="1"/>
                <c:pt idx="0">
                  <c:v>public health</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Sheet1!$B$6:$M$6</c:f>
              <c:numCache>
                <c:formatCode>0%</c:formatCode>
                <c:ptCount val="12"/>
                <c:pt idx="0">
                  <c:v>1.1883124062478746E-2</c:v>
                </c:pt>
                <c:pt idx="1">
                  <c:v>1.2217063871791348E-2</c:v>
                </c:pt>
                <c:pt idx="2">
                  <c:v>6.6910108402231513E-3</c:v>
                </c:pt>
                <c:pt idx="3">
                  <c:v>1.2306425995094766E-2</c:v>
                </c:pt>
                <c:pt idx="4">
                  <c:v>1.3120086952768813E-2</c:v>
                </c:pt>
                <c:pt idx="5">
                  <c:v>1.7243317234219645E-2</c:v>
                </c:pt>
                <c:pt idx="6">
                  <c:v>2.1594541041114891E-2</c:v>
                </c:pt>
                <c:pt idx="7">
                  <c:v>2.0480009602426501E-2</c:v>
                </c:pt>
                <c:pt idx="8">
                  <c:v>2.1508942338454493E-2</c:v>
                </c:pt>
                <c:pt idx="9">
                  <c:v>2.2088122720794152E-2</c:v>
                </c:pt>
                <c:pt idx="10">
                  <c:v>2.5031553618848887E-2</c:v>
                </c:pt>
                <c:pt idx="11">
                  <c:v>3.0774813620858068E-2</c:v>
                </c:pt>
              </c:numCache>
            </c:numRef>
          </c:val>
          <c:extLst xmlns:c16r2="http://schemas.microsoft.com/office/drawing/2015/06/chart">
            <c:ext xmlns:c16="http://schemas.microsoft.com/office/drawing/2014/chart" uri="{C3380CC4-5D6E-409C-BE32-E72D297353CC}">
              <c16:uniqueId val="{00000004-BDCD-884D-9894-355F1EF27AB6}"/>
            </c:ext>
          </c:extLst>
        </c:ser>
        <c:ser>
          <c:idx val="5"/>
          <c:order val="5"/>
          <c:tx>
            <c:strRef>
              <c:f>Sheet1!$A$7</c:f>
              <c:strCache>
                <c:ptCount val="1"/>
                <c:pt idx="0">
                  <c:v>rehabilitation</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Sheet1!$B$7:$M$7</c:f>
              <c:numCache>
                <c:formatCode>0%</c:formatCode>
                <c:ptCount val="12"/>
                <c:pt idx="0">
                  <c:v>7.0827109797430652E-3</c:v>
                </c:pt>
                <c:pt idx="1">
                  <c:v>5.0682906449781365E-3</c:v>
                </c:pt>
                <c:pt idx="2">
                  <c:v>4.1680121200252298E-3</c:v>
                </c:pt>
                <c:pt idx="3">
                  <c:v>4.4710687608848125E-3</c:v>
                </c:pt>
                <c:pt idx="4">
                  <c:v>9.1899356653860134E-3</c:v>
                </c:pt>
                <c:pt idx="5">
                  <c:v>9.6287095409386802E-3</c:v>
                </c:pt>
                <c:pt idx="6">
                  <c:v>9.6691248027793598E-3</c:v>
                </c:pt>
                <c:pt idx="7">
                  <c:v>9.0759452409579396E-3</c:v>
                </c:pt>
                <c:pt idx="8">
                  <c:v>3.1006526558474729E-3</c:v>
                </c:pt>
                <c:pt idx="9">
                  <c:v>3.0214597764507164E-3</c:v>
                </c:pt>
                <c:pt idx="10">
                  <c:v>2.8617948302357451E-3</c:v>
                </c:pt>
                <c:pt idx="11">
                  <c:v>2.9822929169028099E-3</c:v>
                </c:pt>
              </c:numCache>
            </c:numRef>
          </c:val>
          <c:extLst xmlns:c16r2="http://schemas.microsoft.com/office/drawing/2015/06/chart">
            <c:ext xmlns:c16="http://schemas.microsoft.com/office/drawing/2014/chart" uri="{C3380CC4-5D6E-409C-BE32-E72D297353CC}">
              <c16:uniqueId val="{00000005-BDCD-884D-9894-355F1EF27AB6}"/>
            </c:ext>
          </c:extLst>
        </c:ser>
        <c:ser>
          <c:idx val="6"/>
          <c:order val="6"/>
          <c:tx>
            <c:strRef>
              <c:f>Sheet1!$A$8</c:f>
              <c:strCache>
                <c:ptCount val="1"/>
                <c:pt idx="0">
                  <c:v>administration</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Sheet1!$B$8:$M$8</c:f>
              <c:numCache>
                <c:formatCode>0%</c:formatCode>
                <c:ptCount val="12"/>
                <c:pt idx="0">
                  <c:v>3.39591030295677E-2</c:v>
                </c:pt>
                <c:pt idx="1">
                  <c:v>3.8180781256686974E-2</c:v>
                </c:pt>
                <c:pt idx="2">
                  <c:v>6.2877595082577786E-2</c:v>
                </c:pt>
                <c:pt idx="3">
                  <c:v>7.9447257340479735E-2</c:v>
                </c:pt>
                <c:pt idx="4">
                  <c:v>5.8537049702543996E-2</c:v>
                </c:pt>
                <c:pt idx="5">
                  <c:v>3.5387494164546708E-2</c:v>
                </c:pt>
                <c:pt idx="6">
                  <c:v>2.4578422632251094E-2</c:v>
                </c:pt>
                <c:pt idx="7">
                  <c:v>1.790530474360821E-2</c:v>
                </c:pt>
                <c:pt idx="8">
                  <c:v>2.7629252869645789E-2</c:v>
                </c:pt>
                <c:pt idx="9">
                  <c:v>2.6966145540553769E-2</c:v>
                </c:pt>
                <c:pt idx="10">
                  <c:v>2.1665430011972246E-2</c:v>
                </c:pt>
                <c:pt idx="11">
                  <c:v>1.8720059561639031E-2</c:v>
                </c:pt>
              </c:numCache>
            </c:numRef>
          </c:val>
          <c:extLst xmlns:c16r2="http://schemas.microsoft.com/office/drawing/2015/06/chart">
            <c:ext xmlns:c16="http://schemas.microsoft.com/office/drawing/2014/chart" uri="{C3380CC4-5D6E-409C-BE32-E72D297353CC}">
              <c16:uniqueId val="{00000006-BDCD-884D-9894-355F1EF27AB6}"/>
            </c:ext>
          </c:extLst>
        </c:ser>
        <c:dLbls>
          <c:showLegendKey val="0"/>
          <c:showVal val="0"/>
          <c:showCatName val="0"/>
          <c:showSerName val="0"/>
          <c:showPercent val="0"/>
          <c:showBubbleSize val="0"/>
        </c:dLbls>
        <c:gapWidth val="50"/>
        <c:overlap val="100"/>
        <c:axId val="-1591394512"/>
        <c:axId val="-1591405392"/>
      </c:barChart>
      <c:catAx>
        <c:axId val="-1591394512"/>
        <c:scaling>
          <c:orientation val="minMax"/>
        </c:scaling>
        <c:delete val="0"/>
        <c:axPos val="l"/>
        <c:numFmt formatCode="General" sourceLinked="0"/>
        <c:majorTickMark val="out"/>
        <c:minorTickMark val="none"/>
        <c:tickLblPos val="nextTo"/>
        <c:crossAx val="-1591405392"/>
        <c:crosses val="autoZero"/>
        <c:auto val="1"/>
        <c:lblAlgn val="ctr"/>
        <c:lblOffset val="100"/>
        <c:noMultiLvlLbl val="0"/>
      </c:catAx>
      <c:valAx>
        <c:axId val="-1591405392"/>
        <c:scaling>
          <c:orientation val="minMax"/>
        </c:scaling>
        <c:delete val="0"/>
        <c:axPos val="b"/>
        <c:majorGridlines/>
        <c:numFmt formatCode="0%" sourceLinked="1"/>
        <c:majorTickMark val="out"/>
        <c:minorTickMark val="none"/>
        <c:tickLblPos val="nextTo"/>
        <c:crossAx val="-1591394512"/>
        <c:crosses val="autoZero"/>
        <c:crossBetween val="between"/>
      </c:valAx>
    </c:plotArea>
    <c:legend>
      <c:legendPos val="r"/>
      <c:layout>
        <c:manualLayout>
          <c:xMode val="edge"/>
          <c:yMode val="edge"/>
          <c:x val="0.78009259259259256"/>
          <c:y val="4.7369391326084233E-2"/>
          <c:w val="0.20601851851851852"/>
          <c:h val="0.85367391576052998"/>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78854697591565E-2"/>
          <c:y val="7.4031683539557566E-2"/>
          <c:w val="0.6198672448251864"/>
          <c:h val="0.80918234117169985"/>
        </c:manualLayout>
      </c:layout>
      <c:lineChart>
        <c:grouping val="standard"/>
        <c:varyColors val="0"/>
        <c:ser>
          <c:idx val="0"/>
          <c:order val="0"/>
          <c:tx>
            <c:strRef>
              <c:f>Sheet1!$A$2</c:f>
              <c:strCache>
                <c:ptCount val="1"/>
                <c:pt idx="0">
                  <c:v>share of state health insurance program beneficieries</c:v>
                </c:pt>
              </c:strCache>
            </c:strRef>
          </c:tx>
          <c:dLbls>
            <c:dLbl>
              <c:idx val="0"/>
              <c:layout>
                <c:manualLayout>
                  <c:x val="0"/>
                  <c:y val="-3.1746031746031744E-2"/>
                </c:manualLayout>
              </c:layout>
              <c:spPr>
                <a:noFill/>
                <a:ln w="25395">
                  <a:noFill/>
                </a:ln>
              </c:spPr>
              <c:txPr>
                <a:bodyPr/>
                <a:lstStyle/>
                <a:p>
                  <a:pP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EEC-AD4C-8EB1-5311B8A53CD1}"/>
                </c:ext>
                <c:ext xmlns:c15="http://schemas.microsoft.com/office/drawing/2012/chart" uri="{CE6537A1-D6FC-4f65-9D91-7224C49458BB}"/>
              </c:extLst>
            </c:dLbl>
            <c:spPr>
              <a:noFill/>
              <a:ln w="25395">
                <a:noFill/>
              </a:ln>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Sheet1!$B$2:$G$2</c:f>
              <c:numCache>
                <c:formatCode>0.0%</c:formatCode>
                <c:ptCount val="6"/>
                <c:pt idx="0">
                  <c:v>4.0861094045099779E-2</c:v>
                </c:pt>
                <c:pt idx="1">
                  <c:v>0.1713333789735515</c:v>
                </c:pt>
                <c:pt idx="2">
                  <c:v>0.20634377707848772</c:v>
                </c:pt>
                <c:pt idx="3">
                  <c:v>0.20317853922452661</c:v>
                </c:pt>
                <c:pt idx="4">
                  <c:v>0.20202318088248455</c:v>
                </c:pt>
                <c:pt idx="5">
                  <c:v>0.37936957494407159</c:v>
                </c:pt>
              </c:numCache>
            </c:numRef>
          </c:val>
          <c:smooth val="0"/>
          <c:extLst xmlns:c16r2="http://schemas.microsoft.com/office/drawing/2015/06/chart">
            <c:ext xmlns:c16="http://schemas.microsoft.com/office/drawing/2014/chart" uri="{C3380CC4-5D6E-409C-BE32-E72D297353CC}">
              <c16:uniqueId val="{00000001-DEEC-AD4C-8EB1-5311B8A53CD1}"/>
            </c:ext>
          </c:extLst>
        </c:ser>
        <c:ser>
          <c:idx val="1"/>
          <c:order val="1"/>
          <c:tx>
            <c:strRef>
              <c:f>Sheet1!$A$3</c:f>
              <c:strCache>
                <c:ptCount val="1"/>
                <c:pt idx="0">
                  <c:v>all owners of the health insurance policy</c:v>
                </c:pt>
              </c:strCache>
            </c:strRef>
          </c:tx>
          <c:dLbls>
            <c:spPr>
              <a:noFill/>
              <a:ln w="25395">
                <a:noFill/>
              </a:ln>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Sheet1!$B$3:$G$3</c:f>
              <c:numCache>
                <c:formatCode>0.0%</c:formatCode>
                <c:ptCount val="6"/>
                <c:pt idx="0">
                  <c:v>6.006604546385419E-2</c:v>
                </c:pt>
                <c:pt idx="1">
                  <c:v>0.23163894023413431</c:v>
                </c:pt>
                <c:pt idx="2">
                  <c:v>0.29901194873899756</c:v>
                </c:pt>
                <c:pt idx="3">
                  <c:v>0.3375601893597836</c:v>
                </c:pt>
                <c:pt idx="4">
                  <c:v>0.32415711984247741</c:v>
                </c:pt>
                <c:pt idx="5">
                  <c:v>0.50818724832214768</c:v>
                </c:pt>
              </c:numCache>
            </c:numRef>
          </c:val>
          <c:smooth val="0"/>
          <c:extLst xmlns:c16r2="http://schemas.microsoft.com/office/drawing/2015/06/chart">
            <c:ext xmlns:c16="http://schemas.microsoft.com/office/drawing/2014/chart" uri="{C3380CC4-5D6E-409C-BE32-E72D297353CC}">
              <c16:uniqueId val="{00000002-DEEC-AD4C-8EB1-5311B8A53CD1}"/>
            </c:ext>
          </c:extLst>
        </c:ser>
        <c:dLbls>
          <c:showLegendKey val="0"/>
          <c:showVal val="0"/>
          <c:showCatName val="0"/>
          <c:showSerName val="0"/>
          <c:showPercent val="0"/>
          <c:showBubbleSize val="0"/>
        </c:dLbls>
        <c:marker val="1"/>
        <c:smooth val="0"/>
        <c:axId val="-1591395600"/>
        <c:axId val="-1591404304"/>
      </c:lineChart>
      <c:catAx>
        <c:axId val="-1591395600"/>
        <c:scaling>
          <c:orientation val="minMax"/>
        </c:scaling>
        <c:delete val="0"/>
        <c:axPos val="b"/>
        <c:numFmt formatCode="General" sourceLinked="0"/>
        <c:majorTickMark val="none"/>
        <c:minorTickMark val="none"/>
        <c:tickLblPos val="nextTo"/>
        <c:crossAx val="-1591404304"/>
        <c:crosses val="autoZero"/>
        <c:auto val="1"/>
        <c:lblAlgn val="ctr"/>
        <c:lblOffset val="100"/>
        <c:noMultiLvlLbl val="0"/>
      </c:catAx>
      <c:valAx>
        <c:axId val="-1591404304"/>
        <c:scaling>
          <c:orientation val="minMax"/>
        </c:scaling>
        <c:delete val="0"/>
        <c:axPos val="l"/>
        <c:numFmt formatCode="0%" sourceLinked="0"/>
        <c:majorTickMark val="none"/>
        <c:minorTickMark val="none"/>
        <c:tickLblPos val="nextTo"/>
        <c:crossAx val="-1591395600"/>
        <c:crosses val="autoZero"/>
        <c:crossBetween val="between"/>
      </c:valAx>
    </c:plotArea>
    <c:legend>
      <c:legendPos val="r"/>
      <c:layout>
        <c:manualLayout>
          <c:xMode val="edge"/>
          <c:yMode val="edge"/>
          <c:x val="0.68300128644769265"/>
          <c:y val="0.31122876307128661"/>
          <c:w val="0.30515351741882002"/>
          <c:h val="0.46172128483939506"/>
        </c:manualLayout>
      </c:layout>
      <c:overlay val="0"/>
      <c:txPr>
        <a:bodyPr/>
        <a:lstStyle/>
        <a:p>
          <a:pPr>
            <a:defRPr sz="900"/>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5.999033974919802E-2"/>
          <c:y val="3.5174699181640685E-2"/>
          <c:w val="0.92481280985710124"/>
          <c:h val="0.8650103519668737"/>
        </c:manualLayout>
      </c:layout>
      <c:lineChart>
        <c:grouping val="standard"/>
        <c:varyColors val="0"/>
        <c:ser>
          <c:idx val="0"/>
          <c:order val="0"/>
          <c:tx>
            <c:strRef>
              <c:f>Sheet1!$A$2</c:f>
              <c:strCache>
                <c:ptCount val="1"/>
                <c:pt idx="0">
                  <c:v>საქართველო</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General</c:formatCode>
                <c:ptCount val="12"/>
                <c:pt idx="0">
                  <c:v>2.2999999999999998</c:v>
                </c:pt>
                <c:pt idx="1">
                  <c:v>2</c:v>
                </c:pt>
                <c:pt idx="2">
                  <c:v>2.1</c:v>
                </c:pt>
                <c:pt idx="3">
                  <c:v>2</c:v>
                </c:pt>
                <c:pt idx="4">
                  <c:v>2.1</c:v>
                </c:pt>
                <c:pt idx="5">
                  <c:v>2.1</c:v>
                </c:pt>
                <c:pt idx="6">
                  <c:v>2.2999999999999998</c:v>
                </c:pt>
                <c:pt idx="7">
                  <c:v>2.7</c:v>
                </c:pt>
                <c:pt idx="8">
                  <c:v>3.5</c:v>
                </c:pt>
                <c:pt idx="9">
                  <c:v>4</c:v>
                </c:pt>
                <c:pt idx="10">
                  <c:v>4</c:v>
                </c:pt>
                <c:pt idx="11">
                  <c:v>3.5</c:v>
                </c:pt>
              </c:numCache>
            </c:numRef>
          </c:val>
          <c:smooth val="0"/>
          <c:extLst xmlns:c16r2="http://schemas.microsoft.com/office/drawing/2015/06/chart">
            <c:ext xmlns:c16="http://schemas.microsoft.com/office/drawing/2014/chart" uri="{C3380CC4-5D6E-409C-BE32-E72D297353CC}">
              <c16:uniqueId val="{00000000-DFBB-BB4E-8D15-B4C925D74CB0}"/>
            </c:ext>
          </c:extLst>
        </c:ser>
        <c:dLbls>
          <c:showLegendKey val="0"/>
          <c:showVal val="0"/>
          <c:showCatName val="0"/>
          <c:showSerName val="0"/>
          <c:showPercent val="0"/>
          <c:showBubbleSize val="0"/>
        </c:dLbls>
        <c:marker val="1"/>
        <c:smooth val="0"/>
        <c:axId val="-1591403216"/>
        <c:axId val="-1591402672"/>
      </c:lineChart>
      <c:catAx>
        <c:axId val="-1591403216"/>
        <c:scaling>
          <c:orientation val="minMax"/>
        </c:scaling>
        <c:delete val="0"/>
        <c:axPos val="b"/>
        <c:numFmt formatCode="General" sourceLinked="0"/>
        <c:majorTickMark val="out"/>
        <c:minorTickMark val="none"/>
        <c:tickLblPos val="nextTo"/>
        <c:crossAx val="-1591402672"/>
        <c:crosses val="autoZero"/>
        <c:auto val="1"/>
        <c:lblAlgn val="ctr"/>
        <c:lblOffset val="100"/>
        <c:noMultiLvlLbl val="0"/>
      </c:catAx>
      <c:valAx>
        <c:axId val="-1591402672"/>
        <c:scaling>
          <c:orientation val="minMax"/>
        </c:scaling>
        <c:delete val="0"/>
        <c:axPos val="l"/>
        <c:numFmt formatCode="General" sourceLinked="1"/>
        <c:majorTickMark val="out"/>
        <c:minorTickMark val="none"/>
        <c:tickLblPos val="nextTo"/>
        <c:crossAx val="-159140321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Sheet1!$A$2</c:f>
              <c:strCache>
                <c:ptCount val="1"/>
                <c:pt idx="0">
                  <c:v>Category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General</c:formatCode>
                <c:ptCount val="12"/>
                <c:pt idx="0">
                  <c:v>6.3</c:v>
                </c:pt>
                <c:pt idx="1">
                  <c:v>6.6</c:v>
                </c:pt>
                <c:pt idx="2">
                  <c:v>7.3</c:v>
                </c:pt>
                <c:pt idx="3">
                  <c:v>7.3</c:v>
                </c:pt>
                <c:pt idx="4">
                  <c:v>7.5</c:v>
                </c:pt>
                <c:pt idx="5">
                  <c:v>7.4</c:v>
                </c:pt>
                <c:pt idx="6">
                  <c:v>8</c:v>
                </c:pt>
                <c:pt idx="7">
                  <c:v>8.6</c:v>
                </c:pt>
                <c:pt idx="8">
                  <c:v>10.5</c:v>
                </c:pt>
                <c:pt idx="9">
                  <c:v>12.6</c:v>
                </c:pt>
                <c:pt idx="10">
                  <c:v>14</c:v>
                </c:pt>
                <c:pt idx="11">
                  <c:v>14.4</c:v>
                </c:pt>
              </c:numCache>
            </c:numRef>
          </c:val>
          <c:extLst xmlns:c16r2="http://schemas.microsoft.com/office/drawing/2015/06/chart">
            <c:ext xmlns:c16="http://schemas.microsoft.com/office/drawing/2014/chart" uri="{C3380CC4-5D6E-409C-BE32-E72D297353CC}">
              <c16:uniqueId val="{00000000-1C3A-5844-95BB-0B5089155B91}"/>
            </c:ext>
          </c:extLst>
        </c:ser>
        <c:dLbls>
          <c:showLegendKey val="0"/>
          <c:showVal val="0"/>
          <c:showCatName val="0"/>
          <c:showSerName val="0"/>
          <c:showPercent val="0"/>
          <c:showBubbleSize val="0"/>
        </c:dLbls>
        <c:gapWidth val="150"/>
        <c:axId val="-1591400496"/>
        <c:axId val="-1591398864"/>
      </c:barChart>
      <c:catAx>
        <c:axId val="-1591400496"/>
        <c:scaling>
          <c:orientation val="minMax"/>
        </c:scaling>
        <c:delete val="0"/>
        <c:axPos val="b"/>
        <c:numFmt formatCode="General" sourceLinked="0"/>
        <c:majorTickMark val="out"/>
        <c:minorTickMark val="none"/>
        <c:tickLblPos val="nextTo"/>
        <c:crossAx val="-1591398864"/>
        <c:crosses val="autoZero"/>
        <c:auto val="1"/>
        <c:lblAlgn val="ctr"/>
        <c:lblOffset val="100"/>
        <c:noMultiLvlLbl val="0"/>
      </c:catAx>
      <c:valAx>
        <c:axId val="-1591398864"/>
        <c:scaling>
          <c:orientation val="minMax"/>
        </c:scaling>
        <c:delete val="0"/>
        <c:axPos val="l"/>
        <c:numFmt formatCode="General" sourceLinked="1"/>
        <c:majorTickMark val="out"/>
        <c:minorTickMark val="none"/>
        <c:tickLblPos val="nextTo"/>
        <c:crossAx val="-15914004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WHO16</b:Tag>
    <b:SourceType>Report</b:SourceType>
    <b:Guid>{4AB2D389-DD21-4619-93C1-657325D85C3B}</b:Guid>
    <b:Title>Active purchasing for universal health coverage in Georgia: situation analysis and options for improvement.</b:Title>
    <b:Year>2016</b:Year>
    <b:City>Barcelona</b:City>
    <b:Publisher>WHO Barcelona Office for Health Systems Strengthening.</b:Publisher>
    <b:Author>
      <b:Author>
        <b:Corporate>WHO</b:Corporate>
      </b:Author>
    </b:Author>
    <b:ThesisType>Report prepared for the Ministry of Labour, Health and Social Affairs by the WHO Barcelona Office for Health Systems Strengthening.</b:ThesisType>
    <b:RefOrder>1</b:RefOrder>
  </b:Source>
</b:Sources>
</file>

<file path=customXml/itemProps1.xml><?xml version="1.0" encoding="utf-8"?>
<ds:datastoreItem xmlns:ds="http://schemas.openxmlformats.org/officeDocument/2006/customXml" ds:itemID="{0B8654AE-30A3-438F-8EDC-E81DA87F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11</Pages>
  <Words>3320</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keti</dc:creator>
  <cp:lastModifiedBy>TB</cp:lastModifiedBy>
  <cp:revision>52</cp:revision>
  <dcterms:created xsi:type="dcterms:W3CDTF">2019-06-01T05:42:00Z</dcterms:created>
  <dcterms:modified xsi:type="dcterms:W3CDTF">2019-06-03T03:35:00Z</dcterms:modified>
</cp:coreProperties>
</file>