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2C" w:rsidRPr="00BE195E" w:rsidRDefault="00077688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bCs/>
          <w:noProof/>
          <w:sz w:val="22"/>
          <w:szCs w:val="22"/>
          <w:lang w:eastAsia="x-none"/>
        </w:rPr>
      </w:pPr>
      <w:bookmarkStart w:id="0" w:name="_GoBack"/>
      <w:bookmarkEnd w:id="0"/>
      <w:r w:rsidRPr="00BE195E">
        <w:rPr>
          <w:rFonts w:ascii="Sylfaen" w:eastAsia="Times New Roman" w:hAnsi="Sylfaen" w:cs="Sylfaen"/>
          <w:bCs/>
          <w:noProof/>
          <w:sz w:val="22"/>
          <w:szCs w:val="22"/>
          <w:lang w:val="en-US" w:eastAsia="x-none"/>
        </w:rPr>
        <w:t>“</w:t>
      </w:r>
      <w:r w:rsidRPr="00BE195E">
        <w:rPr>
          <w:rFonts w:ascii="Sylfaen" w:eastAsia="Times New Roman" w:hAnsi="Sylfaen" w:cs="Sylfaen"/>
          <w:bCs/>
          <w:noProof/>
          <w:sz w:val="22"/>
          <w:szCs w:val="22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BE195E">
        <w:rPr>
          <w:rFonts w:ascii="Sylfaen" w:eastAsia="Times New Roman" w:hAnsi="Sylfaen" w:cs="Sylfaen"/>
          <w:bCs/>
          <w:noProof/>
          <w:sz w:val="22"/>
          <w:szCs w:val="22"/>
          <w:lang w:val="en-US" w:eastAsia="x-none"/>
        </w:rPr>
        <w:t xml:space="preserve">” </w:t>
      </w:r>
      <w:r w:rsidR="00ED469F" w:rsidRPr="00BE195E">
        <w:rPr>
          <w:rFonts w:ascii="Sylfaen" w:eastAsia="Times New Roman" w:hAnsi="Sylfaen" w:cs="Sylfaen"/>
          <w:bCs/>
          <w:noProof/>
          <w:sz w:val="22"/>
          <w:szCs w:val="22"/>
          <w:lang w:eastAsia="x-none"/>
        </w:rPr>
        <w:t>საქართველოს მთავრობის</w:t>
      </w:r>
      <w:r w:rsidRPr="00BE195E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 xml:space="preserve"> </w:t>
      </w:r>
      <w:r w:rsidRPr="00BE195E">
        <w:rPr>
          <w:rFonts w:ascii="Sylfaen" w:eastAsia="Times New Roman" w:hAnsi="Sylfaen" w:cs="Sylfaen"/>
          <w:bCs/>
          <w:noProof/>
          <w:sz w:val="22"/>
          <w:szCs w:val="22"/>
          <w:lang w:eastAsia="x-none"/>
        </w:rPr>
        <w:t>2013 წლის 21 თებერვლი</w:t>
      </w:r>
      <w:r w:rsidRPr="00BE195E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>ს N36</w:t>
      </w:r>
      <w:r w:rsidRPr="00BE195E">
        <w:rPr>
          <w:rFonts w:ascii="Sylfaen" w:eastAsia="Times New Roman" w:hAnsi="Sylfaen" w:cs="Sylfaen"/>
          <w:bCs/>
          <w:noProof/>
          <w:sz w:val="22"/>
          <w:szCs w:val="22"/>
          <w:lang w:eastAsia="x-none"/>
        </w:rPr>
        <w:t xml:space="preserve"> </w:t>
      </w:r>
      <w:r w:rsidR="00ED469F" w:rsidRPr="00BE195E">
        <w:rPr>
          <w:rFonts w:ascii="Sylfaen" w:eastAsia="Times New Roman" w:hAnsi="Sylfaen" w:cs="Sylfaen"/>
          <w:bCs/>
          <w:noProof/>
          <w:sz w:val="22"/>
          <w:szCs w:val="22"/>
          <w:lang w:eastAsia="x-none"/>
        </w:rPr>
        <w:t>დადგენილებ</w:t>
      </w:r>
      <w:r w:rsidRPr="00BE195E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>ით დამტკიცებული „</w:t>
      </w:r>
      <w:r w:rsidR="00ED469F" w:rsidRPr="00BE195E">
        <w:rPr>
          <w:rFonts w:ascii="Sylfaen" w:eastAsia="Times New Roman" w:hAnsi="Sylfaen" w:cs="Sylfaen"/>
          <w:bCs/>
          <w:noProof/>
          <w:sz w:val="22"/>
          <w:szCs w:val="22"/>
          <w:lang w:eastAsia="x-none"/>
        </w:rPr>
        <w:t>საყოველთაო ჯანმრთელობის დაცვის სახელმწიფო პროგრამ</w:t>
      </w:r>
      <w:r w:rsidRPr="00BE195E">
        <w:rPr>
          <w:rFonts w:ascii="Sylfaen" w:eastAsia="Times New Roman" w:hAnsi="Sylfaen" w:cs="Sylfaen"/>
          <w:bCs/>
          <w:noProof/>
          <w:sz w:val="22"/>
          <w:szCs w:val="22"/>
          <w:lang w:val="ka-GE" w:eastAsia="x-none"/>
        </w:rPr>
        <w:t>ის“</w:t>
      </w:r>
      <w:r w:rsidR="00ED469F" w:rsidRPr="00BE195E">
        <w:rPr>
          <w:rFonts w:ascii="Sylfaen" w:hAnsi="Sylfaen" w:cs="Sylfaen"/>
          <w:noProof/>
          <w:sz w:val="22"/>
          <w:szCs w:val="22"/>
          <w:lang w:eastAsia="x-none"/>
        </w:rPr>
        <w:t xml:space="preserve"> </w:t>
      </w:r>
      <w:r w:rsidRPr="00BE195E">
        <w:rPr>
          <w:rFonts w:ascii="Sylfaen" w:hAnsi="Sylfaen" w:cs="Sylfaen"/>
          <w:noProof/>
          <w:sz w:val="22"/>
          <w:szCs w:val="22"/>
          <w:lang w:val="ka-GE" w:eastAsia="x-none"/>
        </w:rPr>
        <w:t>(</w:t>
      </w: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დანართი №1</w:t>
      </w:r>
      <w:r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) </w:t>
      </w:r>
      <w:r w:rsidRPr="00BE195E">
        <w:rPr>
          <w:rFonts w:ascii="Sylfaen" w:eastAsia="Times New Roman" w:hAnsi="Sylfaen" w:cs="Sylfaen"/>
          <w:noProof/>
          <w:sz w:val="22"/>
          <w:szCs w:val="22"/>
          <w:lang w:val="en-US" w:eastAsia="x-none"/>
        </w:rPr>
        <w:t xml:space="preserve">II </w:t>
      </w:r>
      <w:r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თავში გაწერილია პროგრამის ადმინისტრირების პირობები</w:t>
      </w:r>
      <w:r w:rsidR="00F024A3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, რომელიც </w:t>
      </w:r>
      <w:r w:rsidR="00ED469F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მოიცავს პროგრამის განხორციელებაზე ზედამხედველობას პროგრამით განსაზღვრული ღონისძიებების ეფექტიანი შესრულების მიზნით.</w:t>
      </w:r>
    </w:p>
    <w:p w:rsidR="00B10C2C" w:rsidRPr="00BE195E" w:rsidRDefault="00ED469F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პროგრამის ზედამხედველობას ახორციელებენ პროგრამის განმახორციელებელი </w:t>
      </w:r>
      <w:r w:rsidR="00BE195E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(სსიპ სოციალური მომსახურების სააგენტო) </w:t>
      </w: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და </w:t>
      </w:r>
      <w:r w:rsidR="00BE195E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სსიპ – სამედიცინო საქმიანობის სახელმწიფო რეგულირების სააგენტო</w:t>
      </w: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, დადგენილი უფლებამოსილების ფარგლებში.</w:t>
      </w:r>
    </w:p>
    <w:p w:rsidR="00BE195E" w:rsidRPr="00BE195E" w:rsidRDefault="00BE195E" w:rsidP="00BE19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პროგრამის ადმინისტრირებაში მონაწილე სახელმწიფო დაწესებულებ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ა</w:t>
      </w: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ვალდებულ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ია</w:t>
      </w: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:</w:t>
      </w:r>
    </w:p>
    <w:p w:rsidR="00BE195E" w:rsidRDefault="00BE195E" w:rsidP="00BE195E">
      <w:pPr>
        <w:numPr>
          <w:ilvl w:val="0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განახორციელოს პროგრამების ზედამხედველობა მოქმედი კანონმდებლობით განსაზღვრული უფლებამოსილების ფარგლებში;</w:t>
      </w:r>
    </w:p>
    <w:p w:rsidR="00BE195E" w:rsidRDefault="00BE195E" w:rsidP="00BE195E">
      <w:pPr>
        <w:numPr>
          <w:ilvl w:val="0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უზრუნველყოს პროგრამის ფარგლებში ანაზღაურებას დაქვემდებარებული შემთხვევების დროული ანაზღაურება დადგენილი წესით;</w:t>
      </w:r>
    </w:p>
    <w:p w:rsidR="00BE195E" w:rsidRDefault="00BE195E" w:rsidP="00BE195E">
      <w:pPr>
        <w:numPr>
          <w:ilvl w:val="0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პროგრამის პირობების შეუსრულებლობის ან არაჯეროვნად შესრულებისას, დააკისროს მიმწოდებელს ფინანსური ჯარიმა დადგენილი წესის შესაბამისად;</w:t>
      </w:r>
    </w:p>
    <w:p w:rsidR="00BE195E" w:rsidRPr="00BE195E" w:rsidRDefault="00BE195E" w:rsidP="00BE195E">
      <w:p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108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:rsidR="00BE195E" w:rsidRPr="00BE195E" w:rsidRDefault="00BE195E" w:rsidP="00BE19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ამასთან, </w:t>
      </w: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ზედამხედველობის ეტაპ(ებ)ის მიხედვით, ამ დადგენილებით განსაზღვრული კომპეტენციის ფარგლებში </w:t>
      </w:r>
      <w:r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ის </w:t>
      </w: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უფლებამოსილია:</w:t>
      </w:r>
    </w:p>
    <w:p w:rsidR="00BE195E" w:rsidRPr="00BE195E" w:rsidRDefault="00BE195E" w:rsidP="00BE195E">
      <w:pPr>
        <w:numPr>
          <w:ilvl w:val="0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მიმწოდებლისგან მოითხოვოს პროგრამის განხორციელებასთან დაკავშირებული ნებისმიერი დოკუმენტაცია და ინფორმაცია, მათ შორის, პროგრამის მოსარგებლის სამედიცინო მომსახურებასთან დაკავშირებული პირადი, სამედიცინო და ფინანსური ინფორმაცია;</w:t>
      </w:r>
    </w:p>
    <w:p w:rsidR="00BE195E" w:rsidRPr="00BE195E" w:rsidRDefault="00BE195E" w:rsidP="00BE195E">
      <w:pPr>
        <w:numPr>
          <w:ilvl w:val="0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გამოვლენილი დარღვევების შემთხვევაში, არ აუნაზღაუროს სამედიცინო მომსახურების ღირებულება, ან მოსთხოვოს მიმწოდებელს ზედამხედველობის შედეგად გამოვლენილი არასწორად მიღებული დაფინანსების სახელმწიფო ბიუჯეტში დაბრუნება და დაკისრებული საჯარიმო სანქციების გადახდა და/ან დააკისროს დამატებითი ფინანსური ჯარიმის გადახდა;</w:t>
      </w:r>
    </w:p>
    <w:p w:rsidR="00BE195E" w:rsidRPr="00BE195E" w:rsidRDefault="00BE195E" w:rsidP="00BE195E">
      <w:pPr>
        <w:numPr>
          <w:ilvl w:val="0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აღმოჩენილი დარღვევების საფუძველზე, დააკისროს მიმწოდებელს საჯარიმო სანქციები და განახორციელოს მათი გადახდის ადმინისტრირება, დადგენილი წესის შესაბამისად; </w:t>
      </w:r>
    </w:p>
    <w:p w:rsidR="00BE195E" w:rsidRPr="00BE195E" w:rsidRDefault="00BE195E" w:rsidP="00BE195E">
      <w:pPr>
        <w:numPr>
          <w:ilvl w:val="0"/>
          <w:numId w:val="2"/>
        </w:num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სამინისტროსთან შეთანხმებით განსაზღვროს პროგრამის ადმინისტრირების დამატებითი პირობები, რომლებიც არ რეგულირდება ამ დადგენილებითა და მოქმედი კანონმდებლობით.</w:t>
      </w:r>
    </w:p>
    <w:p w:rsidR="00BE195E" w:rsidRPr="00BE195E" w:rsidRDefault="00BE195E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:rsidR="00F024A3" w:rsidRPr="00BE195E" w:rsidRDefault="00ED469F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შემთხვევათა ზედამხედველობა მოიცავს</w:t>
      </w:r>
      <w:r w:rsidR="00F024A3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:</w:t>
      </w:r>
    </w:p>
    <w:p w:rsidR="00F024A3" w:rsidRPr="00BE195E" w:rsidRDefault="00F024A3" w:rsidP="007201F0">
      <w:pPr>
        <w:numPr>
          <w:ilvl w:val="0"/>
          <w:numId w:val="1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შეტყობინების საფუძველზე, შერჩეული შემთხვევის მონიტორინგი </w:t>
      </w:r>
    </w:p>
    <w:p w:rsidR="00F024A3" w:rsidRPr="00BE195E" w:rsidRDefault="00F024A3" w:rsidP="007201F0">
      <w:pPr>
        <w:numPr>
          <w:ilvl w:val="0"/>
          <w:numId w:val="1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საანგარიშგებო დოკუმენტაციის ინსპექტირება;</w:t>
      </w:r>
    </w:p>
    <w:p w:rsidR="00F024A3" w:rsidRPr="00BE195E" w:rsidRDefault="00F024A3" w:rsidP="007201F0">
      <w:pPr>
        <w:numPr>
          <w:ilvl w:val="0"/>
          <w:numId w:val="1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პროგრამით განსაზღვრული პირობების შესრულების კონტროლი</w:t>
      </w:r>
    </w:p>
    <w:p w:rsidR="00F024A3" w:rsidRPr="00BE195E" w:rsidRDefault="00F024A3" w:rsidP="007201F0">
      <w:pPr>
        <w:numPr>
          <w:ilvl w:val="0"/>
          <w:numId w:val="1"/>
        </w:numPr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რევიზია</w:t>
      </w:r>
    </w:p>
    <w:p w:rsidR="00F024A3" w:rsidRPr="00BE195E" w:rsidRDefault="00F024A3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:rsidR="007201F0" w:rsidRPr="00BE195E" w:rsidRDefault="00BF696C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eastAsia="Times New Roman" w:hAnsi="Sylfaen" w:cs="Sylfaen"/>
          <w:b/>
          <w:noProof/>
          <w:sz w:val="22"/>
          <w:szCs w:val="22"/>
          <w:lang w:val="en-US" w:eastAsia="x-none"/>
        </w:rPr>
        <w:t xml:space="preserve">I. </w:t>
      </w:r>
      <w:r w:rsidR="007201F0" w:rsidRPr="00BE195E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>მონიტორინგი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ხორციელდება პროგრამის განმახორციელებლის მიერ შერჩევის პრინციპით.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მონიტორინგის განხორციელებისას ხდება მიმწოდებელთან განმახორციელებლის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lastRenderedPageBreak/>
        <w:t>უფლებამოსილი პირის ვიზიტი და შეტყობინებისას მიწოდებული ინფორმაციის გადამოწმება, მიმწოდებლისაგან მომსახურებასთან დაკავშირებული ინფორმაციისა და დოკუმენტაციის მოთხოვნა, საჭიროებისამებრ, პაციენტთან, მისი ოჯახის წევრებთან და შემთხვევასთან დაკავშირებულ სხვა პირებთან გასაუბრება.</w:t>
      </w:r>
    </w:p>
    <w:p w:rsidR="007201F0" w:rsidRPr="00BE195E" w:rsidRDefault="007201F0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</w:pPr>
    </w:p>
    <w:p w:rsidR="007201F0" w:rsidRPr="00BE195E" w:rsidRDefault="00BF696C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hAnsi="Sylfaen" w:cs="Sylfaen"/>
          <w:i/>
          <w:iCs/>
          <w:noProof/>
          <w:sz w:val="22"/>
          <w:szCs w:val="2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 xml:space="preserve">II. </w:t>
      </w:r>
      <w:r w:rsidR="007201F0" w:rsidRPr="00BE195E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>საანგარიშგებო დოკუმენტაციის ინსპექტირება</w:t>
      </w:r>
      <w:r w:rsidR="007201F0" w:rsidRPr="00BE195E">
        <w:rPr>
          <w:rFonts w:ascii="Sylfaen" w:eastAsia="Times New Roman" w:hAnsi="Sylfaen" w:cs="Sylfaen"/>
          <w:b/>
          <w:bCs/>
          <w:noProof/>
          <w:sz w:val="22"/>
          <w:szCs w:val="22"/>
          <w:lang w:val="ka-GE" w:eastAsia="x-none"/>
        </w:rPr>
        <w:t xml:space="preserve">ს ახორციელებს პროგრამის განმახორციელებელი და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საანგარიშგებო დოკუმენტაციის ინსპექტირებისას ხდება: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მოსარგებლის საიდენტიფიკაციო მონაცემების დადარება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,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ხარჯის დამადასტურებელ დოკუმენტში ჯამური ფინანსური მონაცემების სისწორის გადამოწმება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და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წარდგენილი დოკუმენტაციის შედარება მიმწოდებლის მიერ შეტყობინებისას დაფიქსირებულ მონაცემებთან და მონიტორინგის შედეგებთან. </w:t>
      </w:r>
    </w:p>
    <w:p w:rsidR="00B10C2C" w:rsidRPr="00BE195E" w:rsidRDefault="00B10C2C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:rsidR="007201F0" w:rsidRPr="00BE195E" w:rsidRDefault="00BF696C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2"/>
          <w:szCs w:val="22"/>
          <w:lang w:val="en-US" w:eastAsia="x-none"/>
        </w:rPr>
        <w:t xml:space="preserve">III. </w:t>
      </w:r>
      <w:r w:rsidR="007201F0" w:rsidRPr="00BE195E">
        <w:rPr>
          <w:rFonts w:ascii="Sylfaen" w:eastAsia="Times New Roman" w:hAnsi="Sylfaen" w:cs="Sylfaen"/>
          <w:b/>
          <w:bCs/>
          <w:noProof/>
          <w:sz w:val="22"/>
          <w:szCs w:val="22"/>
          <w:lang w:eastAsia="x-none"/>
        </w:rPr>
        <w:t xml:space="preserve">პროგრამით განსაზღვრული პირობების შესრულების კონტროლი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მოიცავს: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გაწეული სამედიცინო მომსახურების შესაბამისობის დადგენას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>პროგრამით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 განსაზღვრული მომსახურების მოცულობასთან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, </w:t>
      </w:r>
      <w:r w:rsidR="007201F0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გაწეული სამედიცინო მოსახურების თაობაზე პროგრამის განმახორციელებლის მიერ მიღებული ელექტრონული და/ან მატერიალური ინფორმაციის შედარებას  მიმწოდებელთან არსებულ დოკუმენტაციასთან.</w:t>
      </w:r>
    </w:p>
    <w:p w:rsidR="007201F0" w:rsidRPr="00BE195E" w:rsidRDefault="007201F0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 xml:space="preserve">კონტროლი ხორციელდება გეგმური და არაგეგმური შემოწმების გზით. ამასთან, კონტროლის განხორციელების ვადა არ უნდა აღემატებოდეს შემთხვევის დასრულებიდან 5 (ხუთი) კალენდარულ წელს. </w:t>
      </w:r>
    </w:p>
    <w:p w:rsidR="007201F0" w:rsidRDefault="007201F0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კონტროლის განხორციელებისას ხდება მიმწოდებელთან არსებული სამედიცინო,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გადამოწმება. პროგრამის განმახორციელებელი უფლებამოსილია, მოითხოვოს მიმწოდებლისაგან მომსახურებასთან დაკავშირებული ნებისმიერი ინფორმაცია და დოკუმენტაცია, ასევე ახსნა-განმარტებები, საჭიროებისამებრ, განახორციელოს პაციენტთან, მისი ოჯახის წევრებთან და სამედიცინო პერსონალთან გასაუბრება.</w:t>
      </w:r>
    </w:p>
    <w:p w:rsidR="00BF696C" w:rsidRPr="00BE195E" w:rsidRDefault="00BF696C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p w:rsidR="00B10C2C" w:rsidRPr="00BE195E" w:rsidRDefault="00BF696C" w:rsidP="007201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  <w:r>
        <w:rPr>
          <w:rFonts w:ascii="Sylfaen" w:eastAsia="Times New Roman" w:hAnsi="Sylfaen" w:cs="Sylfaen"/>
          <w:b/>
          <w:noProof/>
          <w:sz w:val="22"/>
          <w:szCs w:val="22"/>
          <w:lang w:val="en-US" w:eastAsia="x-none"/>
        </w:rPr>
        <w:t xml:space="preserve">IV. </w:t>
      </w:r>
      <w:r w:rsidR="00ED469F" w:rsidRPr="00BE195E">
        <w:rPr>
          <w:rFonts w:ascii="Sylfaen" w:eastAsia="Times New Roman" w:hAnsi="Sylfaen" w:cs="Sylfaen"/>
          <w:b/>
          <w:noProof/>
          <w:sz w:val="22"/>
          <w:szCs w:val="22"/>
          <w:lang w:eastAsia="x-none"/>
        </w:rPr>
        <w:t xml:space="preserve">რევიზიას </w:t>
      </w:r>
      <w:r w:rsidR="00ED469F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ახორციელებს რეგულირების სააგენტო გეგმური და არაგეგმური ფორმით.</w:t>
      </w:r>
      <w:r w:rsidR="00BE195E" w:rsidRPr="00BE195E">
        <w:rPr>
          <w:rFonts w:ascii="Sylfaen" w:eastAsia="Times New Roman" w:hAnsi="Sylfaen" w:cs="Sylfaen"/>
          <w:noProof/>
          <w:sz w:val="22"/>
          <w:szCs w:val="22"/>
          <w:lang w:val="ka-GE" w:eastAsia="x-none"/>
        </w:rPr>
        <w:t xml:space="preserve"> </w:t>
      </w:r>
      <w:r w:rsidR="00ED469F" w:rsidRPr="00BE195E">
        <w:rPr>
          <w:rFonts w:ascii="Sylfaen" w:eastAsia="Times New Roman" w:hAnsi="Sylfaen" w:cs="Sylfaen"/>
          <w:noProof/>
          <w:sz w:val="22"/>
          <w:szCs w:val="22"/>
          <w:lang w:eastAsia="x-none"/>
        </w:rPr>
        <w:t>რევიზია ითვალისწინებს მიმწოდებელ დაწესებულებაში პროგრამული შემთხვევის სამედიცინო დოკუმენტაციის შემოწმებას. რევიზია წარმოებს შერჩევითად ან/და საჭიროებისამებრ. გეგმური რევიზია ტარდება ანაზღაურებული შემთხვევების დასრულებიდან 5 წლის განმავლობაში, რომლის ფარგლებში რეგულირების სააგენტოს მიერ ადგილზე წარმოებს რევიზია წინასწარ დადგენილი გეგმა-გრაფიკის მიხედვით. არაგეგმური რევიზია ხორციელდება სამინისტროს, პროგრამის განმახორციელებლის ან ობიექტური გარემოების არსებობისას, სხვა დაინტერესებული პირის მოთხოვნის შესაბამისად.</w:t>
      </w:r>
    </w:p>
    <w:p w:rsidR="00B10C2C" w:rsidRPr="00BE195E" w:rsidRDefault="00B10C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sz w:val="22"/>
          <w:szCs w:val="22"/>
          <w:lang w:eastAsia="x-none"/>
        </w:rPr>
      </w:pPr>
    </w:p>
    <w:sectPr w:rsidR="00B10C2C" w:rsidRPr="00BE19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BC" w:rsidRDefault="008F5FBC" w:rsidP="00ED469F">
      <w:r>
        <w:separator/>
      </w:r>
    </w:p>
  </w:endnote>
  <w:endnote w:type="continuationSeparator" w:id="0">
    <w:p w:rsidR="008F5FBC" w:rsidRDefault="008F5FBC" w:rsidP="00ED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9F" w:rsidRDefault="00ED4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ED469F" w:rsidTr="00ED469F">
      <w:tc>
        <w:tcPr>
          <w:tcW w:w="5090" w:type="dxa"/>
          <w:shd w:val="clear" w:color="auto" w:fill="auto"/>
        </w:tcPr>
        <w:p w:rsidR="00ED469F" w:rsidRPr="00ED469F" w:rsidRDefault="00ED469F" w:rsidP="00ED469F">
          <w:pPr>
            <w:pStyle w:val="Footer"/>
            <w:rPr>
              <w:rFonts w:ascii="Sylfaen" w:hAnsi="Sylfaen"/>
              <w:noProof/>
              <w:sz w:val="16"/>
            </w:rPr>
          </w:pPr>
          <w:r w:rsidRPr="00ED469F">
            <w:rPr>
              <w:rFonts w:ascii="Sylfaen" w:hAnsi="Sylfaen"/>
              <w:noProof/>
              <w:sz w:val="16"/>
            </w:rPr>
            <w:t>21 თებერვალი 2013  საქართველოს მთავრობა  დადგენილება N 36</w:t>
          </w:r>
        </w:p>
      </w:tc>
      <w:tc>
        <w:tcPr>
          <w:tcW w:w="5090" w:type="dxa"/>
          <w:shd w:val="clear" w:color="auto" w:fill="auto"/>
        </w:tcPr>
        <w:p w:rsidR="00ED469F" w:rsidRPr="00ED469F" w:rsidRDefault="00ED469F" w:rsidP="00ED469F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  <w:r w:rsidRPr="00ED469F">
            <w:rPr>
              <w:rFonts w:ascii="Sylfaen" w:hAnsi="Sylfaen"/>
              <w:noProof/>
              <w:sz w:val="16"/>
            </w:rPr>
            <w:t xml:space="preserve"> [ ამოღებულია ბაზიდან  : 22 მაისი 2019 ]</w:t>
          </w:r>
        </w:p>
      </w:tc>
    </w:tr>
    <w:tr w:rsidR="00ED469F" w:rsidTr="00ED469F">
      <w:tc>
        <w:tcPr>
          <w:tcW w:w="5090" w:type="dxa"/>
          <w:shd w:val="clear" w:color="auto" w:fill="auto"/>
        </w:tcPr>
        <w:p w:rsidR="00ED469F" w:rsidRDefault="00ED469F" w:rsidP="00ED469F">
          <w:pPr>
            <w:pStyle w:val="Footer"/>
          </w:pPr>
        </w:p>
      </w:tc>
      <w:tc>
        <w:tcPr>
          <w:tcW w:w="5090" w:type="dxa"/>
          <w:shd w:val="clear" w:color="auto" w:fill="auto"/>
        </w:tcPr>
        <w:p w:rsidR="00ED469F" w:rsidRPr="00ED469F" w:rsidRDefault="00ED469F" w:rsidP="00ED469F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  <w:r w:rsidRPr="00ED469F">
            <w:rPr>
              <w:rFonts w:ascii="Sylfaen" w:hAnsi="Sylfaen"/>
              <w:noProof/>
              <w:sz w:val="16"/>
            </w:rPr>
            <w:t xml:space="preserve">კოდიფიცირებული </w:t>
          </w:r>
        </w:p>
      </w:tc>
    </w:tr>
  </w:tbl>
  <w:p w:rsidR="00ED469F" w:rsidRPr="00ED469F" w:rsidRDefault="00ED469F" w:rsidP="00ED4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9F" w:rsidRDefault="00ED4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BC" w:rsidRDefault="008F5FBC" w:rsidP="00ED469F">
      <w:r>
        <w:separator/>
      </w:r>
    </w:p>
  </w:footnote>
  <w:footnote w:type="continuationSeparator" w:id="0">
    <w:p w:rsidR="008F5FBC" w:rsidRDefault="008F5FBC" w:rsidP="00ED4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9F" w:rsidRDefault="00ED4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ED469F" w:rsidTr="00ED469F">
      <w:tc>
        <w:tcPr>
          <w:tcW w:w="5090" w:type="dxa"/>
          <w:shd w:val="clear" w:color="auto" w:fill="auto"/>
        </w:tcPr>
        <w:p w:rsidR="00ED469F" w:rsidRDefault="00ED469F" w:rsidP="00ED469F">
          <w:pPr>
            <w:pStyle w:val="Header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ED469F" w:rsidRDefault="00ED469F" w:rsidP="00ED469F">
          <w:pPr>
            <w:pStyle w:val="Head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D18D4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ED18D4">
              <w:rPr>
                <w:noProof/>
              </w:rPr>
              <w:t>2</w:t>
            </w:r>
          </w:fldSimple>
        </w:p>
      </w:tc>
    </w:tr>
  </w:tbl>
  <w:p w:rsidR="00ED469F" w:rsidRPr="00ED469F" w:rsidRDefault="00ED469F" w:rsidP="00ED46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9F" w:rsidRDefault="00ED46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58CC"/>
    <w:multiLevelType w:val="hybridMultilevel"/>
    <w:tmpl w:val="B1A6A4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0403C1"/>
    <w:multiLevelType w:val="hybridMultilevel"/>
    <w:tmpl w:val="7E04D4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9F"/>
    <w:rsid w:val="00015732"/>
    <w:rsid w:val="00077688"/>
    <w:rsid w:val="007201F0"/>
    <w:rsid w:val="008F5FBC"/>
    <w:rsid w:val="00B10C2C"/>
    <w:rsid w:val="00BE195E"/>
    <w:rsid w:val="00BF696C"/>
    <w:rsid w:val="00E77D9D"/>
    <w:rsid w:val="00ED18D4"/>
    <w:rsid w:val="00ED469F"/>
    <w:rsid w:val="00F0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ED469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69F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ED469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69F"/>
    <w:rPr>
      <w:rFonts w:ascii="Times New Roman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unhideWhenUsed/>
    <w:rsid w:val="00ED469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69F"/>
    <w:rPr>
      <w:rFonts w:ascii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ED469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69F"/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Tea Tavidashvili</cp:lastModifiedBy>
  <cp:revision>2</cp:revision>
  <dcterms:created xsi:type="dcterms:W3CDTF">2019-05-23T07:43:00Z</dcterms:created>
  <dcterms:modified xsi:type="dcterms:W3CDTF">2019-05-23T07:43:00Z</dcterms:modified>
</cp:coreProperties>
</file>