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3CC" w:rsidRPr="00223B9E" w:rsidRDefault="00E603CC" w:rsidP="00E603CC">
      <w:pPr>
        <w:pStyle w:val="Otsikko"/>
        <w:rPr>
          <w:lang w:val="en-GB"/>
        </w:rPr>
      </w:pPr>
      <w:r w:rsidRPr="00223B9E">
        <w:rPr>
          <w:lang w:val="en-GB"/>
        </w:rPr>
        <w:t xml:space="preserve">Agreement on </w:t>
      </w:r>
      <w:r w:rsidR="00290852">
        <w:rPr>
          <w:lang w:val="en-GB"/>
        </w:rPr>
        <w:t>use of</w:t>
      </w:r>
      <w:r w:rsidRPr="00223B9E">
        <w:rPr>
          <w:lang w:val="en-GB"/>
        </w:rPr>
        <w:t xml:space="preserve"> </w:t>
      </w:r>
      <w:proofErr w:type="spellStart"/>
      <w:r w:rsidRPr="00223B9E">
        <w:rPr>
          <w:lang w:val="en-GB"/>
        </w:rPr>
        <w:t>NordDRG</w:t>
      </w:r>
      <w:proofErr w:type="spellEnd"/>
      <w:r w:rsidRPr="00223B9E">
        <w:rPr>
          <w:lang w:val="en-GB"/>
        </w:rPr>
        <w:t xml:space="preserve"> system </w:t>
      </w:r>
      <w:r w:rsidR="00290852">
        <w:rPr>
          <w:lang w:val="en-GB"/>
        </w:rPr>
        <w:t>in Georgia</w:t>
      </w:r>
    </w:p>
    <w:p w:rsidR="00E603CC" w:rsidRPr="00223B9E" w:rsidRDefault="00E603CC" w:rsidP="00E603CC">
      <w:pPr>
        <w:rPr>
          <w:lang w:val="en-GB"/>
        </w:rPr>
      </w:pPr>
    </w:p>
    <w:p w:rsidR="00E603CC" w:rsidRPr="00223B9E" w:rsidRDefault="00E603CC" w:rsidP="00E603CC">
      <w:pPr>
        <w:rPr>
          <w:lang w:val="en-GB"/>
        </w:rPr>
      </w:pPr>
      <w:r w:rsidRPr="00223B9E">
        <w:rPr>
          <w:lang w:val="en-GB"/>
        </w:rPr>
        <w:t>The Nordic Casemix Centre</w:t>
      </w:r>
      <w:r>
        <w:rPr>
          <w:lang w:val="en-GB"/>
        </w:rPr>
        <w:t xml:space="preserve"> </w:t>
      </w:r>
      <w:r w:rsidRPr="00223B9E">
        <w:rPr>
          <w:lang w:val="en-GB"/>
        </w:rPr>
        <w:t xml:space="preserve">(Centre) </w:t>
      </w:r>
      <w:proofErr w:type="gramStart"/>
      <w:r w:rsidRPr="00223B9E">
        <w:rPr>
          <w:lang w:val="en-GB"/>
        </w:rPr>
        <w:t xml:space="preserve">and </w:t>
      </w:r>
      <w:r>
        <w:rPr>
          <w:lang w:val="en-GB"/>
        </w:rPr>
        <w:t xml:space="preserve"> </w:t>
      </w:r>
      <w:r w:rsidR="00290852">
        <w:rPr>
          <w:lang w:val="en-US"/>
        </w:rPr>
        <w:t>xxx</w:t>
      </w:r>
      <w:proofErr w:type="gramEnd"/>
      <w:r w:rsidR="00290852">
        <w:rPr>
          <w:lang w:val="en-US"/>
        </w:rPr>
        <w:t>, Georgia</w:t>
      </w:r>
      <w:r w:rsidRPr="00223B9E">
        <w:rPr>
          <w:lang w:val="en-GB"/>
        </w:rPr>
        <w:t xml:space="preserve"> have agreed on the following terms with relation to the </w:t>
      </w:r>
      <w:proofErr w:type="spellStart"/>
      <w:r w:rsidRPr="00223B9E">
        <w:rPr>
          <w:lang w:val="en-GB"/>
        </w:rPr>
        <w:t>NordDRG</w:t>
      </w:r>
      <w:proofErr w:type="spellEnd"/>
      <w:r w:rsidRPr="00223B9E">
        <w:rPr>
          <w:lang w:val="en-GB"/>
        </w:rPr>
        <w:t xml:space="preserve"> </w:t>
      </w:r>
      <w:r w:rsidR="00290852">
        <w:rPr>
          <w:lang w:val="en-GB"/>
        </w:rPr>
        <w:t>use in Georgia</w:t>
      </w:r>
      <w:r w:rsidRPr="00223B9E">
        <w:rPr>
          <w:lang w:val="en-GB"/>
        </w:rPr>
        <w:t>.</w:t>
      </w:r>
    </w:p>
    <w:p w:rsidR="00E603CC" w:rsidRPr="00E603CC" w:rsidRDefault="00E603CC" w:rsidP="00E603CC">
      <w:pPr>
        <w:pStyle w:val="Otsikko2"/>
        <w:rPr>
          <w:lang w:val="sv-SE"/>
        </w:rPr>
      </w:pPr>
      <w:proofErr w:type="spellStart"/>
      <w:r w:rsidRPr="00E603CC">
        <w:rPr>
          <w:lang w:val="sv-SE"/>
        </w:rPr>
        <w:t>Participants</w:t>
      </w:r>
      <w:proofErr w:type="spellEnd"/>
    </w:p>
    <w:p w:rsidR="00E603CC" w:rsidRPr="00E603CC" w:rsidRDefault="00E603CC" w:rsidP="00E603CC">
      <w:pPr>
        <w:rPr>
          <w:lang w:val="sv-SE"/>
        </w:rPr>
      </w:pPr>
      <w:proofErr w:type="spellStart"/>
      <w:r w:rsidRPr="00E603CC">
        <w:rPr>
          <w:lang w:val="sv-SE"/>
        </w:rPr>
        <w:t>Producer</w:t>
      </w:r>
      <w:proofErr w:type="spellEnd"/>
      <w:r w:rsidRPr="00E603CC">
        <w:rPr>
          <w:lang w:val="sv-SE"/>
        </w:rPr>
        <w:t xml:space="preserve">: </w:t>
      </w:r>
    </w:p>
    <w:p w:rsidR="00E603CC" w:rsidRPr="00E603CC" w:rsidRDefault="00E603CC" w:rsidP="00E603CC">
      <w:r w:rsidRPr="00E603CC">
        <w:rPr>
          <w:lang w:val="sv-SE"/>
        </w:rPr>
        <w:t>Nordic Casemix Center (Nordiskt center för patientgruppering r.f.)</w:t>
      </w:r>
      <w:r w:rsidRPr="00E603CC">
        <w:rPr>
          <w:lang w:val="sv-SE"/>
        </w:rPr>
        <w:br/>
      </w:r>
      <w:proofErr w:type="spellStart"/>
      <w:r w:rsidRPr="00E603CC">
        <w:t>Kuntatalo</w:t>
      </w:r>
      <w:proofErr w:type="spellEnd"/>
      <w:r w:rsidRPr="00E603CC">
        <w:t>, Toinen linja 14, 00530 Helsinki, Finland</w:t>
      </w:r>
      <w:r w:rsidRPr="00E603CC">
        <w:br/>
      </w:r>
      <w:proofErr w:type="spellStart"/>
      <w:r w:rsidRPr="00E603CC">
        <w:t>Contact</w:t>
      </w:r>
      <w:proofErr w:type="spellEnd"/>
      <w:r w:rsidRPr="00E603CC">
        <w:t xml:space="preserve"> person: Martti Virtanen</w:t>
      </w:r>
    </w:p>
    <w:p w:rsidR="00E603CC" w:rsidRPr="00E603CC" w:rsidRDefault="00E603CC" w:rsidP="00E603CC"/>
    <w:p w:rsidR="00E603CC" w:rsidRPr="00E603CC" w:rsidRDefault="00E603CC" w:rsidP="00E603CC">
      <w:proofErr w:type="spellStart"/>
      <w:r w:rsidRPr="00E603CC">
        <w:t>Customer</w:t>
      </w:r>
      <w:proofErr w:type="spellEnd"/>
      <w:r w:rsidRPr="00E603CC">
        <w:t>:</w:t>
      </w:r>
    </w:p>
    <w:p w:rsidR="00E603CC" w:rsidRDefault="00290852" w:rsidP="00E603CC">
      <w:pPr>
        <w:rPr>
          <w:lang w:val="en-US"/>
        </w:rPr>
      </w:pPr>
      <w:proofErr w:type="spellStart"/>
      <w:r>
        <w:rPr>
          <w:lang w:val="en-US"/>
        </w:rPr>
        <w:t>xxxx</w:t>
      </w:r>
      <w:proofErr w:type="spellEnd"/>
    </w:p>
    <w:p w:rsidR="00E603CC" w:rsidRDefault="00290852" w:rsidP="00E603CC">
      <w:pPr>
        <w:rPr>
          <w:lang w:val="en-US"/>
        </w:rPr>
      </w:pPr>
      <w:r>
        <w:rPr>
          <w:lang w:val="en-US"/>
        </w:rPr>
        <w:t>Georgia</w:t>
      </w:r>
    </w:p>
    <w:p w:rsidR="00E603CC" w:rsidRPr="00223B9E" w:rsidRDefault="00E603CC" w:rsidP="00E603CC">
      <w:pPr>
        <w:rPr>
          <w:lang w:val="en-GB"/>
        </w:rPr>
      </w:pPr>
      <w:r w:rsidRPr="00223B9E">
        <w:rPr>
          <w:lang w:val="en-GB"/>
        </w:rPr>
        <w:t xml:space="preserve">Contact person: </w:t>
      </w:r>
      <w:proofErr w:type="spellStart"/>
      <w:r w:rsidR="00290852">
        <w:rPr>
          <w:lang w:val="en-GB"/>
        </w:rPr>
        <w:t>xxxx</w:t>
      </w:r>
      <w:proofErr w:type="spellEnd"/>
    </w:p>
    <w:p w:rsidR="00E603CC" w:rsidRPr="00223B9E" w:rsidRDefault="00E603CC" w:rsidP="00E603CC">
      <w:pPr>
        <w:rPr>
          <w:lang w:val="en-GB"/>
        </w:rPr>
      </w:pPr>
    </w:p>
    <w:p w:rsidR="00E603CC" w:rsidRPr="00223B9E" w:rsidRDefault="00E603CC" w:rsidP="00E603CC">
      <w:pPr>
        <w:rPr>
          <w:b/>
          <w:bCs/>
          <w:i/>
          <w:iCs/>
          <w:lang w:val="en-GB"/>
        </w:rPr>
      </w:pPr>
      <w:r w:rsidRPr="00223B9E">
        <w:rPr>
          <w:lang w:val="en-GB"/>
        </w:rPr>
        <w:t xml:space="preserve">This agreement is applied to the NordDRG casemix system owned by the national health authorities in Nordic countries represented by </w:t>
      </w:r>
      <w:proofErr w:type="spellStart"/>
      <w:r w:rsidRPr="00223B9E">
        <w:rPr>
          <w:lang w:val="en-GB"/>
        </w:rPr>
        <w:t>Sundhedsstyrelsen</w:t>
      </w:r>
      <w:proofErr w:type="spellEnd"/>
      <w:r w:rsidRPr="00223B9E">
        <w:rPr>
          <w:lang w:val="en-GB"/>
        </w:rPr>
        <w:t xml:space="preserve"> in Denmark, </w:t>
      </w:r>
      <w:proofErr w:type="spellStart"/>
      <w:r w:rsidRPr="00223B9E">
        <w:rPr>
          <w:lang w:val="en-GB"/>
        </w:rPr>
        <w:t>Suomen</w:t>
      </w:r>
      <w:proofErr w:type="spellEnd"/>
      <w:r w:rsidRPr="00223B9E">
        <w:rPr>
          <w:lang w:val="en-GB"/>
        </w:rPr>
        <w:t xml:space="preserve"> </w:t>
      </w:r>
      <w:proofErr w:type="spellStart"/>
      <w:r w:rsidRPr="00223B9E">
        <w:rPr>
          <w:lang w:val="en-GB"/>
        </w:rPr>
        <w:t>Kuntaliitto</w:t>
      </w:r>
      <w:proofErr w:type="spellEnd"/>
      <w:r w:rsidRPr="00223B9E">
        <w:rPr>
          <w:lang w:val="en-GB"/>
        </w:rPr>
        <w:t xml:space="preserve"> in Finland, Ministry of Health in Iceland, </w:t>
      </w:r>
      <w:proofErr w:type="spellStart"/>
      <w:r w:rsidRPr="00223B9E">
        <w:rPr>
          <w:lang w:val="en-GB"/>
        </w:rPr>
        <w:t>Helsedirektoratet</w:t>
      </w:r>
      <w:proofErr w:type="spellEnd"/>
      <w:r w:rsidRPr="00223B9E">
        <w:rPr>
          <w:lang w:val="en-GB"/>
        </w:rPr>
        <w:t xml:space="preserve"> in Norway and </w:t>
      </w:r>
      <w:proofErr w:type="spellStart"/>
      <w:r w:rsidRPr="00223B9E">
        <w:rPr>
          <w:lang w:val="en-GB"/>
        </w:rPr>
        <w:t>Socialstyrelsen</w:t>
      </w:r>
      <w:proofErr w:type="spellEnd"/>
      <w:r w:rsidRPr="00223B9E">
        <w:rPr>
          <w:lang w:val="en-GB"/>
        </w:rPr>
        <w:t xml:space="preserve"> in Sweden. The system is run by the Centre steered by an executive board with representatives from all of the owner countries.</w:t>
      </w:r>
    </w:p>
    <w:p w:rsidR="00E603CC" w:rsidRPr="00223B9E" w:rsidRDefault="00E603CC" w:rsidP="00E603CC">
      <w:pPr>
        <w:rPr>
          <w:lang w:val="en-GB"/>
        </w:rPr>
      </w:pPr>
    </w:p>
    <w:p w:rsidR="00E603CC" w:rsidRPr="00223B9E" w:rsidRDefault="00E603CC" w:rsidP="00E603CC">
      <w:pPr>
        <w:pStyle w:val="Otsikko2"/>
        <w:rPr>
          <w:lang w:val="en-GB"/>
        </w:rPr>
      </w:pPr>
      <w:r w:rsidRPr="00223B9E">
        <w:rPr>
          <w:lang w:val="en-GB"/>
        </w:rPr>
        <w:t>Content of the agreement</w:t>
      </w:r>
    </w:p>
    <w:p w:rsidR="00E603CC" w:rsidRPr="00223B9E" w:rsidRDefault="00E603CC" w:rsidP="00E603CC">
      <w:pPr>
        <w:numPr>
          <w:ilvl w:val="0"/>
          <w:numId w:val="1"/>
        </w:numPr>
        <w:autoSpaceDE w:val="0"/>
        <w:autoSpaceDN w:val="0"/>
        <w:spacing w:before="120" w:after="120"/>
        <w:rPr>
          <w:b/>
          <w:bCs/>
          <w:lang w:val="en-GB"/>
        </w:rPr>
      </w:pPr>
      <w:r w:rsidRPr="00223B9E">
        <w:rPr>
          <w:b/>
          <w:bCs/>
          <w:lang w:val="en-GB"/>
        </w:rPr>
        <w:t xml:space="preserve">Financial liabilities </w:t>
      </w:r>
    </w:p>
    <w:p w:rsidR="00290852" w:rsidRDefault="00E603CC" w:rsidP="00E603CC">
      <w:pPr>
        <w:ind w:left="360"/>
        <w:rPr>
          <w:lang w:val="en-GB"/>
        </w:rPr>
      </w:pPr>
      <w:r w:rsidRPr="00223B9E">
        <w:rPr>
          <w:lang w:val="en-GB"/>
        </w:rPr>
        <w:t xml:space="preserve">The activity at the Centre is financed through membership fees and payments for updating and maintenance of the NordDRG system. </w:t>
      </w:r>
    </w:p>
    <w:p w:rsidR="00290852" w:rsidRDefault="00290852" w:rsidP="00E603CC">
      <w:pPr>
        <w:ind w:left="360"/>
        <w:rPr>
          <w:lang w:val="en-GB"/>
        </w:rPr>
      </w:pPr>
      <w:r>
        <w:rPr>
          <w:lang w:val="en-GB"/>
        </w:rPr>
        <w:t xml:space="preserve">The agreement with Georgia does not include updating and maintenance. </w:t>
      </w:r>
    </w:p>
    <w:p w:rsidR="00E603CC" w:rsidRPr="00223B9E" w:rsidRDefault="00E603CC" w:rsidP="00E603CC">
      <w:pPr>
        <w:ind w:left="360"/>
        <w:rPr>
          <w:lang w:val="en-GB"/>
        </w:rPr>
      </w:pPr>
      <w:r w:rsidRPr="00223B9E">
        <w:rPr>
          <w:lang w:val="en-GB"/>
        </w:rPr>
        <w:t xml:space="preserve">The payment </w:t>
      </w:r>
      <w:r w:rsidR="00290852">
        <w:rPr>
          <w:lang w:val="en-GB"/>
        </w:rPr>
        <w:t>of</w:t>
      </w:r>
      <w:r w:rsidRPr="00223B9E">
        <w:rPr>
          <w:lang w:val="en-GB"/>
        </w:rPr>
        <w:t xml:space="preserve"> </w:t>
      </w:r>
      <w:r w:rsidR="00290852">
        <w:rPr>
          <w:lang w:val="en-GB"/>
        </w:rPr>
        <w:t xml:space="preserve">Georgia for this permanent license </w:t>
      </w:r>
      <w:r w:rsidRPr="00223B9E">
        <w:rPr>
          <w:lang w:val="en-GB"/>
        </w:rPr>
        <w:t xml:space="preserve">is </w:t>
      </w:r>
      <w:bookmarkStart w:id="0" w:name="RANGE!A2"/>
      <w:bookmarkEnd w:id="0"/>
      <w:r w:rsidR="00810CB3">
        <w:rPr>
          <w:lang w:val="en-GB"/>
        </w:rPr>
        <w:t>2’0</w:t>
      </w:r>
      <w:r w:rsidRPr="00223B9E">
        <w:rPr>
          <w:lang w:val="en-GB"/>
        </w:rPr>
        <w:t>00 EUR.</w:t>
      </w:r>
    </w:p>
    <w:p w:rsidR="00D86E30" w:rsidRDefault="00D86E30" w:rsidP="00E603CC">
      <w:pPr>
        <w:ind w:left="360"/>
        <w:rPr>
          <w:b/>
          <w:bCs/>
          <w:lang w:val="en-GB"/>
        </w:rPr>
      </w:pPr>
    </w:p>
    <w:p w:rsidR="00E603CC" w:rsidRPr="00223B9E" w:rsidRDefault="00E603CC" w:rsidP="00E603CC">
      <w:pPr>
        <w:numPr>
          <w:ilvl w:val="0"/>
          <w:numId w:val="1"/>
        </w:numPr>
        <w:autoSpaceDE w:val="0"/>
        <w:autoSpaceDN w:val="0"/>
        <w:spacing w:before="120" w:after="120"/>
        <w:rPr>
          <w:b/>
          <w:bCs/>
          <w:lang w:val="en-GB"/>
        </w:rPr>
      </w:pPr>
      <w:r w:rsidRPr="00223B9E">
        <w:rPr>
          <w:b/>
          <w:bCs/>
          <w:lang w:val="en-GB"/>
        </w:rPr>
        <w:t>Coverage</w:t>
      </w:r>
    </w:p>
    <w:p w:rsidR="00446799" w:rsidRDefault="00290852" w:rsidP="00E603CC">
      <w:pPr>
        <w:ind w:left="360"/>
        <w:rPr>
          <w:lang w:val="en-GB"/>
        </w:rPr>
      </w:pPr>
      <w:r>
        <w:rPr>
          <w:lang w:val="en-GB"/>
        </w:rPr>
        <w:t>This agreement</w:t>
      </w:r>
      <w:r>
        <w:rPr>
          <w:lang w:val="en-GB"/>
        </w:rPr>
        <w:t xml:space="preserve"> gives Georgia a permanent right to use </w:t>
      </w:r>
      <w:proofErr w:type="spellStart"/>
      <w:r>
        <w:rPr>
          <w:lang w:val="en-GB"/>
        </w:rPr>
        <w:t>NordDRG</w:t>
      </w:r>
      <w:proofErr w:type="spellEnd"/>
      <w:r>
        <w:rPr>
          <w:lang w:val="en-GB"/>
        </w:rPr>
        <w:t xml:space="preserve"> 2018 based grouper both in hospitals and in administration within Georgia. </w:t>
      </w:r>
      <w:r w:rsidR="00E603CC" w:rsidRPr="00223B9E">
        <w:rPr>
          <w:lang w:val="en-GB"/>
        </w:rPr>
        <w:t xml:space="preserve">This agreement </w:t>
      </w:r>
      <w:r>
        <w:rPr>
          <w:lang w:val="en-GB"/>
        </w:rPr>
        <w:t xml:space="preserve">does not </w:t>
      </w:r>
      <w:r w:rsidR="00E603CC" w:rsidRPr="00223B9E">
        <w:rPr>
          <w:lang w:val="en-GB"/>
        </w:rPr>
        <w:t xml:space="preserve">cover </w:t>
      </w:r>
      <w:r>
        <w:rPr>
          <w:lang w:val="en-GB"/>
        </w:rPr>
        <w:t>any</w:t>
      </w:r>
      <w:r w:rsidR="00E603CC" w:rsidRPr="00223B9E">
        <w:rPr>
          <w:lang w:val="en-GB"/>
        </w:rPr>
        <w:t xml:space="preserve"> maintenance of the </w:t>
      </w:r>
      <w:proofErr w:type="spellStart"/>
      <w:r w:rsidR="00E603CC" w:rsidRPr="00223B9E">
        <w:rPr>
          <w:lang w:val="en-GB"/>
        </w:rPr>
        <w:t>NordDRG</w:t>
      </w:r>
      <w:proofErr w:type="spellEnd"/>
      <w:r w:rsidR="00E603CC" w:rsidRPr="00223B9E">
        <w:rPr>
          <w:lang w:val="en-GB"/>
        </w:rPr>
        <w:t xml:space="preserve"> system. </w:t>
      </w:r>
    </w:p>
    <w:p w:rsidR="00E603CC" w:rsidRDefault="00E603CC" w:rsidP="00E603CC">
      <w:pPr>
        <w:ind w:left="360"/>
        <w:rPr>
          <w:lang w:val="en-GB"/>
        </w:rPr>
      </w:pPr>
      <w:r w:rsidRPr="00223B9E">
        <w:rPr>
          <w:lang w:val="en-GB"/>
        </w:rPr>
        <w:t xml:space="preserve">The </w:t>
      </w:r>
      <w:proofErr w:type="spellStart"/>
      <w:r w:rsidRPr="00223B9E">
        <w:rPr>
          <w:lang w:val="en-GB"/>
        </w:rPr>
        <w:t>NordDRG</w:t>
      </w:r>
      <w:proofErr w:type="spellEnd"/>
      <w:r w:rsidRPr="00223B9E">
        <w:rPr>
          <w:lang w:val="en-GB"/>
        </w:rPr>
        <w:t xml:space="preserve"> definition tables are produced </w:t>
      </w:r>
      <w:r w:rsidR="00446799">
        <w:rPr>
          <w:lang w:val="en-GB"/>
        </w:rPr>
        <w:t>from</w:t>
      </w:r>
      <w:r w:rsidRPr="00223B9E">
        <w:rPr>
          <w:lang w:val="en-GB"/>
        </w:rPr>
        <w:t xml:space="preserve"> </w:t>
      </w:r>
      <w:r w:rsidR="00446799">
        <w:rPr>
          <w:lang w:val="en-GB"/>
        </w:rPr>
        <w:t>the combined</w:t>
      </w:r>
      <w:r w:rsidRPr="00223B9E">
        <w:rPr>
          <w:lang w:val="en-GB"/>
        </w:rPr>
        <w:t xml:space="preserve"> </w:t>
      </w:r>
      <w:proofErr w:type="spellStart"/>
      <w:r w:rsidR="00446799">
        <w:rPr>
          <w:lang w:val="en-GB"/>
        </w:rPr>
        <w:t>NordDRG</w:t>
      </w:r>
      <w:proofErr w:type="spellEnd"/>
      <w:r w:rsidR="00446799">
        <w:rPr>
          <w:lang w:val="en-GB"/>
        </w:rPr>
        <w:t xml:space="preserve"> maintenance database based on Latvian</w:t>
      </w:r>
      <w:r w:rsidRPr="00223B9E">
        <w:rPr>
          <w:lang w:val="en-GB"/>
        </w:rPr>
        <w:t xml:space="preserve"> version </w:t>
      </w:r>
      <w:r w:rsidR="00446799">
        <w:rPr>
          <w:lang w:val="en-GB"/>
        </w:rPr>
        <w:t xml:space="preserve">using Georgian national ICD-10 and NCSP codes (with English text) delivered by Georgia. </w:t>
      </w:r>
    </w:p>
    <w:p w:rsidR="00446799" w:rsidRPr="00223B9E" w:rsidRDefault="00446799" w:rsidP="00E603CC">
      <w:pPr>
        <w:ind w:left="360"/>
        <w:rPr>
          <w:lang w:val="en-GB"/>
        </w:rPr>
      </w:pPr>
      <w:r>
        <w:rPr>
          <w:lang w:val="en-GB"/>
        </w:rPr>
        <w:t xml:space="preserve">Georgia may use the delivered definition tables for development of national DRG system. The name of such system must differentiate it from </w:t>
      </w:r>
      <w:proofErr w:type="spellStart"/>
      <w:proofErr w:type="gramStart"/>
      <w:r>
        <w:rPr>
          <w:lang w:val="en-GB"/>
        </w:rPr>
        <w:t>NordDRG</w:t>
      </w:r>
      <w:proofErr w:type="spellEnd"/>
      <w:proofErr w:type="gramEnd"/>
      <w:r>
        <w:rPr>
          <w:lang w:val="en-GB"/>
        </w:rPr>
        <w:t xml:space="preserve"> but the documentation must indicate that it is based on </w:t>
      </w:r>
      <w:proofErr w:type="spellStart"/>
      <w:r>
        <w:rPr>
          <w:lang w:val="en-GB"/>
        </w:rPr>
        <w:t>NordDRG</w:t>
      </w:r>
      <w:proofErr w:type="spellEnd"/>
      <w:r>
        <w:rPr>
          <w:lang w:val="en-GB"/>
        </w:rPr>
        <w:t xml:space="preserve">. </w:t>
      </w:r>
    </w:p>
    <w:p w:rsidR="00E603CC" w:rsidRPr="00223B9E" w:rsidRDefault="00E603CC" w:rsidP="00E603CC">
      <w:pPr>
        <w:numPr>
          <w:ilvl w:val="0"/>
          <w:numId w:val="1"/>
        </w:numPr>
        <w:autoSpaceDE w:val="0"/>
        <w:autoSpaceDN w:val="0"/>
        <w:spacing w:before="120" w:after="120"/>
        <w:rPr>
          <w:b/>
          <w:bCs/>
          <w:lang w:val="en-GB"/>
        </w:rPr>
      </w:pPr>
      <w:r w:rsidRPr="00223B9E">
        <w:rPr>
          <w:b/>
          <w:bCs/>
          <w:lang w:val="en-GB"/>
        </w:rPr>
        <w:t>Duration and renewal</w:t>
      </w:r>
    </w:p>
    <w:p w:rsidR="00E603CC" w:rsidRDefault="00446799" w:rsidP="00E603CC">
      <w:pPr>
        <w:ind w:left="360"/>
        <w:rPr>
          <w:lang w:val="en-GB"/>
        </w:rPr>
      </w:pPr>
      <w:r>
        <w:rPr>
          <w:lang w:val="en-GB"/>
        </w:rPr>
        <w:t xml:space="preserve">The right to use the deliver tables is permanent. </w:t>
      </w:r>
    </w:p>
    <w:p w:rsidR="00E603CC" w:rsidRPr="00223B9E" w:rsidRDefault="00E603CC" w:rsidP="00E603CC">
      <w:pPr>
        <w:numPr>
          <w:ilvl w:val="0"/>
          <w:numId w:val="1"/>
        </w:numPr>
        <w:autoSpaceDE w:val="0"/>
        <w:autoSpaceDN w:val="0"/>
        <w:spacing w:before="120" w:after="120"/>
        <w:rPr>
          <w:b/>
          <w:bCs/>
          <w:lang w:val="en-GB"/>
        </w:rPr>
      </w:pPr>
      <w:r w:rsidRPr="00223B9E">
        <w:rPr>
          <w:b/>
          <w:bCs/>
          <w:lang w:val="en-GB"/>
        </w:rPr>
        <w:t>Responsibilities</w:t>
      </w:r>
    </w:p>
    <w:p w:rsidR="00446799" w:rsidRPr="00223B9E" w:rsidRDefault="00E603CC" w:rsidP="00446799">
      <w:pPr>
        <w:ind w:left="357"/>
        <w:rPr>
          <w:lang w:val="en-GB"/>
        </w:rPr>
      </w:pPr>
      <w:r>
        <w:rPr>
          <w:lang w:val="en-GB"/>
        </w:rPr>
        <w:t xml:space="preserve">The </w:t>
      </w:r>
      <w:r w:rsidR="00446799">
        <w:rPr>
          <w:lang w:val="en-GB"/>
        </w:rPr>
        <w:t>xxx</w:t>
      </w:r>
      <w:r>
        <w:rPr>
          <w:lang w:val="en-GB"/>
        </w:rPr>
        <w:t xml:space="preserve">, </w:t>
      </w:r>
      <w:r w:rsidR="00446799">
        <w:rPr>
          <w:lang w:val="en-GB"/>
        </w:rPr>
        <w:t>Georgia</w:t>
      </w:r>
      <w:r>
        <w:rPr>
          <w:lang w:val="en-GB"/>
        </w:rPr>
        <w:t>,</w:t>
      </w:r>
      <w:r w:rsidRPr="00223B9E">
        <w:rPr>
          <w:lang w:val="en-GB"/>
        </w:rPr>
        <w:t xml:space="preserve"> deliver</w:t>
      </w:r>
      <w:r w:rsidR="00446799">
        <w:rPr>
          <w:lang w:val="en-GB"/>
        </w:rPr>
        <w:t>s</w:t>
      </w:r>
      <w:r w:rsidRPr="00223B9E">
        <w:rPr>
          <w:lang w:val="en-GB"/>
        </w:rPr>
        <w:t xml:space="preserve"> valid versions of the national primary classification to the Centre. </w:t>
      </w:r>
    </w:p>
    <w:p w:rsidR="00E603CC" w:rsidRPr="00223B9E" w:rsidRDefault="00E603CC" w:rsidP="00E603CC">
      <w:pPr>
        <w:ind w:left="357"/>
        <w:rPr>
          <w:lang w:val="en-GB"/>
        </w:rPr>
      </w:pPr>
    </w:p>
    <w:p w:rsidR="00E603CC" w:rsidRPr="00223B9E" w:rsidRDefault="00E603CC" w:rsidP="00E603CC">
      <w:pPr>
        <w:keepNext/>
        <w:numPr>
          <w:ilvl w:val="0"/>
          <w:numId w:val="1"/>
        </w:numPr>
        <w:autoSpaceDE w:val="0"/>
        <w:autoSpaceDN w:val="0"/>
        <w:spacing w:before="120" w:after="120"/>
        <w:ind w:left="357"/>
        <w:rPr>
          <w:b/>
          <w:bCs/>
          <w:lang w:val="en-GB"/>
        </w:rPr>
      </w:pPr>
      <w:r w:rsidRPr="00223B9E">
        <w:rPr>
          <w:b/>
          <w:bCs/>
          <w:lang w:val="en-GB"/>
        </w:rPr>
        <w:lastRenderedPageBreak/>
        <w:t>Disputes</w:t>
      </w:r>
    </w:p>
    <w:p w:rsidR="00E603CC" w:rsidRPr="00223B9E" w:rsidRDefault="00E603CC" w:rsidP="00E603CC">
      <w:pPr>
        <w:keepNext/>
        <w:ind w:left="357"/>
        <w:rPr>
          <w:lang w:val="en-GB"/>
        </w:rPr>
      </w:pPr>
      <w:r w:rsidRPr="00223B9E">
        <w:rPr>
          <w:lang w:val="en-GB"/>
        </w:rPr>
        <w:t xml:space="preserve">Disputes about the interpretation of application of this agreement should be solved through mutual discussions of the Steering board of the Centre and the parties. If discussions will not solve the problem, it must be taken to court in Helsinki. </w:t>
      </w:r>
    </w:p>
    <w:p w:rsidR="00E603CC" w:rsidRPr="00223B9E" w:rsidRDefault="00E603CC" w:rsidP="00E603CC">
      <w:pPr>
        <w:numPr>
          <w:ilvl w:val="0"/>
          <w:numId w:val="1"/>
        </w:numPr>
        <w:autoSpaceDE w:val="0"/>
        <w:autoSpaceDN w:val="0"/>
        <w:spacing w:before="120" w:after="120"/>
        <w:rPr>
          <w:b/>
          <w:bCs/>
          <w:lang w:val="en-GB"/>
        </w:rPr>
      </w:pPr>
      <w:r w:rsidRPr="00223B9E">
        <w:rPr>
          <w:b/>
          <w:bCs/>
          <w:lang w:val="en-GB"/>
        </w:rPr>
        <w:t>Signatures</w:t>
      </w:r>
    </w:p>
    <w:p w:rsidR="00E603CC" w:rsidRPr="00223B9E" w:rsidRDefault="00E603CC" w:rsidP="00E603CC">
      <w:pPr>
        <w:ind w:left="360"/>
        <w:rPr>
          <w:lang w:val="en-GB"/>
        </w:rPr>
      </w:pPr>
      <w:r w:rsidRPr="00223B9E">
        <w:rPr>
          <w:lang w:val="en-GB"/>
        </w:rPr>
        <w:t xml:space="preserve">This agreement is written in two (2) identical copies, one for each part. </w:t>
      </w:r>
    </w:p>
    <w:p w:rsidR="00E603CC" w:rsidRPr="00223B9E" w:rsidRDefault="00E603CC" w:rsidP="00E603CC">
      <w:pPr>
        <w:ind w:left="360"/>
        <w:rPr>
          <w:lang w:val="en-GB"/>
        </w:rPr>
      </w:pPr>
    </w:p>
    <w:p w:rsidR="00E603CC" w:rsidRPr="00223B9E" w:rsidRDefault="00E603CC" w:rsidP="00E603CC">
      <w:pPr>
        <w:ind w:left="360"/>
        <w:rPr>
          <w:rFonts w:cs="Arial"/>
          <w:sz w:val="16"/>
          <w:szCs w:val="16"/>
          <w:lang w:val="en-GB"/>
        </w:rPr>
      </w:pPr>
      <w:r w:rsidRPr="00223B9E">
        <w:rPr>
          <w:lang w:val="en-GB"/>
        </w:rPr>
        <w:t xml:space="preserve">Nordic Casemix Centre </w:t>
      </w:r>
      <w:r w:rsidRPr="00223B9E">
        <w:rPr>
          <w:szCs w:val="23"/>
          <w:lang w:val="en-GB"/>
        </w:rPr>
        <w:tab/>
      </w:r>
      <w:r w:rsidRPr="00223B9E">
        <w:rPr>
          <w:szCs w:val="23"/>
          <w:lang w:val="en-GB"/>
        </w:rPr>
        <w:tab/>
      </w:r>
      <w:r>
        <w:rPr>
          <w:szCs w:val="23"/>
          <w:lang w:val="en-GB"/>
        </w:rPr>
        <w:tab/>
      </w:r>
      <w:proofErr w:type="spellStart"/>
      <w:r>
        <w:rPr>
          <w:rFonts w:cs="Arial"/>
          <w:lang w:val="en-GB"/>
        </w:rPr>
        <w:t>Centre</w:t>
      </w:r>
      <w:proofErr w:type="spellEnd"/>
      <w:r>
        <w:rPr>
          <w:rFonts w:cs="Arial"/>
          <w:lang w:val="en-GB"/>
        </w:rPr>
        <w:t xml:space="preserve"> of Health </w:t>
      </w:r>
      <w:proofErr w:type="spellStart"/>
      <w:r>
        <w:rPr>
          <w:rFonts w:cs="Arial"/>
          <w:lang w:val="en-GB"/>
        </w:rPr>
        <w:t>Econmics</w:t>
      </w:r>
      <w:proofErr w:type="spellEnd"/>
      <w:r>
        <w:rPr>
          <w:rFonts w:cs="Arial"/>
          <w:lang w:val="en-GB"/>
        </w:rPr>
        <w:t>, Latvia</w:t>
      </w:r>
    </w:p>
    <w:p w:rsidR="00E603CC" w:rsidRPr="00223B9E" w:rsidRDefault="00E603CC" w:rsidP="00E603CC">
      <w:pPr>
        <w:rPr>
          <w:szCs w:val="23"/>
          <w:lang w:val="en-GB"/>
        </w:rPr>
      </w:pPr>
    </w:p>
    <w:p w:rsidR="00E603CC" w:rsidRPr="00223B9E" w:rsidRDefault="00E603CC" w:rsidP="00E603CC">
      <w:pPr>
        <w:ind w:left="360"/>
        <w:rPr>
          <w:szCs w:val="23"/>
          <w:lang w:val="en-GB"/>
        </w:rPr>
      </w:pPr>
    </w:p>
    <w:p w:rsidR="00E603CC" w:rsidRPr="00E603CC" w:rsidRDefault="00E603CC" w:rsidP="00E603CC">
      <w:pPr>
        <w:ind w:left="360"/>
        <w:rPr>
          <w:szCs w:val="23"/>
        </w:rPr>
      </w:pPr>
      <w:r w:rsidRPr="00E603CC">
        <w:rPr>
          <w:szCs w:val="23"/>
        </w:rPr>
        <w:t>Helsinki</w:t>
      </w:r>
      <w:r w:rsidRPr="00E603CC">
        <w:rPr>
          <w:szCs w:val="23"/>
        </w:rPr>
        <w:tab/>
      </w:r>
      <w:r w:rsidRPr="00E603CC">
        <w:rPr>
          <w:szCs w:val="23"/>
        </w:rPr>
        <w:tab/>
      </w:r>
      <w:r w:rsidRPr="00E603CC">
        <w:rPr>
          <w:szCs w:val="23"/>
        </w:rPr>
        <w:tab/>
      </w:r>
      <w:r w:rsidRPr="00E603CC">
        <w:rPr>
          <w:szCs w:val="23"/>
        </w:rPr>
        <w:tab/>
      </w:r>
      <w:r w:rsidR="00446799">
        <w:rPr>
          <w:szCs w:val="23"/>
        </w:rPr>
        <w:t>xxxx</w:t>
      </w:r>
    </w:p>
    <w:p w:rsidR="00E603CC" w:rsidRPr="00E603CC" w:rsidRDefault="00FB2F3D" w:rsidP="00E603CC">
      <w:pPr>
        <w:ind w:left="360"/>
        <w:rPr>
          <w:szCs w:val="23"/>
        </w:rPr>
      </w:pPr>
      <w:r>
        <w:rPr>
          <w:szCs w:val="23"/>
        </w:rPr>
        <w:t>30/10/2018</w:t>
      </w:r>
      <w:r w:rsidR="00E603CC" w:rsidRPr="00E603CC">
        <w:rPr>
          <w:szCs w:val="23"/>
        </w:rPr>
        <w:tab/>
      </w:r>
      <w:r w:rsidR="00E603CC" w:rsidRPr="00E603CC">
        <w:rPr>
          <w:szCs w:val="23"/>
        </w:rPr>
        <w:tab/>
      </w:r>
      <w:r w:rsidR="00E603CC" w:rsidRPr="00E603CC">
        <w:rPr>
          <w:szCs w:val="23"/>
        </w:rPr>
        <w:tab/>
        <w:t>__/</w:t>
      </w:r>
      <w:r w:rsidR="00446799">
        <w:rPr>
          <w:szCs w:val="23"/>
        </w:rPr>
        <w:t>10</w:t>
      </w:r>
      <w:r w:rsidR="00E603CC" w:rsidRPr="00E603CC">
        <w:rPr>
          <w:szCs w:val="23"/>
        </w:rPr>
        <w:t>/20</w:t>
      </w:r>
      <w:r w:rsidR="00D86E30">
        <w:rPr>
          <w:szCs w:val="23"/>
        </w:rPr>
        <w:t>1</w:t>
      </w:r>
      <w:r>
        <w:rPr>
          <w:szCs w:val="23"/>
        </w:rPr>
        <w:t>8</w:t>
      </w:r>
    </w:p>
    <w:p w:rsidR="00E603CC" w:rsidRPr="00E603CC" w:rsidRDefault="00E603CC" w:rsidP="00E603CC">
      <w:pPr>
        <w:ind w:left="360"/>
        <w:rPr>
          <w:szCs w:val="23"/>
        </w:rPr>
      </w:pPr>
    </w:p>
    <w:p w:rsidR="00E603CC" w:rsidRPr="00E603CC" w:rsidRDefault="00E603CC" w:rsidP="00E603CC">
      <w:pPr>
        <w:ind w:left="360"/>
        <w:rPr>
          <w:szCs w:val="23"/>
        </w:rPr>
      </w:pPr>
    </w:p>
    <w:p w:rsidR="00E603CC" w:rsidRPr="00E603CC" w:rsidRDefault="00E603CC" w:rsidP="00E603CC">
      <w:pPr>
        <w:ind w:left="360"/>
        <w:rPr>
          <w:szCs w:val="23"/>
        </w:rPr>
      </w:pPr>
      <w:r w:rsidRPr="00E603CC">
        <w:rPr>
          <w:szCs w:val="23"/>
        </w:rPr>
        <w:t xml:space="preserve">. . . . . . . . . . . . . . . . . . . . </w:t>
      </w:r>
      <w:r w:rsidRPr="00E603CC">
        <w:rPr>
          <w:szCs w:val="23"/>
        </w:rPr>
        <w:tab/>
      </w:r>
      <w:r w:rsidRPr="00E603CC">
        <w:rPr>
          <w:szCs w:val="23"/>
        </w:rPr>
        <w:tab/>
      </w:r>
      <w:r w:rsidRPr="00E603CC">
        <w:rPr>
          <w:szCs w:val="23"/>
        </w:rPr>
        <w:tab/>
        <w:t xml:space="preserve"> . . . . . . . . . . . . . . . . . . . </w:t>
      </w:r>
    </w:p>
    <w:p w:rsidR="00E603CC" w:rsidRPr="00FB2F3D" w:rsidRDefault="00E603CC" w:rsidP="00E603CC">
      <w:pPr>
        <w:ind w:left="360"/>
        <w:rPr>
          <w:szCs w:val="23"/>
          <w:lang w:val="en-GB"/>
        </w:rPr>
      </w:pPr>
      <w:r w:rsidRPr="00FB2F3D">
        <w:rPr>
          <w:szCs w:val="23"/>
          <w:lang w:val="en-GB"/>
        </w:rPr>
        <w:t>Martti Virtanen</w:t>
      </w:r>
      <w:r w:rsidRPr="00FB2F3D">
        <w:rPr>
          <w:szCs w:val="23"/>
          <w:lang w:val="en-GB"/>
        </w:rPr>
        <w:tab/>
      </w:r>
      <w:r w:rsidRPr="00FB2F3D">
        <w:rPr>
          <w:szCs w:val="23"/>
          <w:lang w:val="en-GB"/>
        </w:rPr>
        <w:tab/>
      </w:r>
      <w:r w:rsidRPr="00FB2F3D">
        <w:rPr>
          <w:szCs w:val="23"/>
          <w:lang w:val="en-GB"/>
        </w:rPr>
        <w:tab/>
      </w:r>
      <w:proofErr w:type="spellStart"/>
      <w:r w:rsidR="00FB2F3D" w:rsidRPr="00FB2F3D">
        <w:rPr>
          <w:szCs w:val="23"/>
          <w:lang w:val="en-GB"/>
        </w:rPr>
        <w:t>xxxx</w:t>
      </w:r>
      <w:proofErr w:type="spellEnd"/>
      <w:r w:rsidRPr="00FB2F3D">
        <w:rPr>
          <w:szCs w:val="23"/>
          <w:lang w:val="en-GB"/>
        </w:rPr>
        <w:t xml:space="preserve"> </w:t>
      </w:r>
    </w:p>
    <w:p w:rsidR="00E603CC" w:rsidRPr="00223B9E" w:rsidRDefault="00E603CC" w:rsidP="00E603CC">
      <w:pPr>
        <w:ind w:left="360"/>
        <w:rPr>
          <w:szCs w:val="23"/>
          <w:lang w:val="en-GB"/>
        </w:rPr>
      </w:pPr>
      <w:r w:rsidRPr="00FB2F3D">
        <w:rPr>
          <w:szCs w:val="23"/>
          <w:lang w:val="en-GB"/>
        </w:rPr>
        <w:t>Managing dire</w:t>
      </w:r>
      <w:r w:rsidRPr="00223B9E">
        <w:rPr>
          <w:szCs w:val="23"/>
          <w:lang w:val="en-GB"/>
        </w:rPr>
        <w:t xml:space="preserve">ctor </w:t>
      </w:r>
      <w:r w:rsidRPr="00223B9E">
        <w:rPr>
          <w:szCs w:val="23"/>
          <w:lang w:val="en-GB"/>
        </w:rPr>
        <w:tab/>
      </w:r>
      <w:r w:rsidRPr="00223B9E">
        <w:rPr>
          <w:szCs w:val="23"/>
          <w:lang w:val="en-GB"/>
        </w:rPr>
        <w:tab/>
      </w:r>
      <w:r>
        <w:rPr>
          <w:szCs w:val="23"/>
          <w:lang w:val="en-GB"/>
        </w:rPr>
        <w:tab/>
      </w:r>
      <w:r w:rsidR="00FB2F3D">
        <w:rPr>
          <w:lang w:val="en-GB"/>
        </w:rPr>
        <w:t>xxxxx</w:t>
      </w:r>
      <w:bookmarkStart w:id="1" w:name="_GoBack"/>
      <w:bookmarkEnd w:id="1"/>
      <w:r w:rsidRPr="00223B9E">
        <w:rPr>
          <w:szCs w:val="23"/>
          <w:lang w:val="en-GB"/>
        </w:rPr>
        <w:tab/>
      </w:r>
      <w:r w:rsidRPr="00223B9E">
        <w:rPr>
          <w:szCs w:val="23"/>
          <w:lang w:val="en-GB"/>
        </w:rPr>
        <w:tab/>
      </w:r>
      <w:r w:rsidRPr="00223B9E">
        <w:rPr>
          <w:szCs w:val="23"/>
          <w:lang w:val="en-GB"/>
        </w:rPr>
        <w:tab/>
      </w:r>
      <w:r w:rsidRPr="00223B9E">
        <w:rPr>
          <w:szCs w:val="23"/>
          <w:lang w:val="en-GB"/>
        </w:rPr>
        <w:tab/>
      </w:r>
    </w:p>
    <w:p w:rsidR="00E603CC" w:rsidRPr="00223B9E" w:rsidRDefault="00E603CC" w:rsidP="00E603CC">
      <w:pPr>
        <w:ind w:left="360"/>
        <w:rPr>
          <w:szCs w:val="23"/>
          <w:lang w:val="en-GB"/>
        </w:rPr>
      </w:pPr>
      <w:r w:rsidRPr="00223B9E">
        <w:rPr>
          <w:szCs w:val="23"/>
          <w:lang w:val="en-GB"/>
        </w:rPr>
        <w:tab/>
      </w:r>
      <w:r w:rsidRPr="00223B9E">
        <w:rPr>
          <w:szCs w:val="23"/>
          <w:lang w:val="en-GB"/>
        </w:rPr>
        <w:tab/>
      </w:r>
      <w:r w:rsidRPr="00223B9E">
        <w:rPr>
          <w:szCs w:val="23"/>
          <w:lang w:val="en-GB"/>
        </w:rPr>
        <w:tab/>
      </w:r>
      <w:r w:rsidRPr="00223B9E">
        <w:rPr>
          <w:szCs w:val="23"/>
          <w:lang w:val="en-GB"/>
        </w:rPr>
        <w:tab/>
      </w:r>
    </w:p>
    <w:p w:rsidR="00E603CC" w:rsidRPr="00223B9E" w:rsidRDefault="00E603CC" w:rsidP="00E603CC">
      <w:pPr>
        <w:rPr>
          <w:lang w:val="en-GB"/>
        </w:rPr>
      </w:pPr>
    </w:p>
    <w:p w:rsidR="00E603CC" w:rsidRPr="00223B9E" w:rsidRDefault="00E603CC" w:rsidP="00E603CC">
      <w:pPr>
        <w:rPr>
          <w:sz w:val="24"/>
          <w:szCs w:val="24"/>
          <w:lang w:val="en-GB"/>
        </w:rPr>
      </w:pPr>
    </w:p>
    <w:p w:rsidR="000700DE" w:rsidRPr="00FB2F3D" w:rsidRDefault="000700DE" w:rsidP="00E603CC">
      <w:pPr>
        <w:rPr>
          <w:lang w:val="en-GB"/>
        </w:rPr>
      </w:pPr>
    </w:p>
    <w:sectPr w:rsidR="000700DE" w:rsidRPr="00FB2F3D">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098" w:rsidRDefault="00376098" w:rsidP="000700DE">
      <w:r>
        <w:separator/>
      </w:r>
    </w:p>
  </w:endnote>
  <w:endnote w:type="continuationSeparator" w:id="0">
    <w:p w:rsidR="00376098" w:rsidRDefault="00376098" w:rsidP="0007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098" w:rsidRDefault="00376098" w:rsidP="000700DE">
      <w:r>
        <w:separator/>
      </w:r>
    </w:p>
  </w:footnote>
  <w:footnote w:type="continuationSeparator" w:id="0">
    <w:p w:rsidR="00376098" w:rsidRDefault="00376098" w:rsidP="0007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DE" w:rsidRDefault="000700DE">
    <w:pPr>
      <w:pStyle w:val="Yltunniste"/>
    </w:pPr>
    <w:r>
      <w:rPr>
        <w:noProof/>
      </w:rPr>
      <w:drawing>
        <wp:anchor distT="0" distB="0" distL="114300" distR="114300" simplePos="0" relativeHeight="251659264" behindDoc="0" locked="0" layoutInCell="1" allowOverlap="1" wp14:anchorId="4E70598B" wp14:editId="4727F985">
          <wp:simplePos x="0" y="0"/>
          <wp:positionH relativeFrom="column">
            <wp:posOffset>-76200</wp:posOffset>
          </wp:positionH>
          <wp:positionV relativeFrom="paragraph">
            <wp:posOffset>-460375</wp:posOffset>
          </wp:positionV>
          <wp:extent cx="2790825" cy="847725"/>
          <wp:effectExtent l="0" t="0" r="9525" b="9525"/>
          <wp:wrapNone/>
          <wp:docPr id="4" name="Kuva 129" descr="Z:\wwwnordcaseorg\DEV\Valmis\Logo\logo vaal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9" descr="Z:\wwwnordcaseorg\DEV\Valmis\Logo\logo vaalea.png"/>
                  <pic:cNvPicPr>
                    <a:picLocks noChangeAspect="1" noChangeArrowheads="1"/>
                  </pic:cNvPicPr>
                </pic:nvPicPr>
                <pic:blipFill>
                  <a:blip r:embed="rId1" cstate="print"/>
                  <a:srcRect/>
                  <a:stretch>
                    <a:fillRect/>
                  </a:stretch>
                </pic:blipFill>
                <pic:spPr bwMode="auto">
                  <a:xfrm>
                    <a:off x="0" y="0"/>
                    <a:ext cx="2790825" cy="847725"/>
                  </a:xfrm>
                  <a:prstGeom prst="rect">
                    <a:avLst/>
                  </a:prstGeom>
                  <a:solidFill>
                    <a:srgbClr val="FFFFFF">
                      <a:alpha val="52000"/>
                    </a:srgbClr>
                  </a:solidFill>
                  <a:ln w="9525">
                    <a:noFill/>
                    <a:miter lim="800000"/>
                    <a:headEnd/>
                    <a:tailEnd/>
                  </a:ln>
                </pic:spPr>
              </pic:pic>
            </a:graphicData>
          </a:graphic>
        </wp:anchor>
      </w:drawing>
    </w:r>
  </w:p>
  <w:p w:rsidR="000700DE" w:rsidRDefault="000700DE">
    <w:pPr>
      <w:pStyle w:val="Yltunniste"/>
    </w:pPr>
  </w:p>
  <w:p w:rsidR="000700DE" w:rsidRDefault="000700DE">
    <w:pPr>
      <w:pStyle w:val="Yltunniste"/>
    </w:pPr>
  </w:p>
  <w:p w:rsidR="000700DE" w:rsidRDefault="000700DE">
    <w:pPr>
      <w:pStyle w:val="Yltunniste"/>
    </w:pPr>
  </w:p>
  <w:p w:rsidR="000700DE" w:rsidRDefault="000700D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10EE"/>
    <w:multiLevelType w:val="hybridMultilevel"/>
    <w:tmpl w:val="A4140E02"/>
    <w:lvl w:ilvl="0" w:tplc="7C0EA3DC">
      <w:start w:val="1"/>
      <w:numFmt w:val="decimal"/>
      <w:lvlText w:val="%1."/>
      <w:lvlJc w:val="left"/>
      <w:pPr>
        <w:tabs>
          <w:tab w:val="num" w:pos="360"/>
        </w:tabs>
        <w:ind w:left="360" w:hanging="360"/>
      </w:pPr>
      <w:rPr>
        <w:rFonts w:cs="Times New Roman"/>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0DE"/>
    <w:rsid w:val="000700DE"/>
    <w:rsid w:val="00290852"/>
    <w:rsid w:val="00302C4A"/>
    <w:rsid w:val="00376098"/>
    <w:rsid w:val="00446799"/>
    <w:rsid w:val="004B558A"/>
    <w:rsid w:val="006B7E73"/>
    <w:rsid w:val="00810CB3"/>
    <w:rsid w:val="00896F65"/>
    <w:rsid w:val="00BB5277"/>
    <w:rsid w:val="00BD14E6"/>
    <w:rsid w:val="00C03DAC"/>
    <w:rsid w:val="00C25B95"/>
    <w:rsid w:val="00D86E30"/>
    <w:rsid w:val="00E603CC"/>
    <w:rsid w:val="00E860AC"/>
    <w:rsid w:val="00FB2F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F8D0"/>
  <w15:docId w15:val="{BAAAAF51-3B62-42A0-ACA1-6B2B9502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603CC"/>
    <w:pPr>
      <w:spacing w:after="0" w:line="240" w:lineRule="auto"/>
    </w:pPr>
    <w:rPr>
      <w:rFonts w:ascii="Arial" w:eastAsia="Times New Roman" w:hAnsi="Arial" w:cs="Times New Roman"/>
      <w:kern w:val="28"/>
      <w:sz w:val="20"/>
      <w:szCs w:val="20"/>
      <w:lang w:eastAsia="fi-FI"/>
    </w:rPr>
  </w:style>
  <w:style w:type="paragraph" w:styleId="Otsikko1">
    <w:name w:val="heading 1"/>
    <w:basedOn w:val="Normaali"/>
    <w:next w:val="Normaali"/>
    <w:link w:val="Otsikko1Char"/>
    <w:qFormat/>
    <w:rsid w:val="000700DE"/>
    <w:pPr>
      <w:keepNext/>
      <w:keepLines/>
      <w:spacing w:before="320" w:after="320"/>
      <w:outlineLvl w:val="0"/>
    </w:pPr>
    <w:rPr>
      <w:rFonts w:ascii="Palatino Linotype" w:hAnsi="Palatino Linotype" w:cs="Palatino Linotype"/>
      <w:bCs/>
      <w:smallCaps/>
      <w:color w:val="1B1B1B"/>
      <w:sz w:val="52"/>
      <w:szCs w:val="28"/>
    </w:rPr>
  </w:style>
  <w:style w:type="paragraph" w:styleId="Otsikko2">
    <w:name w:val="heading 2"/>
    <w:basedOn w:val="Normaali"/>
    <w:next w:val="Normaali"/>
    <w:link w:val="Otsikko2Char"/>
    <w:uiPriority w:val="9"/>
    <w:unhideWhenUsed/>
    <w:qFormat/>
    <w:rsid w:val="00E86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6B7E73"/>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6B7E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700DE"/>
    <w:pPr>
      <w:tabs>
        <w:tab w:val="center" w:pos="4819"/>
        <w:tab w:val="right" w:pos="9638"/>
      </w:tabs>
    </w:pPr>
  </w:style>
  <w:style w:type="character" w:customStyle="1" w:styleId="YltunnisteChar">
    <w:name w:val="Ylätunniste Char"/>
    <w:basedOn w:val="Kappaleenoletusfontti"/>
    <w:link w:val="Yltunniste"/>
    <w:uiPriority w:val="99"/>
    <w:rsid w:val="000700DE"/>
  </w:style>
  <w:style w:type="paragraph" w:styleId="Alatunniste">
    <w:name w:val="footer"/>
    <w:basedOn w:val="Normaali"/>
    <w:link w:val="AlatunnisteChar"/>
    <w:unhideWhenUsed/>
    <w:rsid w:val="000700DE"/>
    <w:pPr>
      <w:tabs>
        <w:tab w:val="center" w:pos="4819"/>
        <w:tab w:val="right" w:pos="9638"/>
      </w:tabs>
    </w:pPr>
  </w:style>
  <w:style w:type="character" w:customStyle="1" w:styleId="AlatunnisteChar">
    <w:name w:val="Alatunniste Char"/>
    <w:basedOn w:val="Kappaleenoletusfontti"/>
    <w:link w:val="Alatunniste"/>
    <w:uiPriority w:val="99"/>
    <w:rsid w:val="000700DE"/>
  </w:style>
  <w:style w:type="paragraph" w:customStyle="1" w:styleId="Receiver">
    <w:name w:val="Receiver"/>
    <w:basedOn w:val="Normaali"/>
    <w:link w:val="ReceiverChar"/>
    <w:qFormat/>
    <w:rsid w:val="000700DE"/>
  </w:style>
  <w:style w:type="character" w:customStyle="1" w:styleId="Otsikko1Char">
    <w:name w:val="Otsikko 1 Char"/>
    <w:basedOn w:val="Kappaleenoletusfontti"/>
    <w:link w:val="Otsikko1"/>
    <w:rsid w:val="000700DE"/>
    <w:rPr>
      <w:rFonts w:ascii="Palatino Linotype" w:eastAsia="Times New Roman" w:hAnsi="Palatino Linotype" w:cs="Palatino Linotype"/>
      <w:bCs/>
      <w:smallCaps/>
      <w:color w:val="1B1B1B"/>
      <w:sz w:val="52"/>
      <w:szCs w:val="28"/>
    </w:rPr>
  </w:style>
  <w:style w:type="character" w:customStyle="1" w:styleId="ReceiverChar">
    <w:name w:val="Receiver Char"/>
    <w:basedOn w:val="Kappaleenoletusfontti"/>
    <w:link w:val="Receiver"/>
    <w:rsid w:val="000700DE"/>
  </w:style>
  <w:style w:type="character" w:styleId="Paikkamerkkiteksti">
    <w:name w:val="Placeholder Text"/>
    <w:basedOn w:val="Kappaleenoletusfontti"/>
    <w:uiPriority w:val="99"/>
    <w:semiHidden/>
    <w:rsid w:val="000700DE"/>
    <w:rPr>
      <w:color w:val="808080"/>
    </w:rPr>
  </w:style>
  <w:style w:type="paragraph" w:styleId="Seliteteksti">
    <w:name w:val="Balloon Text"/>
    <w:basedOn w:val="Normaali"/>
    <w:link w:val="SelitetekstiChar"/>
    <w:uiPriority w:val="99"/>
    <w:semiHidden/>
    <w:unhideWhenUsed/>
    <w:rsid w:val="000700DE"/>
    <w:rPr>
      <w:rFonts w:ascii="Tahoma" w:hAnsi="Tahoma" w:cs="Tahoma"/>
      <w:sz w:val="16"/>
      <w:szCs w:val="16"/>
    </w:rPr>
  </w:style>
  <w:style w:type="character" w:customStyle="1" w:styleId="SelitetekstiChar">
    <w:name w:val="Seliteteksti Char"/>
    <w:basedOn w:val="Kappaleenoletusfontti"/>
    <w:link w:val="Seliteteksti"/>
    <w:uiPriority w:val="99"/>
    <w:semiHidden/>
    <w:rsid w:val="000700DE"/>
    <w:rPr>
      <w:rFonts w:ascii="Tahoma" w:hAnsi="Tahoma" w:cs="Tahoma"/>
      <w:sz w:val="16"/>
      <w:szCs w:val="16"/>
    </w:rPr>
  </w:style>
  <w:style w:type="paragraph" w:customStyle="1" w:styleId="Allekirjoitus1">
    <w:name w:val="Allekirjoitus1"/>
    <w:basedOn w:val="Normaali"/>
    <w:link w:val="signatureChar"/>
    <w:qFormat/>
    <w:rsid w:val="000700DE"/>
    <w:rPr>
      <w:rFonts w:eastAsiaTheme="minorEastAsia"/>
      <w:noProof/>
    </w:rPr>
  </w:style>
  <w:style w:type="character" w:customStyle="1" w:styleId="Otsikko2Char">
    <w:name w:val="Otsikko 2 Char"/>
    <w:basedOn w:val="Kappaleenoletusfontti"/>
    <w:link w:val="Otsikko2"/>
    <w:uiPriority w:val="9"/>
    <w:rsid w:val="00E860AC"/>
    <w:rPr>
      <w:rFonts w:asciiTheme="majorHAnsi" w:eastAsiaTheme="majorEastAsia" w:hAnsiTheme="majorHAnsi" w:cstheme="majorBidi"/>
      <w:b/>
      <w:bCs/>
      <w:color w:val="4F81BD" w:themeColor="accent1"/>
      <w:sz w:val="26"/>
      <w:szCs w:val="26"/>
    </w:rPr>
  </w:style>
  <w:style w:type="character" w:customStyle="1" w:styleId="signatureChar">
    <w:name w:val="signature Char"/>
    <w:basedOn w:val="Kappaleenoletusfontti"/>
    <w:link w:val="Allekirjoitus1"/>
    <w:rsid w:val="000700DE"/>
    <w:rPr>
      <w:rFonts w:eastAsiaTheme="minorEastAsia"/>
      <w:noProof/>
      <w:lang w:eastAsia="fi-FI"/>
    </w:rPr>
  </w:style>
  <w:style w:type="character" w:customStyle="1" w:styleId="Otsikko3Char">
    <w:name w:val="Otsikko 3 Char"/>
    <w:basedOn w:val="Kappaleenoletusfontti"/>
    <w:link w:val="Otsikko3"/>
    <w:uiPriority w:val="9"/>
    <w:rsid w:val="006B7E73"/>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6B7E73"/>
    <w:rPr>
      <w:rFonts w:asciiTheme="majorHAnsi" w:eastAsiaTheme="majorEastAsia" w:hAnsiTheme="majorHAnsi" w:cstheme="majorBidi"/>
      <w:b/>
      <w:bCs/>
      <w:i/>
      <w:iCs/>
      <w:color w:val="4F81BD" w:themeColor="accent1"/>
    </w:rPr>
  </w:style>
  <w:style w:type="paragraph" w:styleId="Otsikko">
    <w:name w:val="Title"/>
    <w:basedOn w:val="Normaali"/>
    <w:next w:val="Normaali"/>
    <w:link w:val="OtsikkoChar"/>
    <w:uiPriority w:val="10"/>
    <w:qFormat/>
    <w:rsid w:val="00E603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OtsikkoChar">
    <w:name w:val="Otsikko Char"/>
    <w:basedOn w:val="Kappaleenoletusfontti"/>
    <w:link w:val="Otsikko"/>
    <w:uiPriority w:val="10"/>
    <w:rsid w:val="00E603CC"/>
    <w:rPr>
      <w:rFonts w:asciiTheme="majorHAnsi" w:eastAsiaTheme="majorEastAsia" w:hAnsiTheme="majorHAnsi" w:cstheme="majorBidi"/>
      <w:color w:val="17365D" w:themeColor="text2" w:themeShade="BF"/>
      <w:spacing w:val="5"/>
      <w:kern w:val="28"/>
      <w:sz w:val="52"/>
      <w:szCs w:val="5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2250</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MarttiV</dc:creator>
  <cp:lastModifiedBy>Martti Virtanen</cp:lastModifiedBy>
  <cp:revision>2</cp:revision>
  <cp:lastPrinted>2012-01-09T12:57:00Z</cp:lastPrinted>
  <dcterms:created xsi:type="dcterms:W3CDTF">2018-10-24T03:43:00Z</dcterms:created>
  <dcterms:modified xsi:type="dcterms:W3CDTF">2018-10-24T03:43:00Z</dcterms:modified>
</cp:coreProperties>
</file>