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EDC9E" w14:textId="0E462A05" w:rsidR="009C3D49" w:rsidRPr="004F741E" w:rsidRDefault="009C3D49" w:rsidP="004418DB">
      <w:pPr>
        <w:pStyle w:val="Heading1"/>
        <w:spacing w:before="0"/>
        <w:rPr>
          <w:rFonts w:asciiTheme="minorHAnsi" w:eastAsia="Times New Roman" w:hAnsiTheme="minorHAnsi"/>
          <w:b/>
          <w:color w:val="222A35" w:themeColor="text2" w:themeShade="80"/>
          <w:shd w:val="clear" w:color="auto" w:fill="FFFFFF"/>
        </w:rPr>
      </w:pPr>
      <w:bookmarkStart w:id="0" w:name="_Toc524944813"/>
      <w:bookmarkStart w:id="1" w:name="_Toc524980525"/>
      <w:r w:rsidRPr="004F741E">
        <w:rPr>
          <w:rFonts w:asciiTheme="minorHAnsi" w:eastAsia="Times New Roman" w:hAnsiTheme="minorHAnsi"/>
          <w:b/>
          <w:color w:val="222A35" w:themeColor="text2" w:themeShade="80"/>
          <w:shd w:val="clear" w:color="auto" w:fill="FFFFFF"/>
        </w:rPr>
        <w:t>Methodological Guide</w:t>
      </w:r>
      <w:r w:rsidR="004F741E">
        <w:rPr>
          <w:rFonts w:asciiTheme="minorHAnsi" w:eastAsia="Times New Roman" w:hAnsiTheme="minorHAnsi"/>
          <w:b/>
          <w:color w:val="222A35" w:themeColor="text2" w:themeShade="80"/>
          <w:shd w:val="clear" w:color="auto" w:fill="FFFFFF"/>
        </w:rPr>
        <w:t xml:space="preserve"> for Georgia</w:t>
      </w:r>
      <w:r w:rsidRPr="004F741E">
        <w:rPr>
          <w:rFonts w:asciiTheme="minorHAnsi" w:eastAsia="Times New Roman" w:hAnsiTheme="minorHAnsi"/>
          <w:b/>
          <w:color w:val="222A35" w:themeColor="text2" w:themeShade="80"/>
          <w:shd w:val="clear" w:color="auto" w:fill="FFFFFF"/>
        </w:rPr>
        <w:t>: DRG</w:t>
      </w:r>
      <w:r w:rsidR="005A78EF" w:rsidRPr="004F741E">
        <w:rPr>
          <w:rFonts w:asciiTheme="minorHAnsi" w:eastAsia="Times New Roman" w:hAnsiTheme="minorHAnsi"/>
          <w:b/>
          <w:color w:val="222A35" w:themeColor="text2" w:themeShade="80"/>
          <w:shd w:val="clear" w:color="auto" w:fill="FFFFFF"/>
        </w:rPr>
        <w:t xml:space="preserve"> relative</w:t>
      </w:r>
      <w:r w:rsidRPr="004F741E">
        <w:rPr>
          <w:rFonts w:asciiTheme="minorHAnsi" w:eastAsia="Times New Roman" w:hAnsiTheme="minorHAnsi"/>
          <w:b/>
          <w:color w:val="222A35" w:themeColor="text2" w:themeShade="80"/>
          <w:shd w:val="clear" w:color="auto" w:fill="FFFFFF"/>
        </w:rPr>
        <w:t xml:space="preserve"> cost weight, base rate and reimbursement policy</w:t>
      </w:r>
      <w:bookmarkEnd w:id="0"/>
      <w:bookmarkEnd w:id="1"/>
    </w:p>
    <w:p w14:paraId="1BAFA76A" w14:textId="68EAAEF0" w:rsidR="004F741E" w:rsidRDefault="004F741E" w:rsidP="004F741E">
      <w:pPr>
        <w:rPr>
          <w:lang w:val="en-US" w:eastAsia="zh-CN"/>
        </w:rPr>
      </w:pPr>
      <w:r>
        <w:rPr>
          <w:lang w:val="en-US" w:eastAsia="zh-CN"/>
        </w:rPr>
        <w:t>September 2018, 1</w:t>
      </w:r>
      <w:r w:rsidRPr="004F741E">
        <w:rPr>
          <w:vertAlign w:val="superscript"/>
          <w:lang w:val="en-US" w:eastAsia="zh-CN"/>
        </w:rPr>
        <w:t>st</w:t>
      </w:r>
      <w:r>
        <w:rPr>
          <w:lang w:val="en-US" w:eastAsia="zh-CN"/>
        </w:rPr>
        <w:t xml:space="preserve"> draft</w:t>
      </w:r>
    </w:p>
    <w:p w14:paraId="3CB647CD" w14:textId="77777777" w:rsidR="004F741E" w:rsidRPr="004F741E" w:rsidRDefault="004F741E" w:rsidP="004F741E">
      <w:pPr>
        <w:rPr>
          <w:lang w:val="en-US" w:eastAsia="zh-CN"/>
        </w:rPr>
      </w:pPr>
    </w:p>
    <w:sdt>
      <w:sdtPr>
        <w:rPr>
          <w:b w:val="0"/>
          <w:bCs w:val="0"/>
        </w:rPr>
        <w:id w:val="866485662"/>
        <w:docPartObj>
          <w:docPartGallery w:val="Table of Contents"/>
          <w:docPartUnique/>
        </w:docPartObj>
      </w:sdtPr>
      <w:sdtEndPr>
        <w:rPr>
          <w:noProof/>
          <w:color w:val="000000" w:themeColor="text1"/>
        </w:rPr>
      </w:sdtEndPr>
      <w:sdtContent>
        <w:p w14:paraId="3FE0B6E7" w14:textId="7997CAA4" w:rsidR="005136A8" w:rsidRPr="007E64F0" w:rsidRDefault="005136A8" w:rsidP="005136A8">
          <w:pPr>
            <w:pStyle w:val="TOC1"/>
            <w:tabs>
              <w:tab w:val="right" w:leader="dot" w:pos="9010"/>
            </w:tabs>
            <w:rPr>
              <w:rFonts w:eastAsiaTheme="minorEastAsia"/>
              <w:bCs w:val="0"/>
              <w:noProof/>
              <w:color w:val="323E4F" w:themeColor="text2" w:themeShade="BF"/>
              <w:sz w:val="26"/>
              <w:szCs w:val="26"/>
              <w:lang w:eastAsia="en-GB"/>
            </w:rPr>
          </w:pPr>
          <w:r w:rsidRPr="007E64F0">
            <w:rPr>
              <w:bCs w:val="0"/>
              <w:color w:val="323E4F" w:themeColor="text2" w:themeShade="BF"/>
              <w:sz w:val="26"/>
              <w:szCs w:val="26"/>
            </w:rPr>
            <w:t>Table of contents</w:t>
          </w:r>
          <w:r w:rsidR="003A0883" w:rsidRPr="007E64F0">
            <w:rPr>
              <w:rFonts w:eastAsiaTheme="majorEastAsia" w:cstheme="majorBidi"/>
              <w:bCs w:val="0"/>
              <w:color w:val="323E4F" w:themeColor="text2" w:themeShade="BF"/>
              <w:sz w:val="26"/>
              <w:szCs w:val="26"/>
              <w:lang w:val="en-US"/>
            </w:rPr>
            <w:fldChar w:fldCharType="begin"/>
          </w:r>
          <w:r w:rsidR="003A0883" w:rsidRPr="007E64F0">
            <w:rPr>
              <w:color w:val="323E4F" w:themeColor="text2" w:themeShade="BF"/>
              <w:sz w:val="26"/>
              <w:szCs w:val="26"/>
            </w:rPr>
            <w:instrText xml:space="preserve"> TOC \o "1-3" \h \z \u </w:instrText>
          </w:r>
          <w:r w:rsidR="003A0883" w:rsidRPr="007E64F0">
            <w:rPr>
              <w:rFonts w:eastAsiaTheme="majorEastAsia" w:cstheme="majorBidi"/>
              <w:bCs w:val="0"/>
              <w:color w:val="323E4F" w:themeColor="text2" w:themeShade="BF"/>
              <w:sz w:val="26"/>
              <w:szCs w:val="26"/>
              <w:lang w:val="en-US"/>
            </w:rPr>
            <w:fldChar w:fldCharType="separate"/>
          </w:r>
        </w:p>
        <w:p w14:paraId="2AD599F4" w14:textId="77777777" w:rsidR="005136A8" w:rsidRPr="007E64F0" w:rsidRDefault="005136A8"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6" w:history="1">
            <w:r w:rsidRPr="007E64F0">
              <w:rPr>
                <w:rStyle w:val="Hyperlink"/>
                <w:rFonts w:eastAsia="Times New Roman"/>
                <w:noProof/>
                <w:color w:val="323E4F" w:themeColor="text2" w:themeShade="BF"/>
                <w:sz w:val="26"/>
                <w:szCs w:val="26"/>
                <w:lang w:eastAsia="en-GB"/>
              </w:rPr>
              <w:t>1.</w:t>
            </w:r>
            <w:r w:rsidRPr="007E64F0">
              <w:rPr>
                <w:rFonts w:eastAsiaTheme="minorEastAsia"/>
                <w:bCs w:val="0"/>
                <w:noProof/>
                <w:color w:val="323E4F" w:themeColor="text2" w:themeShade="BF"/>
                <w:sz w:val="26"/>
                <w:szCs w:val="26"/>
                <w:lang w:eastAsia="en-GB"/>
              </w:rPr>
              <w:tab/>
            </w:r>
            <w:r w:rsidRPr="007E64F0">
              <w:rPr>
                <w:rStyle w:val="Hyperlink"/>
                <w:rFonts w:eastAsia="Times New Roman"/>
                <w:noProof/>
                <w:color w:val="323E4F" w:themeColor="text2" w:themeShade="BF"/>
                <w:sz w:val="26"/>
                <w:szCs w:val="26"/>
                <w:shd w:val="clear" w:color="auto" w:fill="FFFFFF"/>
                <w:lang w:eastAsia="en-GB"/>
              </w:rPr>
              <w:t>Objective of the Methodological Guide</w:t>
            </w:r>
            <w:r w:rsidRPr="007E64F0">
              <w:rPr>
                <w:noProof/>
                <w:webHidden/>
                <w:color w:val="323E4F" w:themeColor="text2" w:themeShade="BF"/>
                <w:sz w:val="26"/>
                <w:szCs w:val="26"/>
              </w:rPr>
              <w:tab/>
            </w:r>
            <w:r w:rsidRPr="007E64F0">
              <w:rPr>
                <w:noProof/>
                <w:webHidden/>
                <w:color w:val="323E4F" w:themeColor="text2" w:themeShade="BF"/>
                <w:sz w:val="26"/>
                <w:szCs w:val="26"/>
              </w:rPr>
              <w:fldChar w:fldCharType="begin"/>
            </w:r>
            <w:r w:rsidRPr="007E64F0">
              <w:rPr>
                <w:noProof/>
                <w:webHidden/>
                <w:color w:val="323E4F" w:themeColor="text2" w:themeShade="BF"/>
                <w:sz w:val="26"/>
                <w:szCs w:val="26"/>
              </w:rPr>
              <w:instrText xml:space="preserve"> PAGEREF _Toc524980526 \h </w:instrText>
            </w:r>
            <w:r w:rsidRPr="007E64F0">
              <w:rPr>
                <w:noProof/>
                <w:webHidden/>
                <w:color w:val="323E4F" w:themeColor="text2" w:themeShade="BF"/>
                <w:sz w:val="26"/>
                <w:szCs w:val="26"/>
              </w:rPr>
            </w:r>
            <w:r w:rsidRPr="007E64F0">
              <w:rPr>
                <w:noProof/>
                <w:webHidden/>
                <w:color w:val="323E4F" w:themeColor="text2" w:themeShade="BF"/>
                <w:sz w:val="26"/>
                <w:szCs w:val="26"/>
              </w:rPr>
              <w:fldChar w:fldCharType="separate"/>
            </w:r>
            <w:r w:rsidR="00137678">
              <w:rPr>
                <w:noProof/>
                <w:webHidden/>
                <w:color w:val="323E4F" w:themeColor="text2" w:themeShade="BF"/>
                <w:sz w:val="26"/>
                <w:szCs w:val="26"/>
              </w:rPr>
              <w:t>1</w:t>
            </w:r>
            <w:r w:rsidRPr="007E64F0">
              <w:rPr>
                <w:noProof/>
                <w:webHidden/>
                <w:color w:val="323E4F" w:themeColor="text2" w:themeShade="BF"/>
                <w:sz w:val="26"/>
                <w:szCs w:val="26"/>
              </w:rPr>
              <w:fldChar w:fldCharType="end"/>
            </w:r>
          </w:hyperlink>
        </w:p>
        <w:p w14:paraId="5F7FFDE8" w14:textId="77777777" w:rsidR="005136A8" w:rsidRPr="007E64F0" w:rsidRDefault="005136A8"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7" w:history="1">
            <w:r w:rsidRPr="007E64F0">
              <w:rPr>
                <w:rStyle w:val="Hyperlink"/>
                <w:rFonts w:eastAsia="Times New Roman"/>
                <w:noProof/>
                <w:color w:val="323E4F" w:themeColor="text2" w:themeShade="BF"/>
                <w:sz w:val="26"/>
                <w:szCs w:val="26"/>
                <w:lang w:eastAsia="en-GB"/>
              </w:rPr>
              <w:t>2.</w:t>
            </w:r>
            <w:r w:rsidRPr="007E64F0">
              <w:rPr>
                <w:rFonts w:eastAsiaTheme="minorEastAsia"/>
                <w:bCs w:val="0"/>
                <w:noProof/>
                <w:color w:val="323E4F" w:themeColor="text2" w:themeShade="BF"/>
                <w:sz w:val="26"/>
                <w:szCs w:val="26"/>
                <w:lang w:eastAsia="en-GB"/>
              </w:rPr>
              <w:tab/>
            </w:r>
            <w:r w:rsidRPr="007E64F0">
              <w:rPr>
                <w:rStyle w:val="Hyperlink"/>
                <w:rFonts w:eastAsia="Times New Roman"/>
                <w:noProof/>
                <w:color w:val="323E4F" w:themeColor="text2" w:themeShade="BF"/>
                <w:sz w:val="26"/>
                <w:szCs w:val="26"/>
                <w:shd w:val="clear" w:color="auto" w:fill="FFFFFF"/>
                <w:lang w:eastAsia="en-GB"/>
              </w:rPr>
              <w:t>DRG relative cost weights</w:t>
            </w:r>
            <w:r w:rsidRPr="007E64F0">
              <w:rPr>
                <w:noProof/>
                <w:webHidden/>
                <w:color w:val="323E4F" w:themeColor="text2" w:themeShade="BF"/>
                <w:sz w:val="26"/>
                <w:szCs w:val="26"/>
              </w:rPr>
              <w:tab/>
            </w:r>
            <w:r w:rsidRPr="007E64F0">
              <w:rPr>
                <w:noProof/>
                <w:webHidden/>
                <w:color w:val="323E4F" w:themeColor="text2" w:themeShade="BF"/>
                <w:sz w:val="26"/>
                <w:szCs w:val="26"/>
              </w:rPr>
              <w:fldChar w:fldCharType="begin"/>
            </w:r>
            <w:r w:rsidRPr="007E64F0">
              <w:rPr>
                <w:noProof/>
                <w:webHidden/>
                <w:color w:val="323E4F" w:themeColor="text2" w:themeShade="BF"/>
                <w:sz w:val="26"/>
                <w:szCs w:val="26"/>
              </w:rPr>
              <w:instrText xml:space="preserve"> PAGEREF _Toc524980527 \h </w:instrText>
            </w:r>
            <w:r w:rsidRPr="007E64F0">
              <w:rPr>
                <w:noProof/>
                <w:webHidden/>
                <w:color w:val="323E4F" w:themeColor="text2" w:themeShade="BF"/>
                <w:sz w:val="26"/>
                <w:szCs w:val="26"/>
              </w:rPr>
            </w:r>
            <w:r w:rsidRPr="007E64F0">
              <w:rPr>
                <w:noProof/>
                <w:webHidden/>
                <w:color w:val="323E4F" w:themeColor="text2" w:themeShade="BF"/>
                <w:sz w:val="26"/>
                <w:szCs w:val="26"/>
              </w:rPr>
              <w:fldChar w:fldCharType="separate"/>
            </w:r>
            <w:r w:rsidR="00137678">
              <w:rPr>
                <w:noProof/>
                <w:webHidden/>
                <w:color w:val="323E4F" w:themeColor="text2" w:themeShade="BF"/>
                <w:sz w:val="26"/>
                <w:szCs w:val="26"/>
              </w:rPr>
              <w:t>2</w:t>
            </w:r>
            <w:r w:rsidRPr="007E64F0">
              <w:rPr>
                <w:noProof/>
                <w:webHidden/>
                <w:color w:val="323E4F" w:themeColor="text2" w:themeShade="BF"/>
                <w:sz w:val="26"/>
                <w:szCs w:val="26"/>
              </w:rPr>
              <w:fldChar w:fldCharType="end"/>
            </w:r>
          </w:hyperlink>
        </w:p>
        <w:p w14:paraId="4C3C8612" w14:textId="77777777" w:rsidR="005136A8" w:rsidRPr="007E64F0" w:rsidRDefault="005136A8"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8" w:history="1">
            <w:r w:rsidRPr="007E64F0">
              <w:rPr>
                <w:rStyle w:val="Hyperlink"/>
                <w:noProof/>
                <w:color w:val="323E4F" w:themeColor="text2" w:themeShade="BF"/>
                <w:sz w:val="26"/>
                <w:szCs w:val="26"/>
                <w:lang w:val="en-US"/>
              </w:rPr>
              <w:t>3.</w:t>
            </w:r>
            <w:r w:rsidRPr="007E64F0">
              <w:rPr>
                <w:rFonts w:eastAsiaTheme="minorEastAsia"/>
                <w:bCs w:val="0"/>
                <w:noProof/>
                <w:color w:val="323E4F" w:themeColor="text2" w:themeShade="BF"/>
                <w:sz w:val="26"/>
                <w:szCs w:val="26"/>
                <w:lang w:eastAsia="en-GB"/>
              </w:rPr>
              <w:tab/>
            </w:r>
            <w:r w:rsidRPr="007E64F0">
              <w:rPr>
                <w:rStyle w:val="Hyperlink"/>
                <w:noProof/>
                <w:color w:val="323E4F" w:themeColor="text2" w:themeShade="BF"/>
                <w:sz w:val="26"/>
                <w:szCs w:val="26"/>
                <w:lang w:val="en-US"/>
              </w:rPr>
              <w:t>DRG base rate</w:t>
            </w:r>
            <w:r w:rsidRPr="007E64F0">
              <w:rPr>
                <w:noProof/>
                <w:webHidden/>
                <w:color w:val="323E4F" w:themeColor="text2" w:themeShade="BF"/>
                <w:sz w:val="26"/>
                <w:szCs w:val="26"/>
              </w:rPr>
              <w:tab/>
            </w:r>
            <w:r w:rsidRPr="007E64F0">
              <w:rPr>
                <w:noProof/>
                <w:webHidden/>
                <w:color w:val="323E4F" w:themeColor="text2" w:themeShade="BF"/>
                <w:sz w:val="26"/>
                <w:szCs w:val="26"/>
              </w:rPr>
              <w:fldChar w:fldCharType="begin"/>
            </w:r>
            <w:r w:rsidRPr="007E64F0">
              <w:rPr>
                <w:noProof/>
                <w:webHidden/>
                <w:color w:val="323E4F" w:themeColor="text2" w:themeShade="BF"/>
                <w:sz w:val="26"/>
                <w:szCs w:val="26"/>
              </w:rPr>
              <w:instrText xml:space="preserve"> PAGEREF _Toc524980528 \h </w:instrText>
            </w:r>
            <w:r w:rsidRPr="007E64F0">
              <w:rPr>
                <w:noProof/>
                <w:webHidden/>
                <w:color w:val="323E4F" w:themeColor="text2" w:themeShade="BF"/>
                <w:sz w:val="26"/>
                <w:szCs w:val="26"/>
              </w:rPr>
            </w:r>
            <w:r w:rsidRPr="007E64F0">
              <w:rPr>
                <w:noProof/>
                <w:webHidden/>
                <w:color w:val="323E4F" w:themeColor="text2" w:themeShade="BF"/>
                <w:sz w:val="26"/>
                <w:szCs w:val="26"/>
              </w:rPr>
              <w:fldChar w:fldCharType="separate"/>
            </w:r>
            <w:r w:rsidR="00137678">
              <w:rPr>
                <w:noProof/>
                <w:webHidden/>
                <w:color w:val="323E4F" w:themeColor="text2" w:themeShade="BF"/>
                <w:sz w:val="26"/>
                <w:szCs w:val="26"/>
              </w:rPr>
              <w:t>8</w:t>
            </w:r>
            <w:r w:rsidRPr="007E64F0">
              <w:rPr>
                <w:noProof/>
                <w:webHidden/>
                <w:color w:val="323E4F" w:themeColor="text2" w:themeShade="BF"/>
                <w:sz w:val="26"/>
                <w:szCs w:val="26"/>
              </w:rPr>
              <w:fldChar w:fldCharType="end"/>
            </w:r>
          </w:hyperlink>
        </w:p>
        <w:p w14:paraId="48F043BE" w14:textId="77777777" w:rsidR="005136A8" w:rsidRPr="007E64F0" w:rsidRDefault="005136A8"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9" w:history="1">
            <w:r w:rsidRPr="007E64F0">
              <w:rPr>
                <w:rStyle w:val="Hyperlink"/>
                <w:noProof/>
                <w:color w:val="323E4F" w:themeColor="text2" w:themeShade="BF"/>
                <w:sz w:val="26"/>
                <w:szCs w:val="26"/>
                <w:lang w:val="en-US"/>
              </w:rPr>
              <w:t>4.</w:t>
            </w:r>
            <w:r w:rsidRPr="007E64F0">
              <w:rPr>
                <w:rFonts w:eastAsiaTheme="minorEastAsia"/>
                <w:bCs w:val="0"/>
                <w:noProof/>
                <w:color w:val="323E4F" w:themeColor="text2" w:themeShade="BF"/>
                <w:sz w:val="26"/>
                <w:szCs w:val="26"/>
                <w:lang w:eastAsia="en-GB"/>
              </w:rPr>
              <w:tab/>
            </w:r>
            <w:r w:rsidRPr="007E64F0">
              <w:rPr>
                <w:rStyle w:val="Hyperlink"/>
                <w:noProof/>
                <w:color w:val="323E4F" w:themeColor="text2" w:themeShade="BF"/>
                <w:sz w:val="26"/>
                <w:szCs w:val="26"/>
                <w:lang w:val="en-US"/>
              </w:rPr>
              <w:t>DRG reimbursement policy</w:t>
            </w:r>
            <w:r w:rsidRPr="007E64F0">
              <w:rPr>
                <w:noProof/>
                <w:webHidden/>
                <w:color w:val="323E4F" w:themeColor="text2" w:themeShade="BF"/>
                <w:sz w:val="26"/>
                <w:szCs w:val="26"/>
              </w:rPr>
              <w:tab/>
            </w:r>
            <w:r w:rsidRPr="007E64F0">
              <w:rPr>
                <w:noProof/>
                <w:webHidden/>
                <w:color w:val="323E4F" w:themeColor="text2" w:themeShade="BF"/>
                <w:sz w:val="26"/>
                <w:szCs w:val="26"/>
              </w:rPr>
              <w:fldChar w:fldCharType="begin"/>
            </w:r>
            <w:r w:rsidRPr="007E64F0">
              <w:rPr>
                <w:noProof/>
                <w:webHidden/>
                <w:color w:val="323E4F" w:themeColor="text2" w:themeShade="BF"/>
                <w:sz w:val="26"/>
                <w:szCs w:val="26"/>
              </w:rPr>
              <w:instrText xml:space="preserve"> PAGEREF _Toc524980529 \h </w:instrText>
            </w:r>
            <w:r w:rsidRPr="007E64F0">
              <w:rPr>
                <w:noProof/>
                <w:webHidden/>
                <w:color w:val="323E4F" w:themeColor="text2" w:themeShade="BF"/>
                <w:sz w:val="26"/>
                <w:szCs w:val="26"/>
              </w:rPr>
            </w:r>
            <w:r w:rsidRPr="007E64F0">
              <w:rPr>
                <w:noProof/>
                <w:webHidden/>
                <w:color w:val="323E4F" w:themeColor="text2" w:themeShade="BF"/>
                <w:sz w:val="26"/>
                <w:szCs w:val="26"/>
              </w:rPr>
              <w:fldChar w:fldCharType="separate"/>
            </w:r>
            <w:r w:rsidR="00137678">
              <w:rPr>
                <w:noProof/>
                <w:webHidden/>
                <w:color w:val="323E4F" w:themeColor="text2" w:themeShade="BF"/>
                <w:sz w:val="26"/>
                <w:szCs w:val="26"/>
              </w:rPr>
              <w:t>10</w:t>
            </w:r>
            <w:r w:rsidRPr="007E64F0">
              <w:rPr>
                <w:noProof/>
                <w:webHidden/>
                <w:color w:val="323E4F" w:themeColor="text2" w:themeShade="BF"/>
                <w:sz w:val="26"/>
                <w:szCs w:val="26"/>
              </w:rPr>
              <w:fldChar w:fldCharType="end"/>
            </w:r>
          </w:hyperlink>
        </w:p>
        <w:p w14:paraId="4463BCBF" w14:textId="77777777" w:rsidR="005136A8" w:rsidRPr="007E64F0" w:rsidRDefault="005136A8"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30" w:history="1">
            <w:r w:rsidRPr="007E64F0">
              <w:rPr>
                <w:rStyle w:val="Hyperlink"/>
                <w:noProof/>
                <w:color w:val="323E4F" w:themeColor="text2" w:themeShade="BF"/>
                <w:sz w:val="26"/>
                <w:szCs w:val="26"/>
              </w:rPr>
              <w:t>5.</w:t>
            </w:r>
            <w:r w:rsidRPr="007E64F0">
              <w:rPr>
                <w:rFonts w:eastAsiaTheme="minorEastAsia"/>
                <w:bCs w:val="0"/>
                <w:noProof/>
                <w:color w:val="323E4F" w:themeColor="text2" w:themeShade="BF"/>
                <w:sz w:val="26"/>
                <w:szCs w:val="26"/>
                <w:lang w:eastAsia="en-GB"/>
              </w:rPr>
              <w:tab/>
            </w:r>
            <w:r w:rsidRPr="007E64F0">
              <w:rPr>
                <w:rStyle w:val="Hyperlink"/>
                <w:noProof/>
                <w:color w:val="323E4F" w:themeColor="text2" w:themeShade="BF"/>
                <w:sz w:val="26"/>
                <w:szCs w:val="26"/>
              </w:rPr>
              <w:t>Simulation scenarios to evaluate the system and provider level impact</w:t>
            </w:r>
            <w:r w:rsidRPr="007E64F0">
              <w:rPr>
                <w:noProof/>
                <w:webHidden/>
                <w:color w:val="323E4F" w:themeColor="text2" w:themeShade="BF"/>
                <w:sz w:val="26"/>
                <w:szCs w:val="26"/>
              </w:rPr>
              <w:tab/>
            </w:r>
            <w:r w:rsidRPr="007E64F0">
              <w:rPr>
                <w:noProof/>
                <w:webHidden/>
                <w:color w:val="323E4F" w:themeColor="text2" w:themeShade="BF"/>
                <w:sz w:val="26"/>
                <w:szCs w:val="26"/>
              </w:rPr>
              <w:fldChar w:fldCharType="begin"/>
            </w:r>
            <w:r w:rsidRPr="007E64F0">
              <w:rPr>
                <w:noProof/>
                <w:webHidden/>
                <w:color w:val="323E4F" w:themeColor="text2" w:themeShade="BF"/>
                <w:sz w:val="26"/>
                <w:szCs w:val="26"/>
              </w:rPr>
              <w:instrText xml:space="preserve"> PAGEREF _Toc524980530 \h </w:instrText>
            </w:r>
            <w:r w:rsidRPr="007E64F0">
              <w:rPr>
                <w:noProof/>
                <w:webHidden/>
                <w:color w:val="323E4F" w:themeColor="text2" w:themeShade="BF"/>
                <w:sz w:val="26"/>
                <w:szCs w:val="26"/>
              </w:rPr>
            </w:r>
            <w:r w:rsidRPr="007E64F0">
              <w:rPr>
                <w:noProof/>
                <w:webHidden/>
                <w:color w:val="323E4F" w:themeColor="text2" w:themeShade="BF"/>
                <w:sz w:val="26"/>
                <w:szCs w:val="26"/>
              </w:rPr>
              <w:fldChar w:fldCharType="separate"/>
            </w:r>
            <w:r w:rsidR="00137678">
              <w:rPr>
                <w:noProof/>
                <w:webHidden/>
                <w:color w:val="323E4F" w:themeColor="text2" w:themeShade="BF"/>
                <w:sz w:val="26"/>
                <w:szCs w:val="26"/>
              </w:rPr>
              <w:t>10</w:t>
            </w:r>
            <w:r w:rsidRPr="007E64F0">
              <w:rPr>
                <w:noProof/>
                <w:webHidden/>
                <w:color w:val="323E4F" w:themeColor="text2" w:themeShade="BF"/>
                <w:sz w:val="26"/>
                <w:szCs w:val="26"/>
              </w:rPr>
              <w:fldChar w:fldCharType="end"/>
            </w:r>
          </w:hyperlink>
        </w:p>
        <w:p w14:paraId="414CB45E" w14:textId="77777777" w:rsidR="005136A8" w:rsidRPr="007E64F0" w:rsidRDefault="005136A8"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31" w:history="1">
            <w:r w:rsidRPr="007E64F0">
              <w:rPr>
                <w:rStyle w:val="Hyperlink"/>
                <w:noProof/>
                <w:color w:val="323E4F" w:themeColor="text2" w:themeShade="BF"/>
                <w:sz w:val="26"/>
                <w:szCs w:val="26"/>
              </w:rPr>
              <w:t>6.</w:t>
            </w:r>
            <w:r w:rsidRPr="007E64F0">
              <w:rPr>
                <w:rFonts w:eastAsiaTheme="minorEastAsia"/>
                <w:bCs w:val="0"/>
                <w:noProof/>
                <w:color w:val="323E4F" w:themeColor="text2" w:themeShade="BF"/>
                <w:sz w:val="26"/>
                <w:szCs w:val="26"/>
                <w:lang w:eastAsia="en-GB"/>
              </w:rPr>
              <w:tab/>
            </w:r>
            <w:r w:rsidRPr="007E64F0">
              <w:rPr>
                <w:rStyle w:val="Hyperlink"/>
                <w:noProof/>
                <w:color w:val="323E4F" w:themeColor="text2" w:themeShade="BF"/>
                <w:sz w:val="26"/>
                <w:szCs w:val="26"/>
              </w:rPr>
              <w:t>Detailed action plan to develop DRG pricing and reimbursement policy</w:t>
            </w:r>
            <w:r w:rsidRPr="007E64F0">
              <w:rPr>
                <w:noProof/>
                <w:webHidden/>
                <w:color w:val="323E4F" w:themeColor="text2" w:themeShade="BF"/>
                <w:sz w:val="26"/>
                <w:szCs w:val="26"/>
              </w:rPr>
              <w:tab/>
            </w:r>
            <w:r w:rsidRPr="007E64F0">
              <w:rPr>
                <w:noProof/>
                <w:webHidden/>
                <w:color w:val="323E4F" w:themeColor="text2" w:themeShade="BF"/>
                <w:sz w:val="26"/>
                <w:szCs w:val="26"/>
              </w:rPr>
              <w:fldChar w:fldCharType="begin"/>
            </w:r>
            <w:r w:rsidRPr="007E64F0">
              <w:rPr>
                <w:noProof/>
                <w:webHidden/>
                <w:color w:val="323E4F" w:themeColor="text2" w:themeShade="BF"/>
                <w:sz w:val="26"/>
                <w:szCs w:val="26"/>
              </w:rPr>
              <w:instrText xml:space="preserve"> PAGEREF _Toc524980531 \h </w:instrText>
            </w:r>
            <w:r w:rsidRPr="007E64F0">
              <w:rPr>
                <w:noProof/>
                <w:webHidden/>
                <w:color w:val="323E4F" w:themeColor="text2" w:themeShade="BF"/>
                <w:sz w:val="26"/>
                <w:szCs w:val="26"/>
              </w:rPr>
            </w:r>
            <w:r w:rsidRPr="007E64F0">
              <w:rPr>
                <w:noProof/>
                <w:webHidden/>
                <w:color w:val="323E4F" w:themeColor="text2" w:themeShade="BF"/>
                <w:sz w:val="26"/>
                <w:szCs w:val="26"/>
              </w:rPr>
              <w:fldChar w:fldCharType="separate"/>
            </w:r>
            <w:r w:rsidR="00137678">
              <w:rPr>
                <w:noProof/>
                <w:webHidden/>
                <w:color w:val="323E4F" w:themeColor="text2" w:themeShade="BF"/>
                <w:sz w:val="26"/>
                <w:szCs w:val="26"/>
              </w:rPr>
              <w:t>11</w:t>
            </w:r>
            <w:r w:rsidRPr="007E64F0">
              <w:rPr>
                <w:noProof/>
                <w:webHidden/>
                <w:color w:val="323E4F" w:themeColor="text2" w:themeShade="BF"/>
                <w:sz w:val="26"/>
                <w:szCs w:val="26"/>
              </w:rPr>
              <w:fldChar w:fldCharType="end"/>
            </w:r>
          </w:hyperlink>
        </w:p>
        <w:p w14:paraId="08710935" w14:textId="15479C28" w:rsidR="003A0883" w:rsidRPr="005136A8" w:rsidRDefault="003A0883" w:rsidP="004F741E">
          <w:pPr>
            <w:spacing w:before="120"/>
            <w:rPr>
              <w:color w:val="000000" w:themeColor="text1"/>
            </w:rPr>
          </w:pPr>
          <w:r w:rsidRPr="007E64F0">
            <w:rPr>
              <w:b/>
              <w:bCs/>
              <w:noProof/>
              <w:color w:val="323E4F" w:themeColor="text2" w:themeShade="BF"/>
              <w:sz w:val="26"/>
              <w:szCs w:val="26"/>
            </w:rPr>
            <w:fldChar w:fldCharType="end"/>
          </w:r>
        </w:p>
      </w:sdtContent>
    </w:sdt>
    <w:p w14:paraId="0F6B0CBA" w14:textId="77777777" w:rsidR="004418DB" w:rsidRPr="00B90FD0" w:rsidRDefault="004418DB" w:rsidP="00B90FD0">
      <w:pPr>
        <w:jc w:val="both"/>
        <w:rPr>
          <w:lang w:val="en-US"/>
        </w:rPr>
      </w:pPr>
    </w:p>
    <w:p w14:paraId="5AC42586" w14:textId="41AC6413" w:rsidR="009C3D49" w:rsidRPr="00B90FD0" w:rsidRDefault="009C3D49" w:rsidP="004F741E">
      <w:pPr>
        <w:pStyle w:val="Heading2"/>
        <w:numPr>
          <w:ilvl w:val="0"/>
          <w:numId w:val="6"/>
        </w:numPr>
        <w:spacing w:before="0"/>
        <w:rPr>
          <w:rFonts w:asciiTheme="minorHAnsi" w:eastAsia="Times New Roman" w:hAnsiTheme="minorHAnsi"/>
          <w:b/>
          <w:color w:val="323E4F" w:themeColor="text2" w:themeShade="BF"/>
          <w:shd w:val="clear" w:color="auto" w:fill="FFFFFF"/>
          <w:lang w:eastAsia="en-GB"/>
        </w:rPr>
      </w:pPr>
      <w:bookmarkStart w:id="2" w:name="_Toc524980526"/>
      <w:r w:rsidRPr="00B90FD0">
        <w:rPr>
          <w:rFonts w:asciiTheme="minorHAnsi" w:eastAsia="Times New Roman" w:hAnsiTheme="minorHAnsi"/>
          <w:b/>
          <w:color w:val="323E4F" w:themeColor="text2" w:themeShade="BF"/>
          <w:shd w:val="clear" w:color="auto" w:fill="FFFFFF"/>
          <w:lang w:eastAsia="en-GB"/>
        </w:rPr>
        <w:t>Objective of the Methodological Guide</w:t>
      </w:r>
      <w:bookmarkEnd w:id="2"/>
    </w:p>
    <w:p w14:paraId="31E075B3" w14:textId="34E24CBA" w:rsidR="009C3D49" w:rsidRPr="00B90FD0" w:rsidRDefault="009C3D49" w:rsidP="00B90FD0">
      <w:pPr>
        <w:jc w:val="both"/>
        <w:rPr>
          <w:lang w:val="en-US"/>
        </w:rPr>
      </w:pPr>
      <w:r w:rsidRPr="00B90FD0">
        <w:rPr>
          <w:lang w:val="en-US"/>
        </w:rPr>
        <w:t>The objective of this document is to provide methodological guidance for the Ministry of Internally Displaced Persons from the Occupied Territories, Labour, Health and Social Affairs (MO</w:t>
      </w:r>
      <w:r w:rsidR="00A3521F">
        <w:rPr>
          <w:lang w:val="en-US"/>
        </w:rPr>
        <w:t>L</w:t>
      </w:r>
      <w:r w:rsidRPr="00B90FD0">
        <w:rPr>
          <w:lang w:val="en-US"/>
        </w:rPr>
        <w:t>H</w:t>
      </w:r>
      <w:r w:rsidR="00A3521F">
        <w:rPr>
          <w:lang w:val="en-US"/>
        </w:rPr>
        <w:t>SA</w:t>
      </w:r>
      <w:r w:rsidRPr="00B90FD0">
        <w:rPr>
          <w:lang w:val="en-US"/>
        </w:rPr>
        <w:t xml:space="preserve">) and Social Services Agency (SSA) to develop pricing and reimbursement policy to </w:t>
      </w:r>
      <w:r w:rsidR="00B90FD0" w:rsidRPr="00B90FD0">
        <w:rPr>
          <w:lang w:val="en-US"/>
        </w:rPr>
        <w:t>support</w:t>
      </w:r>
      <w:r w:rsidRPr="00B90FD0">
        <w:rPr>
          <w:lang w:val="en-US"/>
        </w:rPr>
        <w:t xml:space="preserve"> implementation of the diagnosis related groups (DRG).</w:t>
      </w:r>
      <w:r w:rsidR="00792121" w:rsidRPr="00792121">
        <w:rPr>
          <w:lang w:val="en-US"/>
        </w:rPr>
        <w:t xml:space="preserve"> </w:t>
      </w:r>
      <w:r w:rsidR="00792121" w:rsidRPr="00B90FD0">
        <w:rPr>
          <w:lang w:val="en-US"/>
        </w:rPr>
        <w:t xml:space="preserve">Preparations for the DRG implementation started </w:t>
      </w:r>
      <w:r w:rsidR="00792121">
        <w:rPr>
          <w:lang w:val="en-US"/>
        </w:rPr>
        <w:t xml:space="preserve">in late 2017, after the results </w:t>
      </w:r>
      <w:r w:rsidR="00792121" w:rsidRPr="00B90FD0">
        <w:rPr>
          <w:lang w:val="en-US"/>
        </w:rPr>
        <w:t xml:space="preserve">of the WHO feasibility study on DRG implementation became </w:t>
      </w:r>
      <w:r w:rsidR="00792121" w:rsidRPr="003A0883">
        <w:rPr>
          <w:lang w:val="en-US"/>
        </w:rPr>
        <w:t>available.</w:t>
      </w:r>
    </w:p>
    <w:p w14:paraId="0B101CB6" w14:textId="77777777" w:rsidR="009C3D49" w:rsidRPr="00B90FD0" w:rsidRDefault="009C3D49" w:rsidP="00B90FD0">
      <w:pPr>
        <w:jc w:val="both"/>
        <w:rPr>
          <w:b/>
          <w:lang w:val="en-US"/>
        </w:rPr>
      </w:pPr>
    </w:p>
    <w:p w14:paraId="042A2CF1" w14:textId="77777777" w:rsidR="009C3D49" w:rsidRPr="00B90FD0" w:rsidRDefault="009C3D49" w:rsidP="00B90FD0">
      <w:pPr>
        <w:jc w:val="both"/>
        <w:rPr>
          <w:lang w:val="en-US"/>
        </w:rPr>
      </w:pPr>
      <w:r w:rsidRPr="00B90FD0">
        <w:rPr>
          <w:lang w:val="en-US"/>
        </w:rPr>
        <w:t xml:space="preserve">The DRG pricing and reimbursement policy can be divided into two phases: </w:t>
      </w:r>
    </w:p>
    <w:p w14:paraId="610ABD37" w14:textId="46001F07" w:rsidR="009C3D49" w:rsidRPr="00B90FD0" w:rsidRDefault="009C3D49" w:rsidP="00B90FD0">
      <w:pPr>
        <w:pStyle w:val="ListParagraph"/>
        <w:numPr>
          <w:ilvl w:val="0"/>
          <w:numId w:val="3"/>
        </w:numPr>
        <w:jc w:val="both"/>
        <w:rPr>
          <w:lang w:val="en-US"/>
        </w:rPr>
      </w:pPr>
      <w:r w:rsidRPr="00B90FD0">
        <w:rPr>
          <w:lang w:val="en-US"/>
        </w:rPr>
        <w:t xml:space="preserve">first phase is the “shadow funding” period (expected to be introduced in 2019, </w:t>
      </w:r>
      <w:r w:rsidR="00B90FD0" w:rsidRPr="00B90FD0">
        <w:rPr>
          <w:lang w:val="en-US"/>
        </w:rPr>
        <w:t>exact</w:t>
      </w:r>
      <w:r w:rsidRPr="00B90FD0">
        <w:rPr>
          <w:lang w:val="en-US"/>
        </w:rPr>
        <w:t xml:space="preserve"> beginning date depends on adoption of the DRG grouper software) when DRGs are not used for actual reimbursement; </w:t>
      </w:r>
    </w:p>
    <w:p w14:paraId="7409D280" w14:textId="77777777" w:rsidR="009C3D49" w:rsidRPr="00B90FD0" w:rsidRDefault="009C3D49" w:rsidP="00B90FD0">
      <w:pPr>
        <w:pStyle w:val="ListParagraph"/>
        <w:numPr>
          <w:ilvl w:val="0"/>
          <w:numId w:val="3"/>
        </w:numPr>
        <w:jc w:val="both"/>
        <w:rPr>
          <w:lang w:val="en-US"/>
        </w:rPr>
      </w:pPr>
      <w:r w:rsidRPr="00B90FD0">
        <w:rPr>
          <w:lang w:val="en-US"/>
        </w:rPr>
        <w:t>and second phase which means that DRGs are used for actual reimbursement.</w:t>
      </w:r>
    </w:p>
    <w:p w14:paraId="37DD6B71" w14:textId="77777777" w:rsidR="009C3D49" w:rsidRPr="00B90FD0" w:rsidRDefault="009C3D49" w:rsidP="00B90FD0">
      <w:pPr>
        <w:jc w:val="both"/>
        <w:rPr>
          <w:lang w:val="en-US"/>
        </w:rPr>
      </w:pPr>
    </w:p>
    <w:p w14:paraId="446F9A1A" w14:textId="77777777" w:rsidR="009C3D49" w:rsidRPr="00B90FD0" w:rsidRDefault="009C3D49" w:rsidP="00B90FD0">
      <w:pPr>
        <w:jc w:val="both"/>
        <w:rPr>
          <w:lang w:val="en-US"/>
        </w:rPr>
      </w:pPr>
      <w:r w:rsidRPr="00B90FD0">
        <w:rPr>
          <w:lang w:val="en-US"/>
        </w:rPr>
        <w:t xml:space="preserve">During the “shadow funding” period the DRG pricing and reimbursement policy aims to fulfil awareness rising purposes and enables providers and the SSA to adapt with the new system. DRG pricing and reimbursement rules applied during that period do not have actual financial consequences. Thus, preparations for the shadow funding period enable to test alternative ways how to develop the pricing and reimbursement principles and to use these experiences for the next phase preparations. </w:t>
      </w:r>
    </w:p>
    <w:p w14:paraId="175328B5" w14:textId="77777777" w:rsidR="00B90FD0" w:rsidRDefault="00B90FD0" w:rsidP="00B90FD0">
      <w:pPr>
        <w:jc w:val="both"/>
        <w:rPr>
          <w:lang w:val="en-US"/>
        </w:rPr>
      </w:pPr>
    </w:p>
    <w:p w14:paraId="1F2B8153" w14:textId="1EDA4936" w:rsidR="00B90FD0" w:rsidRPr="004F741E" w:rsidRDefault="00B90FD0" w:rsidP="00B90FD0">
      <w:pPr>
        <w:jc w:val="both"/>
        <w:rPr>
          <w:b/>
          <w:lang w:val="en-US"/>
        </w:rPr>
      </w:pPr>
      <w:r w:rsidRPr="004F741E">
        <w:rPr>
          <w:lang w:val="en-US"/>
        </w:rPr>
        <w:t xml:space="preserve">The core components </w:t>
      </w:r>
      <w:r w:rsidRPr="0027446F">
        <w:rPr>
          <w:lang w:val="en-US"/>
        </w:rPr>
        <w:t>of DRG</w:t>
      </w:r>
      <w:r w:rsidR="00677ECF" w:rsidRPr="0027446F">
        <w:rPr>
          <w:lang w:val="en-US"/>
        </w:rPr>
        <w:t xml:space="preserve"> payment rate</w:t>
      </w:r>
      <w:r w:rsidRPr="0027446F">
        <w:rPr>
          <w:lang w:val="en-US"/>
        </w:rPr>
        <w:t xml:space="preserve"> are DRG relative cost weights, base rate and additional adjustment factors (see figure 1).</w:t>
      </w:r>
    </w:p>
    <w:p w14:paraId="630D1A54" w14:textId="77777777" w:rsidR="00B90FD0" w:rsidRPr="004F741E" w:rsidRDefault="00B90FD0" w:rsidP="00B90FD0">
      <w:pPr>
        <w:jc w:val="both"/>
        <w:rPr>
          <w:b/>
          <w:lang w:val="en-US"/>
        </w:rPr>
      </w:pPr>
      <w:r w:rsidRPr="004F741E">
        <w:rPr>
          <w:b/>
          <w:noProof/>
          <w:lang w:eastAsia="en-GB"/>
        </w:rPr>
        <w:drawing>
          <wp:inline distT="0" distB="0" distL="0" distR="0" wp14:anchorId="11F7C8C9" wp14:editId="69DE7C4B">
            <wp:extent cx="5727700" cy="929640"/>
            <wp:effectExtent l="0" t="0" r="1270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9-16 at 07.17.48.png"/>
                    <pic:cNvPicPr/>
                  </pic:nvPicPr>
                  <pic:blipFill>
                    <a:blip r:embed="rId8">
                      <a:extLst>
                        <a:ext uri="{28A0092B-C50C-407E-A947-70E740481C1C}">
                          <a14:useLocalDpi xmlns:a14="http://schemas.microsoft.com/office/drawing/2010/main" val="0"/>
                        </a:ext>
                      </a:extLst>
                    </a:blip>
                    <a:stretch>
                      <a:fillRect/>
                    </a:stretch>
                  </pic:blipFill>
                  <pic:spPr>
                    <a:xfrm>
                      <a:off x="0" y="0"/>
                      <a:ext cx="5727700" cy="929640"/>
                    </a:xfrm>
                    <a:prstGeom prst="rect">
                      <a:avLst/>
                    </a:prstGeom>
                  </pic:spPr>
                </pic:pic>
              </a:graphicData>
            </a:graphic>
          </wp:inline>
        </w:drawing>
      </w:r>
    </w:p>
    <w:p w14:paraId="08B7E5CE" w14:textId="77777777" w:rsidR="00B90FD0" w:rsidRPr="004F741E" w:rsidRDefault="00B90FD0" w:rsidP="00B90FD0">
      <w:pPr>
        <w:jc w:val="both"/>
        <w:rPr>
          <w:b/>
          <w:lang w:val="en-US"/>
        </w:rPr>
      </w:pPr>
      <w:r w:rsidRPr="004F741E">
        <w:rPr>
          <w:b/>
          <w:lang w:val="en-US"/>
        </w:rPr>
        <w:t xml:space="preserve">Figure 1. </w:t>
      </w:r>
      <w:r w:rsidRPr="004F741E">
        <w:rPr>
          <w:lang w:val="en-US"/>
        </w:rPr>
        <w:t>Composition of DRG payment rate</w:t>
      </w:r>
    </w:p>
    <w:p w14:paraId="0877BF4D" w14:textId="77777777" w:rsidR="009C3D49" w:rsidRPr="004F741E" w:rsidRDefault="009C3D49" w:rsidP="00B90FD0">
      <w:pPr>
        <w:jc w:val="both"/>
        <w:rPr>
          <w:b/>
          <w:lang w:val="en-US"/>
        </w:rPr>
      </w:pPr>
    </w:p>
    <w:p w14:paraId="74F29701" w14:textId="4BAE4277" w:rsidR="009C3D49" w:rsidRPr="00B90FD0" w:rsidRDefault="003616F2" w:rsidP="00B90FD0">
      <w:pPr>
        <w:jc w:val="both"/>
        <w:rPr>
          <w:lang w:val="en-US"/>
        </w:rPr>
      </w:pPr>
      <w:r w:rsidRPr="004F741E">
        <w:rPr>
          <w:lang w:val="en-US"/>
        </w:rPr>
        <w:t xml:space="preserve">The following </w:t>
      </w:r>
      <w:r w:rsidR="009C3D49" w:rsidRPr="004F741E">
        <w:rPr>
          <w:lang w:val="en-US"/>
        </w:rPr>
        <w:t xml:space="preserve">methodological guide is divided into </w:t>
      </w:r>
      <w:r w:rsidRPr="004F741E">
        <w:rPr>
          <w:lang w:val="en-US"/>
        </w:rPr>
        <w:t>five chapters providing methodology to develop the core components of DRG payment rate (chapters 2-4) and to conduct simulations of different scenarios to assess impact of implementation (chapter 5) and to provide detailed</w:t>
      </w:r>
      <w:r>
        <w:rPr>
          <w:lang w:val="en-US"/>
        </w:rPr>
        <w:t xml:space="preserve"> action plan (chapter 6). </w:t>
      </w:r>
      <w:r w:rsidRPr="00B90FD0">
        <w:rPr>
          <w:lang w:val="en-US"/>
        </w:rPr>
        <w:t xml:space="preserve"> </w:t>
      </w:r>
    </w:p>
    <w:p w14:paraId="05AD913F" w14:textId="77777777" w:rsidR="009C3D49" w:rsidRDefault="009C3D49" w:rsidP="00B90FD0">
      <w:pPr>
        <w:jc w:val="both"/>
        <w:rPr>
          <w:b/>
          <w:lang w:val="en-US"/>
        </w:rPr>
      </w:pPr>
    </w:p>
    <w:p w14:paraId="2D83C38F" w14:textId="77777777" w:rsidR="00B90FD0" w:rsidRPr="00B90FD0" w:rsidRDefault="00B90FD0" w:rsidP="00B90FD0">
      <w:pPr>
        <w:jc w:val="both"/>
        <w:rPr>
          <w:b/>
          <w:lang w:val="en-US"/>
        </w:rPr>
      </w:pPr>
    </w:p>
    <w:p w14:paraId="01F763CD" w14:textId="302FE1F6" w:rsidR="009C3D49" w:rsidRPr="00B90FD0" w:rsidRDefault="009C3D49" w:rsidP="004F741E">
      <w:pPr>
        <w:pStyle w:val="Heading2"/>
        <w:numPr>
          <w:ilvl w:val="0"/>
          <w:numId w:val="6"/>
        </w:numPr>
        <w:spacing w:before="0"/>
        <w:rPr>
          <w:rFonts w:asciiTheme="minorHAnsi" w:eastAsia="Times New Roman" w:hAnsiTheme="minorHAnsi"/>
          <w:b/>
          <w:color w:val="323E4F" w:themeColor="text2" w:themeShade="BF"/>
          <w:shd w:val="clear" w:color="auto" w:fill="FFFFFF"/>
          <w:lang w:eastAsia="en-GB"/>
        </w:rPr>
      </w:pPr>
      <w:bookmarkStart w:id="3" w:name="_Toc524980527"/>
      <w:r w:rsidRPr="00B90FD0">
        <w:rPr>
          <w:rFonts w:asciiTheme="minorHAnsi" w:eastAsia="Times New Roman" w:hAnsiTheme="minorHAnsi"/>
          <w:b/>
          <w:color w:val="323E4F" w:themeColor="text2" w:themeShade="BF"/>
          <w:shd w:val="clear" w:color="auto" w:fill="FFFFFF"/>
          <w:lang w:eastAsia="en-GB"/>
        </w:rPr>
        <w:t>DRG relative cost weights</w:t>
      </w:r>
      <w:bookmarkEnd w:id="3"/>
      <w:r w:rsidRPr="00B90FD0">
        <w:rPr>
          <w:rFonts w:asciiTheme="minorHAnsi" w:eastAsia="Times New Roman" w:hAnsiTheme="minorHAnsi"/>
          <w:b/>
          <w:color w:val="323E4F" w:themeColor="text2" w:themeShade="BF"/>
          <w:shd w:val="clear" w:color="auto" w:fill="FFFFFF"/>
          <w:lang w:eastAsia="en-GB"/>
        </w:rPr>
        <w:t xml:space="preserve"> </w:t>
      </w:r>
    </w:p>
    <w:p w14:paraId="768928D5" w14:textId="77777777" w:rsidR="009C3D49" w:rsidRPr="00B90FD0" w:rsidRDefault="009C3D49" w:rsidP="00B90FD0">
      <w:pPr>
        <w:jc w:val="both"/>
      </w:pPr>
      <w:r w:rsidRPr="00B90FD0">
        <w:t xml:space="preserve">A DRG relative cost weight measures the expected cost of a certain DRG, relative to the expected cost of the average case across all cases. Thus, the relative weight of certain DRG indicates the monetary value of that DRG relative to an average case. </w:t>
      </w:r>
    </w:p>
    <w:p w14:paraId="06F057A1" w14:textId="77777777" w:rsidR="009C3D49" w:rsidRPr="00B90FD0" w:rsidRDefault="009C3D49" w:rsidP="00B90FD0">
      <w:pPr>
        <w:jc w:val="both"/>
      </w:pPr>
    </w:p>
    <w:p w14:paraId="4D5E612D" w14:textId="67563B8B" w:rsidR="009C3D49" w:rsidRPr="004F741E" w:rsidRDefault="009C3D49" w:rsidP="00B90FD0">
      <w:pPr>
        <w:jc w:val="both"/>
        <w:rPr>
          <w:rFonts w:eastAsia="Times New Roman" w:cs="Times New Roman"/>
          <w:color w:val="000000"/>
          <w:shd w:val="clear" w:color="auto" w:fill="FFFFFF"/>
          <w:lang w:eastAsia="en-GB"/>
        </w:rPr>
      </w:pPr>
      <w:r w:rsidRPr="00B90FD0">
        <w:t xml:space="preserve">The DRG relative cost weight is used as a multiplier to the base rate to estimate the </w:t>
      </w:r>
      <w:r w:rsidR="0027446F">
        <w:t>tariff</w:t>
      </w:r>
      <w:r w:rsidRPr="00B90FD0">
        <w:t xml:space="preserve"> for each particular DRG. </w:t>
      </w:r>
      <w:r w:rsidRPr="00B90FD0">
        <w:rPr>
          <w:rFonts w:eastAsia="Times New Roman" w:cs="Times New Roman"/>
          <w:color w:val="000000"/>
          <w:shd w:val="clear" w:color="auto" w:fill="FFFFFF"/>
          <w:lang w:eastAsia="en-GB"/>
        </w:rPr>
        <w:t xml:space="preserve">Ideally, the </w:t>
      </w:r>
      <w:r w:rsidR="00C90020">
        <w:rPr>
          <w:rFonts w:eastAsia="Times New Roman" w:cs="Times New Roman"/>
          <w:color w:val="000000"/>
          <w:shd w:val="clear" w:color="auto" w:fill="FFFFFF"/>
          <w:lang w:eastAsia="en-GB"/>
        </w:rPr>
        <w:t xml:space="preserve">relative cost </w:t>
      </w:r>
      <w:r w:rsidRPr="00B90FD0">
        <w:rPr>
          <w:rFonts w:eastAsia="Times New Roman" w:cs="Times New Roman"/>
          <w:color w:val="000000"/>
          <w:shd w:val="clear" w:color="auto" w:fill="FFFFFF"/>
          <w:lang w:eastAsia="en-GB"/>
        </w:rPr>
        <w:t xml:space="preserve">weights should reflect the relative cost of providing care in each DRG in an efficient hospital.  This gives maximum </w:t>
      </w:r>
      <w:r w:rsidRPr="00B90FD0">
        <w:rPr>
          <w:rFonts w:eastAsia="Times New Roman" w:cs="Times New Roman"/>
          <w:b/>
          <w:color w:val="000000"/>
          <w:shd w:val="clear" w:color="auto" w:fill="FFFFFF"/>
          <w:lang w:eastAsia="en-GB"/>
        </w:rPr>
        <w:t>incentives for efficiency</w:t>
      </w:r>
      <w:r w:rsidRPr="00B90FD0">
        <w:rPr>
          <w:rFonts w:eastAsia="Times New Roman" w:cs="Times New Roman"/>
          <w:color w:val="000000"/>
          <w:shd w:val="clear" w:color="auto" w:fill="FFFFFF"/>
          <w:lang w:eastAsia="en-GB"/>
        </w:rPr>
        <w:t>, as when a hospital's cost structure differs from its payments, it has an incentive to either become more efficient or to reduce its frequency of care for the DRGs for which its costs exceed payment. However, because the efficient cost structure is unknown, the DRG</w:t>
      </w:r>
      <w:r w:rsidR="00C90020">
        <w:rPr>
          <w:rFonts w:eastAsia="Times New Roman" w:cs="Times New Roman"/>
          <w:color w:val="000000"/>
          <w:shd w:val="clear" w:color="auto" w:fill="FFFFFF"/>
          <w:lang w:eastAsia="en-GB"/>
        </w:rPr>
        <w:t xml:space="preserve"> relative cost </w:t>
      </w:r>
      <w:r w:rsidRPr="00B90FD0">
        <w:rPr>
          <w:rFonts w:eastAsia="Times New Roman" w:cs="Times New Roman"/>
          <w:color w:val="000000"/>
          <w:shd w:val="clear" w:color="auto" w:fill="FFFFFF"/>
          <w:lang w:eastAsia="en-GB"/>
        </w:rPr>
        <w:t xml:space="preserve">weights usually target to base on </w:t>
      </w:r>
      <w:r w:rsidRPr="00B90FD0">
        <w:rPr>
          <w:rFonts w:eastAsia="Times New Roman" w:cs="Times New Roman"/>
          <w:b/>
          <w:color w:val="000000"/>
          <w:shd w:val="clear" w:color="auto" w:fill="FFFFFF"/>
          <w:lang w:eastAsia="en-GB"/>
        </w:rPr>
        <w:t>estimates of the average cost structure</w:t>
      </w:r>
      <w:r w:rsidRPr="00B90FD0">
        <w:rPr>
          <w:rStyle w:val="FootnoteReference"/>
          <w:color w:val="000000"/>
          <w:shd w:val="clear" w:color="auto" w:fill="FFFFFF"/>
          <w:lang w:eastAsia="en-GB"/>
        </w:rPr>
        <w:footnoteReference w:id="1"/>
      </w:r>
      <w:r w:rsidRPr="00B90FD0">
        <w:rPr>
          <w:rFonts w:eastAsia="Times New Roman" w:cs="Times New Roman"/>
          <w:color w:val="000000"/>
          <w:shd w:val="clear" w:color="auto" w:fill="FFFFFF"/>
          <w:lang w:eastAsia="en-GB"/>
        </w:rPr>
        <w:t>.</w:t>
      </w:r>
      <w:r w:rsidRPr="00B90FD0">
        <w:rPr>
          <w:color w:val="000000"/>
        </w:rPr>
        <w:t xml:space="preserve"> </w:t>
      </w:r>
      <w:r w:rsidR="009E560A">
        <w:rPr>
          <w:color w:val="000000"/>
        </w:rPr>
        <w:t>Also, c</w:t>
      </w:r>
      <w:r w:rsidR="009E560A" w:rsidRPr="009E560A">
        <w:rPr>
          <w:color w:val="000000"/>
        </w:rPr>
        <w:t>ase-based payments have an implicit assumption o</w:t>
      </w:r>
      <w:r w:rsidR="009E560A">
        <w:rPr>
          <w:color w:val="000000"/>
        </w:rPr>
        <w:t>f homogeneity across hospitals meaning that</w:t>
      </w:r>
      <w:r w:rsidR="009E560A" w:rsidRPr="009E560A">
        <w:rPr>
          <w:color w:val="000000"/>
        </w:rPr>
        <w:t xml:space="preserve"> the safety and quality of care provided </w:t>
      </w:r>
      <w:r w:rsidR="009E560A">
        <w:rPr>
          <w:color w:val="000000"/>
        </w:rPr>
        <w:t xml:space="preserve">should be the same across all hospitals which justifies the “one DRG, one </w:t>
      </w:r>
      <w:r w:rsidR="0027446F">
        <w:rPr>
          <w:color w:val="000000"/>
        </w:rPr>
        <w:t>tariff</w:t>
      </w:r>
      <w:r w:rsidR="009E560A">
        <w:rPr>
          <w:color w:val="000000"/>
        </w:rPr>
        <w:t>” approach.</w:t>
      </w:r>
    </w:p>
    <w:p w14:paraId="38C2E333" w14:textId="77777777" w:rsidR="009C3D49" w:rsidRPr="00B90FD0" w:rsidRDefault="009C3D49" w:rsidP="00B90FD0">
      <w:pPr>
        <w:jc w:val="both"/>
        <w:rPr>
          <w:color w:val="000000"/>
        </w:rPr>
      </w:pPr>
    </w:p>
    <w:p w14:paraId="2792EBED" w14:textId="3496D713" w:rsidR="009C3D49" w:rsidRPr="00B90FD0" w:rsidRDefault="009C3D49" w:rsidP="00B90FD0">
      <w:pPr>
        <w:jc w:val="both"/>
      </w:pPr>
      <w:r w:rsidRPr="00B90FD0">
        <w:rPr>
          <w:color w:val="000000"/>
        </w:rPr>
        <w:t>It is not easy to measure the cost of care for cases in each DRG. Still, it is important to put maximum efforts to achieve the accuracy of DRG</w:t>
      </w:r>
      <w:r w:rsidR="00C90020">
        <w:rPr>
          <w:color w:val="000000"/>
        </w:rPr>
        <w:t xml:space="preserve"> relative</w:t>
      </w:r>
      <w:r w:rsidRPr="00B90FD0">
        <w:rPr>
          <w:color w:val="000000"/>
        </w:rPr>
        <w:t xml:space="preserve"> cost weights as otherwise hospitals might refuse to provide care in those DRGs that are undervalued and overprovide care for DRGs which are overvalued. </w:t>
      </w:r>
    </w:p>
    <w:p w14:paraId="4A71B91D" w14:textId="77777777" w:rsidR="009C3D49" w:rsidRPr="00B90FD0" w:rsidRDefault="009C3D49" w:rsidP="00B90FD0">
      <w:pPr>
        <w:jc w:val="both"/>
        <w:rPr>
          <w:bCs/>
        </w:rPr>
      </w:pPr>
    </w:p>
    <w:p w14:paraId="07D77B75" w14:textId="4913CAE7" w:rsidR="009C3D49" w:rsidRPr="00B90FD0" w:rsidRDefault="009C3D49" w:rsidP="00B90FD0">
      <w:pPr>
        <w:jc w:val="both"/>
        <w:rPr>
          <w:bCs/>
        </w:rPr>
      </w:pPr>
      <w:r w:rsidRPr="00B90FD0">
        <w:rPr>
          <w:bCs/>
        </w:rPr>
        <w:t xml:space="preserve">Ideally, it would be important to have access to the actual providers’ cost data, based on a standardized costing methodology, to calculate the DRG relative cost weights. In practice this kind of information is not always available or difficult to collect. Also, provider actual costs may not reflect the cost-efficient practices and therefore actual provider cost may not be the best estimate for the fair </w:t>
      </w:r>
      <w:r w:rsidR="0027446F">
        <w:rPr>
          <w:bCs/>
        </w:rPr>
        <w:t>tariff</w:t>
      </w:r>
      <w:r w:rsidRPr="00B90FD0">
        <w:rPr>
          <w:bCs/>
        </w:rPr>
        <w:t xml:space="preserve">. For example, in Georgia hospitals are very small and multiprofile which most probably results in a very high fixed cost per each patient. Also, one could expect wide variations of costs between hospitals due to differences in patient-mix and cost structures. Thus, it is rather questionable if real cost data would add important additional value for the DRG relative cost weights calculations.  </w:t>
      </w:r>
    </w:p>
    <w:p w14:paraId="70A7FCE3" w14:textId="77777777" w:rsidR="009C3D49" w:rsidRPr="00B90FD0" w:rsidRDefault="009C3D49" w:rsidP="00B90FD0">
      <w:pPr>
        <w:jc w:val="both"/>
        <w:rPr>
          <w:bCs/>
        </w:rPr>
      </w:pPr>
    </w:p>
    <w:p w14:paraId="6E2936E4" w14:textId="6631385D" w:rsidR="009C3D49" w:rsidRPr="00B90FD0" w:rsidRDefault="009C3D49" w:rsidP="00B90FD0">
      <w:pPr>
        <w:jc w:val="both"/>
        <w:rPr>
          <w:lang w:val="en-US"/>
        </w:rPr>
      </w:pPr>
      <w:r w:rsidRPr="00B90FD0">
        <w:rPr>
          <w:bCs/>
        </w:rPr>
        <w:t xml:space="preserve">However, the SSA has a case level medical claims database with </w:t>
      </w:r>
      <w:r w:rsidR="0027446F">
        <w:rPr>
          <w:bCs/>
        </w:rPr>
        <w:t>tariff</w:t>
      </w:r>
      <w:r w:rsidRPr="00B90FD0">
        <w:rPr>
          <w:bCs/>
        </w:rPr>
        <w:t xml:space="preserve">s that can be taken as a proxy for cost information that bases on provider given </w:t>
      </w:r>
      <w:r w:rsidR="0027446F">
        <w:rPr>
          <w:bCs/>
        </w:rPr>
        <w:t>tariff</w:t>
      </w:r>
      <w:r w:rsidRPr="00B90FD0">
        <w:rPr>
          <w:bCs/>
        </w:rPr>
        <w:t xml:space="preserve">s basing on their cost estimates. Also, it </w:t>
      </w:r>
      <w:r w:rsidRPr="00B90FD0">
        <w:rPr>
          <w:lang w:val="en-US"/>
        </w:rPr>
        <w:t>indicates current SSA’s reimbursement level and is the best available information about providers’ absolute and relative costs.</w:t>
      </w:r>
      <w:r w:rsidRPr="00B90FD0">
        <w:rPr>
          <w:bCs/>
        </w:rPr>
        <w:t xml:space="preserve"> </w:t>
      </w:r>
      <w:r w:rsidRPr="00B90FD0">
        <w:rPr>
          <w:lang w:val="en-US"/>
        </w:rPr>
        <w:t xml:space="preserve">Still, it would be important to keep in mind that SSA’s </w:t>
      </w:r>
      <w:r w:rsidR="0027446F">
        <w:rPr>
          <w:lang w:val="en-US"/>
        </w:rPr>
        <w:t>tariff</w:t>
      </w:r>
      <w:r w:rsidRPr="00B90FD0">
        <w:rPr>
          <w:lang w:val="en-US"/>
        </w:rPr>
        <w:t xml:space="preserve">s are based on each provider’s presented </w:t>
      </w:r>
      <w:r w:rsidR="0027446F">
        <w:rPr>
          <w:lang w:val="en-US"/>
        </w:rPr>
        <w:t>tariff</w:t>
      </w:r>
      <w:r w:rsidRPr="00B90FD0">
        <w:rPr>
          <w:lang w:val="en-US"/>
        </w:rPr>
        <w:t xml:space="preserve">s and they do not necessarily reflect the efficient level of resources required to deliver particular services at an acceptable level of quality but may be lower or higher than that. </w:t>
      </w:r>
    </w:p>
    <w:p w14:paraId="7408E3FA" w14:textId="49AC674F" w:rsidR="009C3D49" w:rsidRDefault="009C3D49" w:rsidP="00B90FD0">
      <w:pPr>
        <w:jc w:val="both"/>
        <w:rPr>
          <w:lang w:val="en-US"/>
        </w:rPr>
      </w:pPr>
      <w:r w:rsidRPr="00B90FD0">
        <w:rPr>
          <w:lang w:val="en-US"/>
        </w:rPr>
        <w:lastRenderedPageBreak/>
        <w:t xml:space="preserve">The basis for the DRG </w:t>
      </w:r>
      <w:r w:rsidR="00C90020">
        <w:rPr>
          <w:lang w:val="en-US"/>
        </w:rPr>
        <w:t xml:space="preserve">relative </w:t>
      </w:r>
      <w:r w:rsidRPr="00B90FD0">
        <w:rPr>
          <w:lang w:val="en-US"/>
        </w:rPr>
        <w:t>cost weights calculation is the SSA’s claims database which includes comprehensive set of information</w:t>
      </w:r>
      <w:r w:rsidR="00B90FD0">
        <w:rPr>
          <w:lang w:val="en-US"/>
        </w:rPr>
        <w:t xml:space="preserve"> – </w:t>
      </w:r>
      <w:r w:rsidR="00B90FD0" w:rsidRPr="00B90FD0">
        <w:rPr>
          <w:b/>
          <w:lang w:val="en-US"/>
        </w:rPr>
        <w:t>DRG test database</w:t>
      </w:r>
      <w:r w:rsidRPr="00B90FD0">
        <w:rPr>
          <w:lang w:val="en-US"/>
        </w:rPr>
        <w:t xml:space="preserve">. </w:t>
      </w:r>
    </w:p>
    <w:p w14:paraId="7AB9E205" w14:textId="77777777" w:rsidR="00B90FD0" w:rsidRPr="00B90FD0" w:rsidRDefault="00B90FD0" w:rsidP="00B90FD0">
      <w:pPr>
        <w:jc w:val="both"/>
        <w:rPr>
          <w:lang w:val="en-US"/>
        </w:rPr>
      </w:pPr>
    </w:p>
    <w:p w14:paraId="5CBE3C05" w14:textId="55085A35" w:rsidR="00B90FD0"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 xml:space="preserve">QUESTION FOR THE DRG WG: </w:t>
      </w:r>
    </w:p>
    <w:p w14:paraId="141EE123" w14:textId="0245FB3E" w:rsidR="009C3D49" w:rsidRP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Pr>
          <w:lang w:val="en-US"/>
        </w:rPr>
        <w:t>P</w:t>
      </w:r>
      <w:r w:rsidR="009C3D49" w:rsidRPr="00B90FD0">
        <w:rPr>
          <w:lang w:val="en-US"/>
        </w:rPr>
        <w:t xml:space="preserve">lease </w:t>
      </w:r>
      <w:r>
        <w:rPr>
          <w:lang w:val="en-US"/>
        </w:rPr>
        <w:t>list</w:t>
      </w:r>
      <w:r w:rsidR="009C3D49" w:rsidRPr="00B90FD0">
        <w:rPr>
          <w:lang w:val="en-US"/>
        </w:rPr>
        <w:t xml:space="preserve"> which programs and UHC subprograms will be included to the DRG test database. </w:t>
      </w:r>
    </w:p>
    <w:p w14:paraId="7FAFC42B" w14:textId="3C799179"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NB! Keep in mind that the DRG test database should include all potential programs that </w:t>
      </w:r>
      <w:r w:rsidR="002E677E">
        <w:rPr>
          <w:lang w:val="en-US"/>
        </w:rPr>
        <w:t>are</w:t>
      </w:r>
      <w:r w:rsidRPr="00B90FD0">
        <w:rPr>
          <w:lang w:val="en-US"/>
        </w:rPr>
        <w:t xml:space="preserve"> planned to be covered with DRG payment (focus on inpatient and day care). </w:t>
      </w:r>
    </w:p>
    <w:p w14:paraId="15059844" w14:textId="77777777"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41576FCD" w14:textId="4177348C"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ANSWER BY THE DRG WG:</w:t>
      </w:r>
    </w:p>
    <w:p w14:paraId="1527C31E" w14:textId="77777777" w:rsid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32383B48" w14:textId="77777777" w:rsidR="00B90FD0" w:rsidRP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31750AB9" w14:textId="1ECEB037" w:rsidR="00B90FD0"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 xml:space="preserve">QUESTION FOR THE DRG WG: </w:t>
      </w:r>
    </w:p>
    <w:p w14:paraId="5268EF93" w14:textId="7455E2F9"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Currently one person may receive care under several UHC sub-programs and vertical programs during one hospital stay. Ideally, one hospital stay should be covered with one DRG. </w:t>
      </w:r>
      <w:r w:rsidR="004F741E" w:rsidRPr="00B90FD0">
        <w:rPr>
          <w:lang w:val="en-US"/>
        </w:rPr>
        <w:t>Therefore,</w:t>
      </w:r>
      <w:r w:rsidRPr="00B90FD0">
        <w:rPr>
          <w:lang w:val="en-US"/>
        </w:rPr>
        <w:t xml:space="preserve"> it is advisable to sum all programs during one hospital stay under one case even currently there might be separate claims for that. </w:t>
      </w:r>
    </w:p>
    <w:p w14:paraId="1EBBCE05" w14:textId="77777777"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However, for the analytical purposes it may be important to enable drill-down by different programs and you may discuss if this will be necessary and what are options for that. Also, please keep in mind how you plan to establish DRG grouping during the shadow funding period. If during the shadow funding period there will be separate claims per one hospital stay, then one option is to take these as a separate cases from the DRG perspective as well and to group each claim separately. For the analytical purposes, it would be advisable to add additional data field with the unique identifier to the DRG test database which would enable to group different claims under one hospital stay as one.</w:t>
      </w:r>
    </w:p>
    <w:p w14:paraId="25DB53B6" w14:textId="77777777"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7A4DF68F" w14:textId="32470E33"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ANSWER BY THE DRG WG:</w:t>
      </w:r>
    </w:p>
    <w:p w14:paraId="6AF89A95" w14:textId="77777777" w:rsidR="00B90FD0" w:rsidRP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180C5AE" w14:textId="77777777" w:rsidR="00B90FD0" w:rsidRPr="00B90FD0" w:rsidRDefault="00B90FD0" w:rsidP="00B90FD0">
      <w:pPr>
        <w:jc w:val="both"/>
        <w:rPr>
          <w:lang w:val="en-US"/>
        </w:rPr>
      </w:pPr>
    </w:p>
    <w:p w14:paraId="330D424B" w14:textId="3052D863" w:rsidR="009C3D49" w:rsidRPr="004F741E" w:rsidRDefault="009C3D49" w:rsidP="00B90FD0">
      <w:pPr>
        <w:jc w:val="both"/>
        <w:rPr>
          <w:lang w:val="en-US"/>
        </w:rPr>
      </w:pPr>
      <w:r w:rsidRPr="004F741E">
        <w:rPr>
          <w:lang w:val="en-US"/>
        </w:rPr>
        <w:t xml:space="preserve">Data format for data extraction is given in table </w:t>
      </w:r>
      <w:r w:rsidR="004418DB" w:rsidRPr="004F741E">
        <w:rPr>
          <w:lang w:val="en-US"/>
        </w:rPr>
        <w:t>1</w:t>
      </w:r>
      <w:r w:rsidRPr="004F741E">
        <w:rPr>
          <w:lang w:val="en-US"/>
        </w:rPr>
        <w:t xml:space="preserve">. Data fields marked in yellow should be used as an input file for the DRG grouping by using VisualDRG Georgian version. </w:t>
      </w:r>
    </w:p>
    <w:p w14:paraId="1EB5174E" w14:textId="77777777" w:rsidR="009C3D49" w:rsidRPr="004F741E" w:rsidRDefault="009C3D49" w:rsidP="00B90FD0">
      <w:pPr>
        <w:pStyle w:val="Default"/>
        <w:contextualSpacing/>
        <w:rPr>
          <w:rFonts w:asciiTheme="minorHAnsi" w:hAnsiTheme="minorHAnsi" w:cs="Times New Roman"/>
          <w:lang w:val="en-US"/>
        </w:rPr>
      </w:pPr>
    </w:p>
    <w:p w14:paraId="642C7222" w14:textId="77777777" w:rsidR="00B90FD0" w:rsidRPr="004F741E" w:rsidRDefault="00B90FD0" w:rsidP="00B90FD0">
      <w:pPr>
        <w:pStyle w:val="Default"/>
        <w:contextualSpacing/>
        <w:rPr>
          <w:rFonts w:asciiTheme="minorHAnsi" w:hAnsiTheme="minorHAnsi" w:cs="Times New Roman"/>
          <w:lang w:val="en-US"/>
        </w:rPr>
      </w:pPr>
    </w:p>
    <w:p w14:paraId="244BDFEF" w14:textId="52C07B1E" w:rsidR="009C3D49" w:rsidRPr="00B90FD0" w:rsidRDefault="009C3D49" w:rsidP="00B90FD0">
      <w:pPr>
        <w:pStyle w:val="Default"/>
        <w:contextualSpacing/>
        <w:rPr>
          <w:rFonts w:asciiTheme="minorHAnsi" w:hAnsiTheme="minorHAnsi" w:cs="Times New Roman"/>
          <w:b/>
          <w:lang w:val="en-US"/>
        </w:rPr>
      </w:pPr>
      <w:r w:rsidRPr="004F741E">
        <w:rPr>
          <w:rFonts w:asciiTheme="minorHAnsi" w:hAnsiTheme="minorHAnsi" w:cs="Times New Roman"/>
          <w:b/>
          <w:lang w:val="en-US"/>
        </w:rPr>
        <w:t xml:space="preserve">Table </w:t>
      </w:r>
      <w:r w:rsidR="004418DB" w:rsidRPr="004F741E">
        <w:rPr>
          <w:rFonts w:asciiTheme="minorHAnsi" w:hAnsiTheme="minorHAnsi" w:cs="Times New Roman"/>
          <w:b/>
          <w:lang w:val="en-US"/>
        </w:rPr>
        <w:t>1</w:t>
      </w:r>
      <w:r w:rsidRPr="004F741E">
        <w:rPr>
          <w:rFonts w:asciiTheme="minorHAnsi" w:hAnsiTheme="minorHAnsi" w:cs="Times New Roman"/>
          <w:b/>
          <w:lang w:val="en-US"/>
        </w:rPr>
        <w:t>. Data format for the DRG test database</w:t>
      </w:r>
    </w:p>
    <w:tbl>
      <w:tblPr>
        <w:tblW w:w="9209" w:type="dxa"/>
        <w:jc w:val="center"/>
        <w:tblLayout w:type="fixed"/>
        <w:tblCellMar>
          <w:left w:w="70" w:type="dxa"/>
          <w:right w:w="70" w:type="dxa"/>
        </w:tblCellMar>
        <w:tblLook w:val="04A0" w:firstRow="1" w:lastRow="0" w:firstColumn="1" w:lastColumn="0" w:noHBand="0" w:noVBand="1"/>
      </w:tblPr>
      <w:tblGrid>
        <w:gridCol w:w="3458"/>
        <w:gridCol w:w="1778"/>
        <w:gridCol w:w="3973"/>
      </w:tblGrid>
      <w:tr w:rsidR="009C3D49" w:rsidRPr="00B90FD0" w14:paraId="6FA49F9B" w14:textId="77777777" w:rsidTr="00084091">
        <w:trPr>
          <w:trHeight w:val="288"/>
          <w:tblHeader/>
          <w:jc w:val="center"/>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A8A13" w14:textId="77777777" w:rsidR="009C3D49" w:rsidRPr="00B90FD0" w:rsidRDefault="009C3D49" w:rsidP="00B90FD0">
            <w:pPr>
              <w:rPr>
                <w:rFonts w:eastAsia="Times New Roman" w:cs="Times New Roman"/>
                <w:b/>
                <w:bCs/>
                <w:color w:val="000000"/>
                <w:lang w:val="en-US" w:eastAsia="fi-FI"/>
              </w:rPr>
            </w:pPr>
            <w:r w:rsidRPr="00B90FD0">
              <w:rPr>
                <w:rFonts w:eastAsia="Times New Roman" w:cs="Times New Roman"/>
                <w:b/>
                <w:bCs/>
                <w:color w:val="000000"/>
                <w:lang w:val="en-US" w:eastAsia="fi-FI"/>
              </w:rPr>
              <w:t>Characteristics</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13EFC1DD" w14:textId="77777777" w:rsidR="009C3D49" w:rsidRPr="00B90FD0" w:rsidRDefault="009C3D49" w:rsidP="00084091">
            <w:pPr>
              <w:rPr>
                <w:rFonts w:eastAsia="Times New Roman" w:cs="Times New Roman"/>
                <w:b/>
                <w:bCs/>
                <w:color w:val="000000"/>
                <w:lang w:val="en-US" w:eastAsia="fi-FI"/>
              </w:rPr>
            </w:pPr>
            <w:r w:rsidRPr="00B90FD0">
              <w:rPr>
                <w:rFonts w:eastAsia="Times New Roman" w:cs="Times New Roman"/>
                <w:b/>
                <w:bCs/>
                <w:color w:val="000000"/>
                <w:lang w:val="en-US" w:eastAsia="fi-FI"/>
              </w:rPr>
              <w:t>Example</w:t>
            </w:r>
          </w:p>
        </w:tc>
        <w:tc>
          <w:tcPr>
            <w:tcW w:w="3973" w:type="dxa"/>
            <w:tcBorders>
              <w:top w:val="single" w:sz="4" w:space="0" w:color="auto"/>
              <w:left w:val="nil"/>
              <w:bottom w:val="single" w:sz="4" w:space="0" w:color="auto"/>
              <w:right w:val="single" w:sz="4" w:space="0" w:color="auto"/>
            </w:tcBorders>
            <w:shd w:val="clear" w:color="auto" w:fill="auto"/>
            <w:noWrap/>
            <w:vAlign w:val="center"/>
            <w:hideMark/>
          </w:tcPr>
          <w:p w14:paraId="6FECEF48" w14:textId="77777777" w:rsidR="009C3D49" w:rsidRPr="00B90FD0" w:rsidRDefault="009C3D49" w:rsidP="00084091">
            <w:pPr>
              <w:rPr>
                <w:rFonts w:eastAsia="Times New Roman" w:cs="Times New Roman"/>
                <w:b/>
                <w:bCs/>
                <w:color w:val="000000"/>
                <w:lang w:val="en-US" w:eastAsia="fi-FI"/>
              </w:rPr>
            </w:pPr>
            <w:r w:rsidRPr="00B90FD0">
              <w:rPr>
                <w:rFonts w:eastAsia="Times New Roman" w:cs="Times New Roman"/>
                <w:b/>
                <w:bCs/>
                <w:color w:val="000000"/>
                <w:lang w:val="en-US" w:eastAsia="fi-FI"/>
              </w:rPr>
              <w:t>Comments</w:t>
            </w:r>
          </w:p>
        </w:tc>
      </w:tr>
      <w:tr w:rsidR="009C3D49" w:rsidRPr="00B90FD0" w14:paraId="32F4C1F9"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198BE04B"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CaseID</w:t>
            </w:r>
          </w:p>
        </w:tc>
        <w:tc>
          <w:tcPr>
            <w:tcW w:w="1778" w:type="dxa"/>
            <w:tcBorders>
              <w:top w:val="nil"/>
              <w:left w:val="nil"/>
              <w:bottom w:val="single" w:sz="4" w:space="0" w:color="auto"/>
              <w:right w:val="single" w:sz="4" w:space="0" w:color="auto"/>
            </w:tcBorders>
            <w:shd w:val="clear" w:color="auto" w:fill="auto"/>
            <w:noWrap/>
            <w:vAlign w:val="center"/>
            <w:hideMark/>
          </w:tcPr>
          <w:p w14:paraId="26284EC7"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123456AA</w:t>
            </w:r>
          </w:p>
        </w:tc>
        <w:tc>
          <w:tcPr>
            <w:tcW w:w="3973" w:type="dxa"/>
            <w:tcBorders>
              <w:top w:val="nil"/>
              <w:left w:val="nil"/>
              <w:bottom w:val="single" w:sz="4" w:space="0" w:color="auto"/>
              <w:right w:val="single" w:sz="4" w:space="0" w:color="auto"/>
            </w:tcBorders>
            <w:shd w:val="clear" w:color="auto" w:fill="auto"/>
            <w:noWrap/>
            <w:vAlign w:val="center"/>
            <w:hideMark/>
          </w:tcPr>
          <w:p w14:paraId="7362DE3D" w14:textId="77777777" w:rsidR="009C3D49" w:rsidRPr="00B90FD0" w:rsidRDefault="009C3D49" w:rsidP="00084091">
            <w:pPr>
              <w:rPr>
                <w:rFonts w:eastAsia="Times New Roman" w:cs="Times New Roman"/>
                <w:color w:val="000000"/>
                <w:lang w:val="en-US" w:eastAsia="fi-FI"/>
              </w:rPr>
            </w:pPr>
          </w:p>
        </w:tc>
      </w:tr>
      <w:tr w:rsidR="009C3D49" w:rsidRPr="00B90FD0" w14:paraId="06ACC63E"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72C23203"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Main diagnosis</w:t>
            </w:r>
          </w:p>
        </w:tc>
        <w:tc>
          <w:tcPr>
            <w:tcW w:w="1778" w:type="dxa"/>
            <w:tcBorders>
              <w:top w:val="nil"/>
              <w:left w:val="nil"/>
              <w:bottom w:val="single" w:sz="4" w:space="0" w:color="auto"/>
              <w:right w:val="single" w:sz="4" w:space="0" w:color="auto"/>
            </w:tcBorders>
            <w:shd w:val="clear" w:color="auto" w:fill="auto"/>
            <w:noWrap/>
            <w:vAlign w:val="center"/>
            <w:hideMark/>
          </w:tcPr>
          <w:p w14:paraId="1F05A503"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K802</w:t>
            </w:r>
          </w:p>
        </w:tc>
        <w:tc>
          <w:tcPr>
            <w:tcW w:w="3973" w:type="dxa"/>
            <w:tcBorders>
              <w:top w:val="nil"/>
              <w:left w:val="nil"/>
              <w:bottom w:val="single" w:sz="4" w:space="0" w:color="auto"/>
              <w:right w:val="single" w:sz="4" w:space="0" w:color="auto"/>
            </w:tcBorders>
            <w:shd w:val="clear" w:color="auto" w:fill="auto"/>
            <w:noWrap/>
            <w:vAlign w:val="center"/>
            <w:hideMark/>
          </w:tcPr>
          <w:p w14:paraId="36982AC0"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ICD-10 code at discharge, no punctuation</w:t>
            </w:r>
          </w:p>
        </w:tc>
      </w:tr>
      <w:tr w:rsidR="009C3D49" w:rsidRPr="00B90FD0" w14:paraId="55492A4A"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2D3DFEBC" w14:textId="7A4AFEFA" w:rsidR="009C3D49" w:rsidRPr="00B90FD0" w:rsidRDefault="009C3D49" w:rsidP="0070283D">
            <w:pPr>
              <w:rPr>
                <w:rFonts w:eastAsia="Times New Roman" w:cs="Times New Roman"/>
                <w:color w:val="000000"/>
                <w:lang w:val="en-US" w:eastAsia="fi-FI"/>
              </w:rPr>
            </w:pPr>
            <w:r w:rsidRPr="00B90FD0">
              <w:rPr>
                <w:rFonts w:eastAsia="Times New Roman" w:cs="Times New Roman"/>
                <w:color w:val="000000"/>
                <w:lang w:val="en-US" w:eastAsia="fi-FI"/>
              </w:rPr>
              <w:t xml:space="preserve">Secondary diagnoses </w:t>
            </w:r>
            <w:r w:rsidR="0070283D">
              <w:rPr>
                <w:rFonts w:eastAsia="Times New Roman" w:cs="Times New Roman"/>
                <w:color w:val="000000"/>
                <w:lang w:val="en-US" w:eastAsia="fi-FI"/>
              </w:rPr>
              <w:t xml:space="preserve">(max </w:t>
            </w:r>
            <w:r w:rsidRPr="00B90FD0">
              <w:rPr>
                <w:rFonts w:eastAsia="Times New Roman" w:cs="Times New Roman"/>
                <w:color w:val="000000"/>
                <w:lang w:val="en-US" w:eastAsia="fi-FI"/>
              </w:rPr>
              <w:t>19</w:t>
            </w:r>
            <w:r w:rsidR="0070283D">
              <w:rPr>
                <w:rFonts w:eastAsia="Times New Roman" w:cs="Times New Roman"/>
                <w:color w:val="000000"/>
                <w:lang w:val="en-US" w:eastAsia="fi-FI"/>
              </w:rPr>
              <w:t>)</w:t>
            </w:r>
          </w:p>
        </w:tc>
        <w:tc>
          <w:tcPr>
            <w:tcW w:w="1778" w:type="dxa"/>
            <w:tcBorders>
              <w:top w:val="nil"/>
              <w:left w:val="nil"/>
              <w:bottom w:val="single" w:sz="4" w:space="0" w:color="auto"/>
              <w:right w:val="single" w:sz="4" w:space="0" w:color="auto"/>
            </w:tcBorders>
            <w:shd w:val="clear" w:color="auto" w:fill="auto"/>
            <w:noWrap/>
            <w:vAlign w:val="center"/>
            <w:hideMark/>
          </w:tcPr>
          <w:p w14:paraId="3E622D57"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Z940</w:t>
            </w:r>
          </w:p>
        </w:tc>
        <w:tc>
          <w:tcPr>
            <w:tcW w:w="3973" w:type="dxa"/>
            <w:tcBorders>
              <w:top w:val="nil"/>
              <w:left w:val="nil"/>
              <w:bottom w:val="single" w:sz="4" w:space="0" w:color="auto"/>
              <w:right w:val="single" w:sz="4" w:space="0" w:color="auto"/>
            </w:tcBorders>
            <w:shd w:val="clear" w:color="auto" w:fill="auto"/>
            <w:noWrap/>
            <w:vAlign w:val="center"/>
            <w:hideMark/>
          </w:tcPr>
          <w:p w14:paraId="5772418A"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ICD-10 code at discharge, up to 19 diagnoses may be entered, no punctuation</w:t>
            </w:r>
          </w:p>
        </w:tc>
      </w:tr>
      <w:tr w:rsidR="009C3D49" w:rsidRPr="00B90FD0" w14:paraId="7927682E"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72E84CF2" w14:textId="2A24A439" w:rsidR="009C3D49" w:rsidRPr="00B90FD0" w:rsidRDefault="009C3D49" w:rsidP="0070283D">
            <w:pPr>
              <w:rPr>
                <w:rFonts w:eastAsia="Times New Roman" w:cs="Times New Roman"/>
                <w:color w:val="000000"/>
                <w:lang w:val="en-US" w:eastAsia="fi-FI"/>
              </w:rPr>
            </w:pPr>
            <w:r w:rsidRPr="00B90FD0">
              <w:rPr>
                <w:rFonts w:eastAsia="Times New Roman" w:cs="Times New Roman"/>
                <w:color w:val="000000"/>
                <w:lang w:val="en-US" w:eastAsia="fi-FI"/>
              </w:rPr>
              <w:t xml:space="preserve">Procedure </w:t>
            </w:r>
            <w:r w:rsidR="0070283D">
              <w:rPr>
                <w:rFonts w:eastAsia="Times New Roman" w:cs="Times New Roman"/>
                <w:color w:val="000000"/>
                <w:lang w:val="en-US" w:eastAsia="fi-FI"/>
              </w:rPr>
              <w:t xml:space="preserve">(max </w:t>
            </w:r>
            <w:r w:rsidRPr="00B90FD0">
              <w:rPr>
                <w:rFonts w:eastAsia="Times New Roman" w:cs="Times New Roman"/>
                <w:color w:val="000000"/>
                <w:lang w:val="en-US" w:eastAsia="fi-FI"/>
              </w:rPr>
              <w:t>20</w:t>
            </w:r>
            <w:r w:rsidR="0070283D">
              <w:rPr>
                <w:rFonts w:eastAsia="Times New Roman" w:cs="Times New Roman"/>
                <w:color w:val="000000"/>
                <w:lang w:val="en-US" w:eastAsia="fi-FI"/>
              </w:rPr>
              <w:t>)</w:t>
            </w:r>
          </w:p>
        </w:tc>
        <w:tc>
          <w:tcPr>
            <w:tcW w:w="1778" w:type="dxa"/>
            <w:tcBorders>
              <w:top w:val="nil"/>
              <w:left w:val="nil"/>
              <w:bottom w:val="single" w:sz="4" w:space="0" w:color="auto"/>
              <w:right w:val="single" w:sz="4" w:space="0" w:color="auto"/>
            </w:tcBorders>
            <w:shd w:val="clear" w:color="auto" w:fill="auto"/>
            <w:noWrap/>
            <w:vAlign w:val="center"/>
            <w:hideMark/>
          </w:tcPr>
          <w:p w14:paraId="54DCC79D"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MAXD00</w:t>
            </w:r>
          </w:p>
        </w:tc>
        <w:tc>
          <w:tcPr>
            <w:tcW w:w="3973" w:type="dxa"/>
            <w:tcBorders>
              <w:top w:val="nil"/>
              <w:left w:val="nil"/>
              <w:bottom w:val="single" w:sz="4" w:space="0" w:color="auto"/>
              <w:right w:val="single" w:sz="4" w:space="0" w:color="auto"/>
            </w:tcBorders>
            <w:shd w:val="clear" w:color="auto" w:fill="auto"/>
            <w:noWrap/>
            <w:vAlign w:val="center"/>
            <w:hideMark/>
          </w:tcPr>
          <w:p w14:paraId="34E2BADC"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Up to 20 procedures, no punctuation</w:t>
            </w:r>
          </w:p>
        </w:tc>
      </w:tr>
      <w:tr w:rsidR="009C3D49" w:rsidRPr="00B90FD0" w14:paraId="79DB226D"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77D499E1"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Gender</w:t>
            </w:r>
          </w:p>
        </w:tc>
        <w:tc>
          <w:tcPr>
            <w:tcW w:w="1778" w:type="dxa"/>
            <w:tcBorders>
              <w:top w:val="nil"/>
              <w:left w:val="nil"/>
              <w:bottom w:val="single" w:sz="4" w:space="0" w:color="auto"/>
              <w:right w:val="single" w:sz="4" w:space="0" w:color="auto"/>
            </w:tcBorders>
            <w:shd w:val="clear" w:color="auto" w:fill="auto"/>
            <w:noWrap/>
            <w:vAlign w:val="center"/>
            <w:hideMark/>
          </w:tcPr>
          <w:p w14:paraId="32203F9B"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 2 or 3</w:t>
            </w:r>
          </w:p>
        </w:tc>
        <w:tc>
          <w:tcPr>
            <w:tcW w:w="3973" w:type="dxa"/>
            <w:tcBorders>
              <w:top w:val="nil"/>
              <w:left w:val="nil"/>
              <w:bottom w:val="single" w:sz="4" w:space="0" w:color="auto"/>
              <w:right w:val="single" w:sz="4" w:space="0" w:color="auto"/>
            </w:tcBorders>
            <w:shd w:val="clear" w:color="auto" w:fill="auto"/>
            <w:noWrap/>
            <w:vAlign w:val="center"/>
            <w:hideMark/>
          </w:tcPr>
          <w:p w14:paraId="1A34E252"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1=male, 2=female, 3=unknown</w:t>
            </w:r>
          </w:p>
        </w:tc>
      </w:tr>
      <w:tr w:rsidR="009C3D49" w:rsidRPr="00B90FD0" w14:paraId="76F26D15"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66C4AA1A"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Age (days)</w:t>
            </w:r>
          </w:p>
        </w:tc>
        <w:tc>
          <w:tcPr>
            <w:tcW w:w="1778" w:type="dxa"/>
            <w:tcBorders>
              <w:top w:val="nil"/>
              <w:left w:val="nil"/>
              <w:bottom w:val="single" w:sz="4" w:space="0" w:color="auto"/>
              <w:right w:val="single" w:sz="4" w:space="0" w:color="auto"/>
            </w:tcBorders>
            <w:shd w:val="clear" w:color="auto" w:fill="auto"/>
            <w:noWrap/>
            <w:vAlign w:val="center"/>
            <w:hideMark/>
          </w:tcPr>
          <w:p w14:paraId="21BEA70D"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7300</w:t>
            </w:r>
          </w:p>
        </w:tc>
        <w:tc>
          <w:tcPr>
            <w:tcW w:w="3973" w:type="dxa"/>
            <w:tcBorders>
              <w:top w:val="nil"/>
              <w:left w:val="nil"/>
              <w:bottom w:val="single" w:sz="4" w:space="0" w:color="auto"/>
              <w:right w:val="single" w:sz="4" w:space="0" w:color="auto"/>
            </w:tcBorders>
            <w:shd w:val="clear" w:color="auto" w:fill="auto"/>
            <w:noWrap/>
            <w:vAlign w:val="center"/>
            <w:hideMark/>
          </w:tcPr>
          <w:p w14:paraId="2A1B5E03"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Patient age in days at admission</w:t>
            </w:r>
          </w:p>
        </w:tc>
      </w:tr>
      <w:tr w:rsidR="009C3D49" w:rsidRPr="00B90FD0" w14:paraId="68404638" w14:textId="77777777" w:rsidTr="00084091">
        <w:trPr>
          <w:trHeight w:val="864"/>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4D4FB038"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Discharge</w:t>
            </w:r>
          </w:p>
        </w:tc>
        <w:tc>
          <w:tcPr>
            <w:tcW w:w="1778" w:type="dxa"/>
            <w:tcBorders>
              <w:top w:val="nil"/>
              <w:left w:val="nil"/>
              <w:bottom w:val="nil"/>
              <w:right w:val="single" w:sz="4" w:space="0" w:color="auto"/>
            </w:tcBorders>
            <w:shd w:val="clear" w:color="auto" w:fill="auto"/>
            <w:noWrap/>
            <w:vAlign w:val="center"/>
            <w:hideMark/>
          </w:tcPr>
          <w:p w14:paraId="05283C46"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 2, 3 or 4</w:t>
            </w:r>
          </w:p>
        </w:tc>
        <w:tc>
          <w:tcPr>
            <w:tcW w:w="3973" w:type="dxa"/>
            <w:tcBorders>
              <w:top w:val="nil"/>
              <w:left w:val="nil"/>
              <w:bottom w:val="single" w:sz="4" w:space="0" w:color="auto"/>
              <w:right w:val="single" w:sz="4" w:space="0" w:color="auto"/>
            </w:tcBorders>
            <w:shd w:val="clear" w:color="auto" w:fill="auto"/>
            <w:vAlign w:val="center"/>
            <w:hideMark/>
          </w:tcPr>
          <w:p w14:paraId="739CFA6E"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2=transferred to another hospital, 3=left against medical advice, 4=dead, 1=any other including normal discharge to home or unknown.</w:t>
            </w:r>
          </w:p>
        </w:tc>
      </w:tr>
      <w:tr w:rsidR="009C3D49" w:rsidRPr="00B90FD0" w14:paraId="2B3A2814"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04D2C0B8"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lastRenderedPageBreak/>
              <w:t>Length of stay (LOS)</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2437F550"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5</w:t>
            </w:r>
          </w:p>
        </w:tc>
        <w:tc>
          <w:tcPr>
            <w:tcW w:w="3973" w:type="dxa"/>
            <w:tcBorders>
              <w:top w:val="nil"/>
              <w:left w:val="nil"/>
              <w:bottom w:val="single" w:sz="4" w:space="0" w:color="auto"/>
              <w:right w:val="single" w:sz="4" w:space="0" w:color="auto"/>
            </w:tcBorders>
            <w:shd w:val="clear" w:color="auto" w:fill="auto"/>
            <w:noWrap/>
            <w:vAlign w:val="center"/>
            <w:hideMark/>
          </w:tcPr>
          <w:p w14:paraId="11CAC6D2"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LOS in days</w:t>
            </w:r>
          </w:p>
        </w:tc>
      </w:tr>
      <w:tr w:rsidR="009C3D49" w:rsidRPr="00B90FD0" w14:paraId="37A1E344"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71204D2C"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Provider's name</w:t>
            </w:r>
          </w:p>
        </w:tc>
        <w:tc>
          <w:tcPr>
            <w:tcW w:w="1778" w:type="dxa"/>
            <w:tcBorders>
              <w:top w:val="nil"/>
              <w:left w:val="nil"/>
              <w:bottom w:val="single" w:sz="4" w:space="0" w:color="auto"/>
              <w:right w:val="single" w:sz="4" w:space="0" w:color="auto"/>
            </w:tcBorders>
            <w:shd w:val="clear" w:color="auto" w:fill="auto"/>
            <w:noWrap/>
            <w:vAlign w:val="center"/>
            <w:hideMark/>
          </w:tcPr>
          <w:p w14:paraId="7F3D7CE1"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74ECB327" w14:textId="77777777" w:rsidR="009C3D49" w:rsidRPr="00B90FD0" w:rsidRDefault="009C3D49" w:rsidP="00084091">
            <w:pPr>
              <w:rPr>
                <w:rFonts w:eastAsia="Times New Roman" w:cs="Times New Roman"/>
                <w:color w:val="000000"/>
                <w:lang w:val="en-US" w:eastAsia="fi-FI"/>
              </w:rPr>
            </w:pPr>
          </w:p>
        </w:tc>
      </w:tr>
      <w:tr w:rsidR="009C3D49" w:rsidRPr="00B90FD0" w14:paraId="0BB2F3BA"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8988A88"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Provider's ID</w:t>
            </w:r>
          </w:p>
        </w:tc>
        <w:tc>
          <w:tcPr>
            <w:tcW w:w="1778" w:type="dxa"/>
            <w:tcBorders>
              <w:top w:val="nil"/>
              <w:left w:val="nil"/>
              <w:bottom w:val="single" w:sz="4" w:space="0" w:color="auto"/>
              <w:right w:val="single" w:sz="4" w:space="0" w:color="auto"/>
            </w:tcBorders>
            <w:shd w:val="clear" w:color="auto" w:fill="auto"/>
            <w:noWrap/>
            <w:vAlign w:val="center"/>
            <w:hideMark/>
          </w:tcPr>
          <w:p w14:paraId="6F0773A5"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0BEC84E5" w14:textId="77777777" w:rsidR="009C3D49" w:rsidRPr="00B90FD0" w:rsidRDefault="009C3D49" w:rsidP="00084091">
            <w:pPr>
              <w:rPr>
                <w:rFonts w:eastAsia="Times New Roman" w:cs="Times New Roman"/>
                <w:color w:val="000000"/>
                <w:lang w:val="en-US" w:eastAsia="fi-FI"/>
              </w:rPr>
            </w:pPr>
          </w:p>
        </w:tc>
      </w:tr>
      <w:tr w:rsidR="009C3D49" w:rsidRPr="00B90FD0" w14:paraId="6CE978D1"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6B3CD253"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Provider's region</w:t>
            </w:r>
          </w:p>
        </w:tc>
        <w:tc>
          <w:tcPr>
            <w:tcW w:w="1778" w:type="dxa"/>
            <w:tcBorders>
              <w:top w:val="nil"/>
              <w:left w:val="nil"/>
              <w:bottom w:val="single" w:sz="4" w:space="0" w:color="auto"/>
              <w:right w:val="single" w:sz="4" w:space="0" w:color="auto"/>
            </w:tcBorders>
            <w:shd w:val="clear" w:color="auto" w:fill="auto"/>
            <w:noWrap/>
            <w:vAlign w:val="center"/>
            <w:hideMark/>
          </w:tcPr>
          <w:p w14:paraId="175DBD5B"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023601A3" w14:textId="77777777" w:rsidR="009C3D49" w:rsidRPr="00B90FD0" w:rsidRDefault="009C3D49" w:rsidP="00084091">
            <w:pPr>
              <w:rPr>
                <w:rFonts w:eastAsia="Times New Roman" w:cs="Times New Roman"/>
                <w:color w:val="000000"/>
                <w:lang w:val="en-US" w:eastAsia="fi-FI"/>
              </w:rPr>
            </w:pPr>
          </w:p>
        </w:tc>
      </w:tr>
      <w:tr w:rsidR="009C3D49" w:rsidRPr="00B90FD0" w14:paraId="32C070CD"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3CCE961"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Profile of hospital1</w:t>
            </w:r>
          </w:p>
        </w:tc>
        <w:tc>
          <w:tcPr>
            <w:tcW w:w="1778" w:type="dxa"/>
            <w:tcBorders>
              <w:top w:val="nil"/>
              <w:left w:val="nil"/>
              <w:bottom w:val="single" w:sz="4" w:space="0" w:color="auto"/>
              <w:right w:val="single" w:sz="4" w:space="0" w:color="auto"/>
            </w:tcBorders>
            <w:shd w:val="clear" w:color="auto" w:fill="auto"/>
            <w:noWrap/>
            <w:vAlign w:val="center"/>
            <w:hideMark/>
          </w:tcPr>
          <w:p w14:paraId="77221DF4"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72E4132C"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Multi-profile/single-profile</w:t>
            </w:r>
          </w:p>
        </w:tc>
      </w:tr>
      <w:tr w:rsidR="009C3D49" w:rsidRPr="00B90FD0" w14:paraId="0B533E52"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1BB43F04"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Profile of hospital2</w:t>
            </w:r>
          </w:p>
        </w:tc>
        <w:tc>
          <w:tcPr>
            <w:tcW w:w="1778" w:type="dxa"/>
            <w:tcBorders>
              <w:top w:val="nil"/>
              <w:left w:val="nil"/>
              <w:bottom w:val="single" w:sz="4" w:space="0" w:color="auto"/>
              <w:right w:val="single" w:sz="4" w:space="0" w:color="auto"/>
            </w:tcBorders>
            <w:shd w:val="clear" w:color="auto" w:fill="auto"/>
            <w:noWrap/>
            <w:vAlign w:val="center"/>
            <w:hideMark/>
          </w:tcPr>
          <w:p w14:paraId="6CE24E6C"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40E77A7F"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Rayon/regional</w:t>
            </w:r>
          </w:p>
        </w:tc>
      </w:tr>
      <w:tr w:rsidR="009C3D49" w:rsidRPr="00B90FD0" w14:paraId="581F6CB8"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138A7DA6"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 of beds of provider</w:t>
            </w:r>
          </w:p>
        </w:tc>
        <w:tc>
          <w:tcPr>
            <w:tcW w:w="1778" w:type="dxa"/>
            <w:tcBorders>
              <w:top w:val="nil"/>
              <w:left w:val="nil"/>
              <w:bottom w:val="single" w:sz="4" w:space="0" w:color="auto"/>
              <w:right w:val="single" w:sz="4" w:space="0" w:color="auto"/>
            </w:tcBorders>
            <w:shd w:val="clear" w:color="auto" w:fill="auto"/>
            <w:noWrap/>
            <w:vAlign w:val="center"/>
            <w:hideMark/>
          </w:tcPr>
          <w:p w14:paraId="43030313"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6599CB76" w14:textId="77777777" w:rsidR="009C3D49" w:rsidRPr="00B90FD0" w:rsidRDefault="009C3D49" w:rsidP="00084091">
            <w:pPr>
              <w:rPr>
                <w:rFonts w:eastAsia="Times New Roman" w:cs="Times New Roman"/>
                <w:color w:val="000000"/>
                <w:lang w:val="en-US" w:eastAsia="fi-FI"/>
              </w:rPr>
            </w:pPr>
          </w:p>
        </w:tc>
      </w:tr>
      <w:tr w:rsidR="009C3D49" w:rsidRPr="00B90FD0" w14:paraId="3B3744E7"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489ABC8A"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Reimbursement rate (SSA), in total</w:t>
            </w:r>
          </w:p>
        </w:tc>
        <w:tc>
          <w:tcPr>
            <w:tcW w:w="1778" w:type="dxa"/>
            <w:tcBorders>
              <w:top w:val="nil"/>
              <w:left w:val="nil"/>
              <w:bottom w:val="single" w:sz="4" w:space="0" w:color="auto"/>
              <w:right w:val="single" w:sz="4" w:space="0" w:color="auto"/>
            </w:tcBorders>
            <w:shd w:val="clear" w:color="auto" w:fill="auto"/>
            <w:noWrap/>
            <w:vAlign w:val="center"/>
            <w:hideMark/>
          </w:tcPr>
          <w:p w14:paraId="733FD0F9"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7240CE4D"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No division between programs</w:t>
            </w:r>
          </w:p>
        </w:tc>
      </w:tr>
      <w:tr w:rsidR="009C3D49" w:rsidRPr="00B90FD0" w14:paraId="2AF60453"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25B1F2B" w14:textId="4E4D2843" w:rsidR="009C3D49" w:rsidRPr="00B90FD0" w:rsidRDefault="009C3D49" w:rsidP="00B90FD0">
            <w:r w:rsidRPr="00B90FD0">
              <w:t>RealProvider</w:t>
            </w:r>
            <w:r w:rsidR="0027446F">
              <w:t>Tariff</w:t>
            </w:r>
          </w:p>
        </w:tc>
        <w:tc>
          <w:tcPr>
            <w:tcW w:w="1778" w:type="dxa"/>
            <w:tcBorders>
              <w:top w:val="nil"/>
              <w:left w:val="nil"/>
              <w:bottom w:val="single" w:sz="4" w:space="0" w:color="auto"/>
              <w:right w:val="single" w:sz="4" w:space="0" w:color="auto"/>
            </w:tcBorders>
            <w:shd w:val="clear" w:color="auto" w:fill="auto"/>
            <w:noWrap/>
            <w:vAlign w:val="center"/>
          </w:tcPr>
          <w:p w14:paraId="0CC798E1"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6040A490" w14:textId="238F38E8" w:rsidR="009C3D49" w:rsidRPr="00B90FD0" w:rsidRDefault="009C3D49" w:rsidP="00084091">
            <w:r w:rsidRPr="00B90FD0">
              <w:t xml:space="preserve">Sum of provider’s </w:t>
            </w:r>
            <w:r w:rsidR="0027446F">
              <w:t>tariff</w:t>
            </w:r>
            <w:r w:rsidRPr="00B90FD0">
              <w:t>s across UHC and vertical programs shown in the claim that equals ReportingPayedAmount+PatientOOP</w:t>
            </w:r>
          </w:p>
        </w:tc>
      </w:tr>
      <w:tr w:rsidR="009C3D49" w:rsidRPr="00B90FD0" w14:paraId="6EA2273C"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3B10C017" w14:textId="77777777" w:rsidR="009C3D49" w:rsidRPr="00B90FD0" w:rsidRDefault="009C3D49" w:rsidP="00B90FD0">
            <w:r w:rsidRPr="00B90FD0">
              <w:t>ReportingPayedAmount</w:t>
            </w:r>
          </w:p>
        </w:tc>
        <w:tc>
          <w:tcPr>
            <w:tcW w:w="1778" w:type="dxa"/>
            <w:tcBorders>
              <w:top w:val="nil"/>
              <w:left w:val="nil"/>
              <w:bottom w:val="single" w:sz="4" w:space="0" w:color="auto"/>
              <w:right w:val="single" w:sz="4" w:space="0" w:color="auto"/>
            </w:tcBorders>
            <w:shd w:val="clear" w:color="auto" w:fill="auto"/>
            <w:noWrap/>
            <w:vAlign w:val="center"/>
          </w:tcPr>
          <w:p w14:paraId="0CA60754"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5873D43E" w14:textId="7B9D0BF1" w:rsidR="009C3D49" w:rsidRPr="00B90FD0" w:rsidRDefault="009C3D49" w:rsidP="00084091">
            <w:r w:rsidRPr="00B90FD0">
              <w:t xml:space="preserve">Sum of </w:t>
            </w:r>
            <w:r w:rsidR="0027446F">
              <w:t>tariff</w:t>
            </w:r>
            <w:r w:rsidRPr="00B90FD0">
              <w:t>s payed by SSA across UHC and vertical programs for a particular provider</w:t>
            </w:r>
          </w:p>
        </w:tc>
      </w:tr>
      <w:tr w:rsidR="009C3D49" w:rsidRPr="00B90FD0" w14:paraId="2DEE78FB"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DC82B65" w14:textId="77777777" w:rsidR="009C3D49" w:rsidRPr="00B90FD0" w:rsidRDefault="009C3D49" w:rsidP="00B90FD0">
            <w:r w:rsidRPr="00B90FD0">
              <w:t>ReportingInvoiceAmount</w:t>
            </w:r>
          </w:p>
        </w:tc>
        <w:tc>
          <w:tcPr>
            <w:tcW w:w="1778" w:type="dxa"/>
            <w:tcBorders>
              <w:top w:val="nil"/>
              <w:left w:val="nil"/>
              <w:bottom w:val="single" w:sz="4" w:space="0" w:color="auto"/>
              <w:right w:val="single" w:sz="4" w:space="0" w:color="auto"/>
            </w:tcBorders>
            <w:shd w:val="clear" w:color="auto" w:fill="auto"/>
            <w:noWrap/>
            <w:vAlign w:val="center"/>
          </w:tcPr>
          <w:p w14:paraId="6335B29B"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1E11DA40" w14:textId="7A574E4F" w:rsidR="009C3D49" w:rsidRPr="00B90FD0" w:rsidRDefault="009C3D49" w:rsidP="00084091">
            <w:r w:rsidRPr="00B90FD0">
              <w:t>Equals RealProvider</w:t>
            </w:r>
            <w:r w:rsidR="0027446F">
              <w:t>tariff</w:t>
            </w:r>
          </w:p>
        </w:tc>
      </w:tr>
      <w:tr w:rsidR="009C3D49" w:rsidRPr="00B90FD0" w14:paraId="2D0CE81A"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30A403B6" w14:textId="77777777" w:rsidR="009C3D49" w:rsidRPr="00B90FD0" w:rsidRDefault="009C3D49" w:rsidP="00B90FD0">
            <w:r w:rsidRPr="00B90FD0">
              <w:t>MaxUnitCost</w:t>
            </w:r>
          </w:p>
        </w:tc>
        <w:tc>
          <w:tcPr>
            <w:tcW w:w="1778" w:type="dxa"/>
            <w:tcBorders>
              <w:top w:val="nil"/>
              <w:left w:val="nil"/>
              <w:bottom w:val="single" w:sz="4" w:space="0" w:color="auto"/>
              <w:right w:val="single" w:sz="4" w:space="0" w:color="auto"/>
            </w:tcBorders>
            <w:shd w:val="clear" w:color="auto" w:fill="auto"/>
            <w:noWrap/>
            <w:vAlign w:val="center"/>
          </w:tcPr>
          <w:p w14:paraId="1F2F1E62"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6DAD5118" w14:textId="56A89C6C" w:rsidR="009C3D49" w:rsidRPr="00B90FD0" w:rsidRDefault="009C3D49" w:rsidP="00084091">
            <w:r w:rsidRPr="00B90FD0">
              <w:t xml:space="preserve">Sum of maximum </w:t>
            </w:r>
            <w:r w:rsidR="0027446F">
              <w:t>tariff</w:t>
            </w:r>
            <w:r w:rsidRPr="00B90FD0">
              <w:t>s by SSA across UHC and vertical programs for a particular treatment case</w:t>
            </w:r>
          </w:p>
        </w:tc>
      </w:tr>
      <w:tr w:rsidR="009C3D49" w:rsidRPr="00B90FD0" w14:paraId="2E1593B7"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6330F3F3" w14:textId="77777777" w:rsidR="009C3D49" w:rsidRPr="00B90FD0" w:rsidRDefault="009C3D49" w:rsidP="00B90FD0">
            <w:r w:rsidRPr="00B90FD0">
              <w:t>PatientOOP</w:t>
            </w:r>
          </w:p>
        </w:tc>
        <w:tc>
          <w:tcPr>
            <w:tcW w:w="1778" w:type="dxa"/>
            <w:tcBorders>
              <w:top w:val="nil"/>
              <w:left w:val="nil"/>
              <w:bottom w:val="single" w:sz="4" w:space="0" w:color="auto"/>
              <w:right w:val="single" w:sz="4" w:space="0" w:color="auto"/>
            </w:tcBorders>
            <w:shd w:val="clear" w:color="auto" w:fill="auto"/>
            <w:noWrap/>
            <w:vAlign w:val="center"/>
          </w:tcPr>
          <w:p w14:paraId="680BAE8E"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23347267" w14:textId="77777777" w:rsidR="009C3D49" w:rsidRPr="00B90FD0" w:rsidRDefault="009C3D49" w:rsidP="00084091">
            <w:r w:rsidRPr="00B90FD0">
              <w:t>Sum of patient OOP for a particular case across UHC and vertical programs</w:t>
            </w:r>
          </w:p>
        </w:tc>
      </w:tr>
      <w:tr w:rsidR="009C3D49" w:rsidRPr="00B90FD0" w14:paraId="4DE9073C"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0CD09319"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Arrival to hospital</w:t>
            </w:r>
          </w:p>
        </w:tc>
        <w:tc>
          <w:tcPr>
            <w:tcW w:w="1778" w:type="dxa"/>
            <w:tcBorders>
              <w:top w:val="nil"/>
              <w:left w:val="nil"/>
              <w:bottom w:val="single" w:sz="4" w:space="0" w:color="auto"/>
              <w:right w:val="single" w:sz="4" w:space="0" w:color="auto"/>
            </w:tcBorders>
            <w:shd w:val="clear" w:color="auto" w:fill="auto"/>
            <w:noWrap/>
            <w:vAlign w:val="center"/>
            <w:hideMark/>
          </w:tcPr>
          <w:p w14:paraId="38A7E1BA"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1B8B6687"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By ambulance, transferred, by him/herself</w:t>
            </w:r>
          </w:p>
        </w:tc>
      </w:tr>
      <w:tr w:rsidR="009C3D49" w:rsidRPr="00B90FD0" w14:paraId="781C480B"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7FC7597E"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Place of living</w:t>
            </w:r>
          </w:p>
        </w:tc>
        <w:tc>
          <w:tcPr>
            <w:tcW w:w="1778" w:type="dxa"/>
            <w:tcBorders>
              <w:top w:val="nil"/>
              <w:left w:val="nil"/>
              <w:bottom w:val="single" w:sz="4" w:space="0" w:color="auto"/>
              <w:right w:val="single" w:sz="4" w:space="0" w:color="auto"/>
            </w:tcBorders>
            <w:shd w:val="clear" w:color="auto" w:fill="auto"/>
            <w:noWrap/>
            <w:vAlign w:val="center"/>
            <w:hideMark/>
          </w:tcPr>
          <w:p w14:paraId="1DC128AB"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1641DF32"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According to Civil Registry</w:t>
            </w:r>
          </w:p>
        </w:tc>
      </w:tr>
      <w:tr w:rsidR="009C3D49" w:rsidRPr="00B90FD0" w14:paraId="720C72EB"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7004C7C1"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Beneficiary status</w:t>
            </w:r>
          </w:p>
        </w:tc>
        <w:tc>
          <w:tcPr>
            <w:tcW w:w="1778" w:type="dxa"/>
            <w:tcBorders>
              <w:top w:val="nil"/>
              <w:left w:val="nil"/>
              <w:bottom w:val="single" w:sz="4" w:space="0" w:color="auto"/>
              <w:right w:val="single" w:sz="4" w:space="0" w:color="auto"/>
            </w:tcBorders>
            <w:shd w:val="clear" w:color="auto" w:fill="auto"/>
            <w:noWrap/>
            <w:vAlign w:val="center"/>
            <w:hideMark/>
          </w:tcPr>
          <w:p w14:paraId="02701766"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213E6744" w14:textId="77777777" w:rsidR="009C3D49" w:rsidRPr="00B90FD0" w:rsidRDefault="009C3D49" w:rsidP="00084091">
            <w:pPr>
              <w:rPr>
                <w:rFonts w:eastAsia="Times New Roman" w:cs="Times New Roman"/>
                <w:color w:val="000000"/>
                <w:lang w:val="en-US" w:eastAsia="fi-FI"/>
              </w:rPr>
            </w:pPr>
          </w:p>
        </w:tc>
      </w:tr>
      <w:tr w:rsidR="009C3D49" w:rsidRPr="00B90FD0" w14:paraId="27BEC272"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62A1A2B2"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Weight of birth (grams)</w:t>
            </w:r>
          </w:p>
        </w:tc>
        <w:tc>
          <w:tcPr>
            <w:tcW w:w="1778" w:type="dxa"/>
            <w:tcBorders>
              <w:top w:val="nil"/>
              <w:left w:val="nil"/>
              <w:bottom w:val="single" w:sz="4" w:space="0" w:color="auto"/>
              <w:right w:val="single" w:sz="4" w:space="0" w:color="auto"/>
            </w:tcBorders>
            <w:shd w:val="clear" w:color="auto" w:fill="auto"/>
            <w:noWrap/>
            <w:vAlign w:val="center"/>
            <w:hideMark/>
          </w:tcPr>
          <w:p w14:paraId="6DEB7448"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750</w:t>
            </w:r>
          </w:p>
        </w:tc>
        <w:tc>
          <w:tcPr>
            <w:tcW w:w="3973" w:type="dxa"/>
            <w:tcBorders>
              <w:top w:val="nil"/>
              <w:left w:val="nil"/>
              <w:bottom w:val="single" w:sz="4" w:space="0" w:color="auto"/>
              <w:right w:val="single" w:sz="4" w:space="0" w:color="auto"/>
            </w:tcBorders>
            <w:shd w:val="clear" w:color="auto" w:fill="auto"/>
            <w:noWrap/>
            <w:vAlign w:val="center"/>
            <w:hideMark/>
          </w:tcPr>
          <w:p w14:paraId="7CD8E464"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If neonate</w:t>
            </w:r>
          </w:p>
        </w:tc>
      </w:tr>
    </w:tbl>
    <w:p w14:paraId="5C365B77" w14:textId="77777777" w:rsidR="009C3D49" w:rsidRPr="00B90FD0" w:rsidRDefault="009C3D49" w:rsidP="00B90FD0">
      <w:pPr>
        <w:pStyle w:val="Default"/>
        <w:contextualSpacing/>
        <w:rPr>
          <w:rFonts w:asciiTheme="minorHAnsi" w:hAnsiTheme="minorHAnsi" w:cs="Times New Roman"/>
          <w:lang w:val="en-US"/>
        </w:rPr>
      </w:pPr>
    </w:p>
    <w:tbl>
      <w:tblPr>
        <w:tblW w:w="2694" w:type="dxa"/>
        <w:tblCellMar>
          <w:left w:w="70" w:type="dxa"/>
          <w:right w:w="70" w:type="dxa"/>
        </w:tblCellMar>
        <w:tblLook w:val="04A0" w:firstRow="1" w:lastRow="0" w:firstColumn="1" w:lastColumn="0" w:noHBand="0" w:noVBand="1"/>
      </w:tblPr>
      <w:tblGrid>
        <w:gridCol w:w="2694"/>
      </w:tblGrid>
      <w:tr w:rsidR="009C3D49" w:rsidRPr="00B90FD0" w14:paraId="72251206" w14:textId="77777777" w:rsidTr="00B51EFF">
        <w:trPr>
          <w:trHeight w:val="288"/>
        </w:trPr>
        <w:tc>
          <w:tcPr>
            <w:tcW w:w="2694" w:type="dxa"/>
            <w:tcBorders>
              <w:top w:val="nil"/>
              <w:left w:val="nil"/>
              <w:bottom w:val="nil"/>
              <w:right w:val="nil"/>
            </w:tcBorders>
            <w:shd w:val="clear" w:color="000000" w:fill="FFF2CC" w:themeFill="accent4" w:themeFillTint="33"/>
            <w:noWrap/>
            <w:vAlign w:val="bottom"/>
            <w:hideMark/>
          </w:tcPr>
          <w:p w14:paraId="2C5FCC15" w14:textId="77777777" w:rsidR="009C3D49" w:rsidRPr="00B90FD0" w:rsidRDefault="009C3D49" w:rsidP="00B90FD0">
            <w:pPr>
              <w:rPr>
                <w:rFonts w:eastAsia="Times New Roman" w:cs="Times New Roman"/>
                <w:bCs/>
                <w:color w:val="000000"/>
                <w:lang w:val="en-US" w:eastAsia="fi-FI"/>
              </w:rPr>
            </w:pPr>
            <w:r w:rsidRPr="00B90FD0">
              <w:rPr>
                <w:rFonts w:eastAsia="Times New Roman" w:cs="Times New Roman"/>
                <w:bCs/>
                <w:color w:val="000000"/>
                <w:lang w:val="en-US" w:eastAsia="fi-FI"/>
              </w:rPr>
              <w:t>Data needed for grouping</w:t>
            </w:r>
          </w:p>
        </w:tc>
      </w:tr>
      <w:tr w:rsidR="009C3D49" w:rsidRPr="00B90FD0" w14:paraId="6A1E97DE" w14:textId="77777777" w:rsidTr="00B51EFF">
        <w:trPr>
          <w:trHeight w:val="288"/>
        </w:trPr>
        <w:tc>
          <w:tcPr>
            <w:tcW w:w="2694" w:type="dxa"/>
            <w:tcBorders>
              <w:top w:val="nil"/>
              <w:left w:val="nil"/>
              <w:bottom w:val="nil"/>
              <w:right w:val="nil"/>
            </w:tcBorders>
            <w:shd w:val="clear" w:color="000000" w:fill="C6E0B4"/>
            <w:noWrap/>
            <w:vAlign w:val="bottom"/>
            <w:hideMark/>
          </w:tcPr>
          <w:p w14:paraId="13316C90"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Data needed for analysis</w:t>
            </w:r>
          </w:p>
        </w:tc>
      </w:tr>
    </w:tbl>
    <w:p w14:paraId="32B50B65" w14:textId="77777777" w:rsidR="009C3D49" w:rsidRPr="00B90FD0" w:rsidRDefault="009C3D49" w:rsidP="00B90FD0">
      <w:pPr>
        <w:pStyle w:val="Default"/>
        <w:contextualSpacing/>
        <w:rPr>
          <w:rFonts w:asciiTheme="minorHAnsi" w:hAnsiTheme="minorHAnsi" w:cs="Times New Roman"/>
          <w:lang w:val="en-US"/>
        </w:rPr>
      </w:pPr>
    </w:p>
    <w:p w14:paraId="6683032C" w14:textId="77777777" w:rsidR="009C3D49" w:rsidRPr="00B90FD0" w:rsidRDefault="009C3D49" w:rsidP="00B90FD0">
      <w:pPr>
        <w:jc w:val="both"/>
        <w:rPr>
          <w:b/>
          <w:lang w:val="en-US"/>
        </w:rPr>
      </w:pPr>
    </w:p>
    <w:p w14:paraId="4B1D94E3" w14:textId="7EA8C8DD" w:rsidR="009C3D49" w:rsidRPr="004F741E" w:rsidRDefault="009C3D49" w:rsidP="00B90FD0">
      <w:pPr>
        <w:jc w:val="both"/>
        <w:rPr>
          <w:lang w:val="en-US"/>
        </w:rPr>
      </w:pPr>
      <w:r w:rsidRPr="004F741E">
        <w:t>T</w:t>
      </w:r>
      <w:r w:rsidRPr="004F741E">
        <w:rPr>
          <w:lang w:val="en-US"/>
        </w:rPr>
        <w:t xml:space="preserve">he SSA’s database includes 5 different characteristics related to tariffs (see table </w:t>
      </w:r>
      <w:r w:rsidR="004418DB" w:rsidRPr="004F741E">
        <w:rPr>
          <w:lang w:val="en-US"/>
        </w:rPr>
        <w:t>2</w:t>
      </w:r>
      <w:r w:rsidRPr="004F741E">
        <w:rPr>
          <w:lang w:val="en-US"/>
        </w:rPr>
        <w:t xml:space="preserve">). Tariffs are aggregated at the case level meaning that one case (medical claim presented to the SSA) may summarize information about several tariffs if patient was receiving services covered from several programs (UHC different components as well as vertical programs). Also, the SSA’s </w:t>
      </w:r>
      <w:r w:rsidR="0027446F">
        <w:rPr>
          <w:lang w:val="en-US"/>
        </w:rPr>
        <w:t>tariff</w:t>
      </w:r>
      <w:r w:rsidRPr="004F741E">
        <w:rPr>
          <w:lang w:val="en-US"/>
        </w:rPr>
        <w:t xml:space="preserve"> for the same case may vary depending on the UHC sub-package tariff setting principles. For example, SSA sets same tariff for all providers for urgent services but enables tariffs to vary by providers for planned surgery. Tariff differences for the same service could also be explained by patient copayments, which vary based on the patient’s beneficiary group. The patient’s official out of pocket payment (PatientOOP) is the difference between the provider </w:t>
      </w:r>
      <w:r w:rsidR="0027446F">
        <w:rPr>
          <w:lang w:val="en-US"/>
        </w:rPr>
        <w:t>tariff</w:t>
      </w:r>
      <w:r w:rsidRPr="004F741E">
        <w:rPr>
          <w:lang w:val="en-US"/>
        </w:rPr>
        <w:t xml:space="preserve"> (RealProvider</w:t>
      </w:r>
      <w:r w:rsidR="0027446F">
        <w:rPr>
          <w:lang w:val="en-US"/>
        </w:rPr>
        <w:t>tariff</w:t>
      </w:r>
      <w:r w:rsidRPr="004F741E">
        <w:rPr>
          <w:lang w:val="en-US"/>
        </w:rPr>
        <w:t>) and the amount paid by the SSA (ReportingPayedAmount), which varies by UHC sub-programs and beneficiary status</w:t>
      </w:r>
      <w:r w:rsidRPr="004F741E">
        <w:rPr>
          <w:rStyle w:val="FootnoteReference"/>
        </w:rPr>
        <w:footnoteReference w:id="2"/>
      </w:r>
      <w:r w:rsidRPr="004F741E">
        <w:rPr>
          <w:lang w:val="en-US"/>
        </w:rPr>
        <w:t xml:space="preserve">. </w:t>
      </w:r>
    </w:p>
    <w:p w14:paraId="4D70F6F0" w14:textId="77777777" w:rsidR="009C3D49" w:rsidRDefault="009C3D49" w:rsidP="00B90FD0">
      <w:pPr>
        <w:rPr>
          <w:lang w:val="en-US"/>
        </w:rPr>
      </w:pPr>
    </w:p>
    <w:p w14:paraId="7604256D" w14:textId="77777777" w:rsidR="004F741E" w:rsidRPr="004F741E" w:rsidRDefault="004F741E" w:rsidP="00B90FD0">
      <w:pPr>
        <w:rPr>
          <w:lang w:val="en-US"/>
        </w:rPr>
      </w:pPr>
    </w:p>
    <w:p w14:paraId="1D8D305E" w14:textId="181CBDBD" w:rsidR="009C3D49" w:rsidRPr="00B90FD0" w:rsidRDefault="009C3D49" w:rsidP="00B90FD0">
      <w:pPr>
        <w:rPr>
          <w:b/>
          <w:lang w:val="en-US"/>
        </w:rPr>
      </w:pPr>
      <w:r w:rsidRPr="004F741E">
        <w:rPr>
          <w:b/>
          <w:lang w:val="en-US"/>
        </w:rPr>
        <w:t xml:space="preserve">Table </w:t>
      </w:r>
      <w:r w:rsidR="004418DB" w:rsidRPr="004F741E">
        <w:rPr>
          <w:b/>
          <w:lang w:val="en-US"/>
        </w:rPr>
        <w:t>2</w:t>
      </w:r>
      <w:r w:rsidRPr="004F741E">
        <w:rPr>
          <w:b/>
          <w:lang w:val="en-US"/>
        </w:rPr>
        <w:t>. Description of the tariff characteristics</w:t>
      </w:r>
    </w:p>
    <w:tbl>
      <w:tblPr>
        <w:tblW w:w="4067" w:type="pct"/>
        <w:jc w:val="center"/>
        <w:tblLook w:val="04A0" w:firstRow="1" w:lastRow="0" w:firstColumn="1" w:lastColumn="0" w:noHBand="0" w:noVBand="1"/>
      </w:tblPr>
      <w:tblGrid>
        <w:gridCol w:w="2723"/>
        <w:gridCol w:w="4606"/>
      </w:tblGrid>
      <w:tr w:rsidR="009C3D49" w:rsidRPr="00B90FD0" w14:paraId="228CADB9" w14:textId="77777777" w:rsidTr="00084091">
        <w:trPr>
          <w:trHeight w:val="219"/>
          <w:tblHeader/>
          <w:jc w:val="center"/>
        </w:trPr>
        <w:tc>
          <w:tcPr>
            <w:tcW w:w="1858" w:type="pct"/>
            <w:tcBorders>
              <w:top w:val="single" w:sz="4" w:space="0" w:color="auto"/>
              <w:left w:val="single" w:sz="4" w:space="0" w:color="auto"/>
              <w:bottom w:val="single" w:sz="4" w:space="0" w:color="auto"/>
              <w:right w:val="single" w:sz="4" w:space="0" w:color="auto"/>
            </w:tcBorders>
            <w:vAlign w:val="center"/>
          </w:tcPr>
          <w:p w14:paraId="4C855A5E" w14:textId="77777777" w:rsidR="009C3D49" w:rsidRPr="00B90FD0" w:rsidRDefault="009C3D49" w:rsidP="00084091">
            <w:pPr>
              <w:rPr>
                <w:b/>
                <w:lang w:val="en-US"/>
              </w:rPr>
            </w:pPr>
            <w:r w:rsidRPr="00B90FD0">
              <w:rPr>
                <w:b/>
                <w:lang w:val="en-US"/>
              </w:rPr>
              <w:t>Type of tariff</w:t>
            </w:r>
          </w:p>
        </w:tc>
        <w:tc>
          <w:tcPr>
            <w:tcW w:w="3142" w:type="pct"/>
            <w:tcBorders>
              <w:top w:val="single" w:sz="4" w:space="0" w:color="auto"/>
              <w:left w:val="single" w:sz="4" w:space="0" w:color="auto"/>
              <w:bottom w:val="single" w:sz="4" w:space="0" w:color="auto"/>
              <w:right w:val="single" w:sz="4" w:space="0" w:color="auto"/>
            </w:tcBorders>
            <w:vAlign w:val="center"/>
          </w:tcPr>
          <w:p w14:paraId="32E8A848" w14:textId="77777777" w:rsidR="009C3D49" w:rsidRPr="00B90FD0" w:rsidRDefault="009C3D49" w:rsidP="00084091">
            <w:pPr>
              <w:rPr>
                <w:b/>
                <w:lang w:val="en-US"/>
              </w:rPr>
            </w:pPr>
            <w:r w:rsidRPr="00B90FD0">
              <w:rPr>
                <w:b/>
                <w:lang w:val="en-US"/>
              </w:rPr>
              <w:t>Description</w:t>
            </w:r>
          </w:p>
        </w:tc>
      </w:tr>
      <w:tr w:rsidR="009C3D49" w:rsidRPr="00084091" w14:paraId="6C54043E" w14:textId="77777777" w:rsidTr="00084091">
        <w:trPr>
          <w:trHeight w:val="517"/>
          <w:jc w:val="center"/>
        </w:trPr>
        <w:tc>
          <w:tcPr>
            <w:tcW w:w="1858" w:type="pct"/>
            <w:tcBorders>
              <w:top w:val="single" w:sz="4" w:space="0" w:color="auto"/>
              <w:left w:val="single" w:sz="4" w:space="0" w:color="auto"/>
              <w:bottom w:val="single" w:sz="4" w:space="0" w:color="auto"/>
              <w:right w:val="single" w:sz="4" w:space="0" w:color="auto"/>
            </w:tcBorders>
            <w:vAlign w:val="center"/>
          </w:tcPr>
          <w:p w14:paraId="09F14456" w14:textId="16B89B3C" w:rsidR="009C3D49" w:rsidRPr="00084091" w:rsidRDefault="009C3D49" w:rsidP="00084091">
            <w:pPr>
              <w:rPr>
                <w:lang w:val="en-US"/>
              </w:rPr>
            </w:pPr>
            <w:r w:rsidRPr="00084091">
              <w:rPr>
                <w:lang w:val="en-US"/>
              </w:rPr>
              <w:t>RealProvider</w:t>
            </w:r>
            <w:r w:rsidR="0027446F">
              <w:rPr>
                <w:lang w:val="en-US"/>
              </w:rPr>
              <w:t>Tariff</w:t>
            </w:r>
          </w:p>
        </w:tc>
        <w:tc>
          <w:tcPr>
            <w:tcW w:w="3142" w:type="pct"/>
            <w:tcBorders>
              <w:top w:val="single" w:sz="4" w:space="0" w:color="auto"/>
              <w:left w:val="single" w:sz="4" w:space="0" w:color="auto"/>
              <w:bottom w:val="single" w:sz="4" w:space="0" w:color="auto"/>
              <w:right w:val="single" w:sz="4" w:space="0" w:color="auto"/>
            </w:tcBorders>
            <w:vAlign w:val="center"/>
          </w:tcPr>
          <w:p w14:paraId="07D75E94" w14:textId="6F887BA5" w:rsidR="009C3D49" w:rsidRPr="00084091" w:rsidRDefault="009C3D49" w:rsidP="00084091">
            <w:pPr>
              <w:rPr>
                <w:lang w:val="en-US"/>
              </w:rPr>
            </w:pPr>
            <w:r w:rsidRPr="00084091">
              <w:rPr>
                <w:lang w:val="en-US"/>
              </w:rPr>
              <w:t xml:space="preserve">Sum of provider’s </w:t>
            </w:r>
            <w:r w:rsidR="0027446F">
              <w:rPr>
                <w:lang w:val="en-US"/>
              </w:rPr>
              <w:t>tariff</w:t>
            </w:r>
            <w:r w:rsidRPr="00084091">
              <w:rPr>
                <w:lang w:val="en-US"/>
              </w:rPr>
              <w:t>s across UHC and vertical programs shown in the claim that equals ReportingPayedAmount+PatientOOP</w:t>
            </w:r>
          </w:p>
        </w:tc>
      </w:tr>
      <w:tr w:rsidR="009C3D49" w:rsidRPr="00084091" w14:paraId="75AD0784" w14:textId="77777777" w:rsidTr="00084091">
        <w:trPr>
          <w:trHeight w:val="553"/>
          <w:jc w:val="center"/>
        </w:trPr>
        <w:tc>
          <w:tcPr>
            <w:tcW w:w="1858" w:type="pct"/>
            <w:tcBorders>
              <w:top w:val="single" w:sz="4" w:space="0" w:color="auto"/>
              <w:left w:val="single" w:sz="4" w:space="0" w:color="auto"/>
              <w:bottom w:val="single" w:sz="4" w:space="0" w:color="auto"/>
              <w:right w:val="single" w:sz="4" w:space="0" w:color="auto"/>
            </w:tcBorders>
            <w:vAlign w:val="center"/>
          </w:tcPr>
          <w:p w14:paraId="6E33AC5E" w14:textId="77777777" w:rsidR="009C3D49" w:rsidRPr="00084091" w:rsidRDefault="009C3D49" w:rsidP="00084091">
            <w:pPr>
              <w:rPr>
                <w:lang w:val="en-US"/>
              </w:rPr>
            </w:pPr>
            <w:r w:rsidRPr="00084091">
              <w:rPr>
                <w:lang w:val="en-US"/>
              </w:rPr>
              <w:t>ReportingPayedAmount</w:t>
            </w:r>
          </w:p>
        </w:tc>
        <w:tc>
          <w:tcPr>
            <w:tcW w:w="3142" w:type="pct"/>
            <w:tcBorders>
              <w:top w:val="single" w:sz="4" w:space="0" w:color="auto"/>
              <w:left w:val="single" w:sz="4" w:space="0" w:color="auto"/>
              <w:bottom w:val="single" w:sz="4" w:space="0" w:color="auto"/>
              <w:right w:val="single" w:sz="4" w:space="0" w:color="auto"/>
            </w:tcBorders>
            <w:vAlign w:val="center"/>
          </w:tcPr>
          <w:p w14:paraId="4F687714" w14:textId="27F3894D" w:rsidR="009C3D49" w:rsidRPr="00084091" w:rsidRDefault="009C3D49" w:rsidP="00084091">
            <w:pPr>
              <w:rPr>
                <w:lang w:val="en-US"/>
              </w:rPr>
            </w:pPr>
            <w:r w:rsidRPr="00084091">
              <w:rPr>
                <w:lang w:val="en-US"/>
              </w:rPr>
              <w:t xml:space="preserve">Sum of </w:t>
            </w:r>
            <w:r w:rsidR="0027446F">
              <w:rPr>
                <w:lang w:val="en-US"/>
              </w:rPr>
              <w:t>tariff</w:t>
            </w:r>
            <w:r w:rsidRPr="00084091">
              <w:rPr>
                <w:lang w:val="en-US"/>
              </w:rPr>
              <w:t>s payed by SSA across UHC and vertical programs for a particular provider</w:t>
            </w:r>
          </w:p>
        </w:tc>
      </w:tr>
      <w:tr w:rsidR="009C3D49" w:rsidRPr="00084091" w14:paraId="0675D5CF" w14:textId="77777777" w:rsidTr="00084091">
        <w:trPr>
          <w:trHeight w:val="211"/>
          <w:jc w:val="center"/>
        </w:trPr>
        <w:tc>
          <w:tcPr>
            <w:tcW w:w="1858" w:type="pct"/>
            <w:tcBorders>
              <w:top w:val="single" w:sz="4" w:space="0" w:color="auto"/>
              <w:left w:val="single" w:sz="4" w:space="0" w:color="auto"/>
              <w:bottom w:val="single" w:sz="4" w:space="0" w:color="auto"/>
              <w:right w:val="single" w:sz="4" w:space="0" w:color="auto"/>
            </w:tcBorders>
            <w:vAlign w:val="center"/>
          </w:tcPr>
          <w:p w14:paraId="0A063736" w14:textId="77777777" w:rsidR="009C3D49" w:rsidRPr="00084091" w:rsidRDefault="009C3D49" w:rsidP="00084091">
            <w:pPr>
              <w:rPr>
                <w:lang w:val="en-US"/>
              </w:rPr>
            </w:pPr>
            <w:r w:rsidRPr="00084091">
              <w:rPr>
                <w:lang w:val="en-US"/>
              </w:rPr>
              <w:t>ReportingInvoiceAmount</w:t>
            </w:r>
          </w:p>
        </w:tc>
        <w:tc>
          <w:tcPr>
            <w:tcW w:w="3142" w:type="pct"/>
            <w:tcBorders>
              <w:top w:val="single" w:sz="4" w:space="0" w:color="auto"/>
              <w:left w:val="single" w:sz="4" w:space="0" w:color="auto"/>
              <w:bottom w:val="single" w:sz="4" w:space="0" w:color="auto"/>
              <w:right w:val="single" w:sz="4" w:space="0" w:color="auto"/>
            </w:tcBorders>
            <w:vAlign w:val="center"/>
          </w:tcPr>
          <w:p w14:paraId="2B80C798" w14:textId="706C43E2" w:rsidR="009C3D49" w:rsidRPr="00084091" w:rsidRDefault="009C3D49" w:rsidP="00084091">
            <w:pPr>
              <w:rPr>
                <w:lang w:val="en-US"/>
              </w:rPr>
            </w:pPr>
            <w:r w:rsidRPr="00084091">
              <w:rPr>
                <w:lang w:val="en-US"/>
              </w:rPr>
              <w:t>Equals RealProvider</w:t>
            </w:r>
            <w:r w:rsidR="0027446F">
              <w:rPr>
                <w:lang w:val="en-US"/>
              </w:rPr>
              <w:t>tariff</w:t>
            </w:r>
          </w:p>
        </w:tc>
      </w:tr>
      <w:tr w:rsidR="009C3D49" w:rsidRPr="00084091" w14:paraId="07BA83AD" w14:textId="77777777" w:rsidTr="00084091">
        <w:trPr>
          <w:trHeight w:val="565"/>
          <w:jc w:val="center"/>
        </w:trPr>
        <w:tc>
          <w:tcPr>
            <w:tcW w:w="1858" w:type="pct"/>
            <w:tcBorders>
              <w:top w:val="single" w:sz="4" w:space="0" w:color="auto"/>
              <w:left w:val="single" w:sz="4" w:space="0" w:color="auto"/>
              <w:bottom w:val="single" w:sz="4" w:space="0" w:color="auto"/>
              <w:right w:val="single" w:sz="4" w:space="0" w:color="auto"/>
            </w:tcBorders>
            <w:vAlign w:val="center"/>
          </w:tcPr>
          <w:p w14:paraId="71981387" w14:textId="77777777" w:rsidR="009C3D49" w:rsidRPr="00084091" w:rsidRDefault="009C3D49" w:rsidP="00084091">
            <w:pPr>
              <w:rPr>
                <w:lang w:val="en-US"/>
              </w:rPr>
            </w:pPr>
            <w:r w:rsidRPr="00084091">
              <w:rPr>
                <w:lang w:val="en-US"/>
              </w:rPr>
              <w:t>MaxUnitCost</w:t>
            </w:r>
          </w:p>
        </w:tc>
        <w:tc>
          <w:tcPr>
            <w:tcW w:w="3142" w:type="pct"/>
            <w:tcBorders>
              <w:top w:val="single" w:sz="4" w:space="0" w:color="auto"/>
              <w:left w:val="single" w:sz="4" w:space="0" w:color="auto"/>
              <w:bottom w:val="single" w:sz="4" w:space="0" w:color="auto"/>
              <w:right w:val="single" w:sz="4" w:space="0" w:color="auto"/>
            </w:tcBorders>
            <w:vAlign w:val="center"/>
          </w:tcPr>
          <w:p w14:paraId="72321E1F" w14:textId="1C5D479C" w:rsidR="009C3D49" w:rsidRPr="00084091" w:rsidRDefault="009C3D49" w:rsidP="00084091">
            <w:pPr>
              <w:rPr>
                <w:lang w:val="en-US"/>
              </w:rPr>
            </w:pPr>
            <w:r w:rsidRPr="00084091">
              <w:rPr>
                <w:lang w:val="en-US"/>
              </w:rPr>
              <w:t xml:space="preserve">Sum of maximum </w:t>
            </w:r>
            <w:r w:rsidR="0027446F">
              <w:rPr>
                <w:lang w:val="en-US"/>
              </w:rPr>
              <w:t>tariff</w:t>
            </w:r>
            <w:r w:rsidRPr="00084091">
              <w:rPr>
                <w:lang w:val="en-US"/>
              </w:rPr>
              <w:t>s by SSA across UHC and vertical programs for a particular treatment case</w:t>
            </w:r>
          </w:p>
        </w:tc>
      </w:tr>
      <w:tr w:rsidR="009C3D49" w:rsidRPr="00B90FD0" w14:paraId="5821C1BA" w14:textId="77777777" w:rsidTr="00084091">
        <w:trPr>
          <w:trHeight w:val="559"/>
          <w:jc w:val="center"/>
        </w:trPr>
        <w:tc>
          <w:tcPr>
            <w:tcW w:w="1858" w:type="pct"/>
            <w:tcBorders>
              <w:top w:val="single" w:sz="4" w:space="0" w:color="auto"/>
              <w:left w:val="single" w:sz="4" w:space="0" w:color="auto"/>
              <w:bottom w:val="single" w:sz="4" w:space="0" w:color="auto"/>
              <w:right w:val="single" w:sz="4" w:space="0" w:color="auto"/>
            </w:tcBorders>
            <w:vAlign w:val="center"/>
          </w:tcPr>
          <w:p w14:paraId="195A336E" w14:textId="77777777" w:rsidR="009C3D49" w:rsidRPr="00B90FD0" w:rsidRDefault="009C3D49" w:rsidP="00084091">
            <w:pPr>
              <w:rPr>
                <w:b/>
                <w:lang w:val="en-US"/>
              </w:rPr>
            </w:pPr>
            <w:r w:rsidRPr="00B90FD0">
              <w:rPr>
                <w:b/>
                <w:lang w:val="en-US"/>
              </w:rPr>
              <w:t>PatientOOP</w:t>
            </w:r>
          </w:p>
        </w:tc>
        <w:tc>
          <w:tcPr>
            <w:tcW w:w="3142" w:type="pct"/>
            <w:tcBorders>
              <w:top w:val="single" w:sz="4" w:space="0" w:color="auto"/>
              <w:left w:val="single" w:sz="4" w:space="0" w:color="auto"/>
              <w:bottom w:val="single" w:sz="4" w:space="0" w:color="auto"/>
              <w:right w:val="single" w:sz="4" w:space="0" w:color="auto"/>
            </w:tcBorders>
            <w:vAlign w:val="center"/>
          </w:tcPr>
          <w:p w14:paraId="3473C38D" w14:textId="77777777" w:rsidR="009C3D49" w:rsidRPr="00B90FD0" w:rsidRDefault="009C3D49" w:rsidP="00084091">
            <w:pPr>
              <w:rPr>
                <w:lang w:val="en-US"/>
              </w:rPr>
            </w:pPr>
            <w:r w:rsidRPr="00B90FD0">
              <w:rPr>
                <w:lang w:val="en-US"/>
              </w:rPr>
              <w:t>Sum of patient OOP for a particular case across UHC and vertical programs</w:t>
            </w:r>
          </w:p>
        </w:tc>
      </w:tr>
    </w:tbl>
    <w:p w14:paraId="2211DDAE" w14:textId="77777777" w:rsidR="009C3D49" w:rsidRPr="00B90FD0" w:rsidRDefault="009C3D49" w:rsidP="00B90FD0">
      <w:pPr>
        <w:rPr>
          <w:lang w:val="en-US"/>
        </w:rPr>
      </w:pPr>
    </w:p>
    <w:p w14:paraId="547DD751" w14:textId="77777777" w:rsidR="009C3D49" w:rsidRPr="00B90FD0" w:rsidRDefault="009C3D49" w:rsidP="00B90FD0">
      <w:pPr>
        <w:rPr>
          <w:lang w:val="en-US"/>
        </w:rPr>
      </w:pPr>
    </w:p>
    <w:p w14:paraId="7ABA3436" w14:textId="49D12C6F"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09B47041" w14:textId="77777777" w:rsidR="00D84284"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Would the actual payed amount by the SSA (ReportingPayedAmount) reflect the real cost of services for the SSA and best basis for relative cost weights calculation? </w:t>
      </w:r>
    </w:p>
    <w:p w14:paraId="5471EA23" w14:textId="10FB9FB2"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Or would it be more accurate to calculate the relative costs based on provider’s </w:t>
      </w:r>
      <w:r w:rsidR="0027446F">
        <w:rPr>
          <w:lang w:val="en-US"/>
        </w:rPr>
        <w:t>tariff</w:t>
      </w:r>
      <w:r w:rsidRPr="00B90FD0">
        <w:rPr>
          <w:lang w:val="en-US"/>
        </w:rPr>
        <w:t xml:space="preserve"> which include patient’s OOP payments (RealProvider</w:t>
      </w:r>
      <w:r w:rsidR="0027446F">
        <w:rPr>
          <w:lang w:val="en-US"/>
        </w:rPr>
        <w:t>Tariff</w:t>
      </w:r>
      <w:r w:rsidRPr="00B90FD0">
        <w:rPr>
          <w:lang w:val="en-US"/>
        </w:rPr>
        <w:t>) as the aim is to get the best estimate for provider’s real cost independently from patient cost sharing policy?</w:t>
      </w:r>
    </w:p>
    <w:p w14:paraId="3130178F" w14:textId="0DAC7592"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r w:rsidRPr="00B90FD0">
        <w:rPr>
          <w:i/>
          <w:lang w:val="en-US"/>
        </w:rPr>
        <w:t>One option is to have 2 scenarios for</w:t>
      </w:r>
      <w:r w:rsidR="00C90020">
        <w:rPr>
          <w:i/>
          <w:lang w:val="en-US"/>
        </w:rPr>
        <w:t xml:space="preserve"> relative</w:t>
      </w:r>
      <w:r w:rsidRPr="00B90FD0">
        <w:rPr>
          <w:i/>
          <w:lang w:val="en-US"/>
        </w:rPr>
        <w:t xml:space="preserve"> cost weights by using both: ReportingPayedAmount and RealProvider</w:t>
      </w:r>
      <w:r w:rsidR="0027446F">
        <w:rPr>
          <w:i/>
          <w:lang w:val="en-US"/>
        </w:rPr>
        <w:t>Tariff</w:t>
      </w:r>
      <w:r w:rsidRPr="00B90FD0">
        <w:rPr>
          <w:i/>
          <w:lang w:val="en-US"/>
        </w:rPr>
        <w:t xml:space="preserve"> and to compare the results by high volume and cost DRGs.</w:t>
      </w:r>
    </w:p>
    <w:p w14:paraId="1D04906F"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325B0BD" w14:textId="7777777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67FA2843"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i/>
          <w:lang w:val="en-US"/>
        </w:rPr>
      </w:pPr>
    </w:p>
    <w:p w14:paraId="02E777DF" w14:textId="77777777" w:rsidR="009C3D49"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0E4179E7" w14:textId="5328BEAB" w:rsidR="00084091" w:rsidRP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04EE5E36" w14:textId="38D28E03"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084091">
        <w:rPr>
          <w:lang w:val="en-US"/>
        </w:rPr>
        <w:t xml:space="preserve">DRG </w:t>
      </w:r>
      <w:r w:rsidR="00C90020">
        <w:rPr>
          <w:lang w:val="en-US"/>
        </w:rPr>
        <w:t xml:space="preserve">relative </w:t>
      </w:r>
      <w:r w:rsidRPr="00084091">
        <w:rPr>
          <w:lang w:val="en-US"/>
        </w:rPr>
        <w:t xml:space="preserve">cost weights for the shadow funding period should be available early 2019. Which </w:t>
      </w:r>
      <w:r w:rsidRPr="00084091">
        <w:rPr>
          <w:u w:val="single"/>
          <w:lang w:val="en-US"/>
        </w:rPr>
        <w:t>period of data</w:t>
      </w:r>
      <w:r w:rsidRPr="00084091">
        <w:rPr>
          <w:lang w:val="en-US"/>
        </w:rPr>
        <w:t xml:space="preserve"> would be the best basis for calculations keeping in mind that this data reflects most accurately the current reimbursement policy? </w:t>
      </w:r>
    </w:p>
    <w:p w14:paraId="47A0F9F0"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05A13F21" w14:textId="7777777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15FF7C1B" w14:textId="77777777" w:rsidR="009C3D49"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15BE11C4" w14:textId="77777777" w:rsidR="00084091" w:rsidRPr="00B90FD0"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0548C43F" w14:textId="29A0B7F6" w:rsidR="009C3D49" w:rsidRP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539D4D59" w14:textId="1CA97AC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084091">
        <w:rPr>
          <w:lang w:val="en-US"/>
        </w:rPr>
        <w:t xml:space="preserve">Please review the test data format </w:t>
      </w:r>
      <w:r w:rsidRPr="003C37DA">
        <w:rPr>
          <w:lang w:val="en-US"/>
        </w:rPr>
        <w:t xml:space="preserve">in </w:t>
      </w:r>
      <w:r w:rsidRPr="004F741E">
        <w:rPr>
          <w:lang w:val="en-US"/>
        </w:rPr>
        <w:t xml:space="preserve">Table </w:t>
      </w:r>
      <w:r w:rsidR="003C37DA" w:rsidRPr="003C37DA">
        <w:rPr>
          <w:lang w:val="en-US"/>
        </w:rPr>
        <w:t>1</w:t>
      </w:r>
      <w:r w:rsidR="003C37DA" w:rsidRPr="00070585">
        <w:rPr>
          <w:lang w:val="en-US"/>
        </w:rPr>
        <w:t xml:space="preserve"> </w:t>
      </w:r>
      <w:r w:rsidRPr="00070585">
        <w:rPr>
          <w:lang w:val="en-US"/>
        </w:rPr>
        <w:t>to</w:t>
      </w:r>
      <w:r w:rsidRPr="00084091">
        <w:rPr>
          <w:lang w:val="en-US"/>
        </w:rPr>
        <w:t xml:space="preserve"> assure that extracted data will include all necessary data fields that are required for analytical purposes.</w:t>
      </w:r>
      <w:r w:rsidR="00453C0A" w:rsidRPr="00084091">
        <w:rPr>
          <w:lang w:val="en-US"/>
        </w:rPr>
        <w:t xml:space="preserve"> </w:t>
      </w:r>
    </w:p>
    <w:p w14:paraId="54AD2C78"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128FC8F8" w14:textId="7777777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561B3261"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3D9CD47D" w14:textId="77777777" w:rsidR="009C3D49" w:rsidRPr="00B90FD0" w:rsidRDefault="009C3D49" w:rsidP="00B90FD0">
      <w:pPr>
        <w:jc w:val="both"/>
      </w:pPr>
    </w:p>
    <w:p w14:paraId="07F4E22A" w14:textId="77777777" w:rsidR="00453C0A" w:rsidRPr="00B90FD0" w:rsidRDefault="00453C0A" w:rsidP="00B90FD0">
      <w:pPr>
        <w:jc w:val="both"/>
      </w:pPr>
    </w:p>
    <w:p w14:paraId="296D1932" w14:textId="7F57CCFC" w:rsidR="00453C0A" w:rsidRPr="00B90FD0" w:rsidRDefault="00453C0A" w:rsidP="00B90FD0">
      <w:pPr>
        <w:jc w:val="both"/>
      </w:pPr>
      <w:r w:rsidRPr="00B90FD0">
        <w:lastRenderedPageBreak/>
        <w:t xml:space="preserve">The DRG relative cost weight is calculated by using real payed amount by the SSA (ReportedPayedAmount) or by using total provider’s </w:t>
      </w:r>
      <w:r w:rsidR="0027446F">
        <w:t>tariff</w:t>
      </w:r>
      <w:r w:rsidRPr="00B90FD0">
        <w:t xml:space="preserve"> (</w:t>
      </w:r>
      <w:r w:rsidRPr="00B90FD0">
        <w:rPr>
          <w:lang w:val="en-US"/>
        </w:rPr>
        <w:t>RealProvider</w:t>
      </w:r>
      <w:r w:rsidR="0027446F">
        <w:rPr>
          <w:lang w:val="en-US"/>
        </w:rPr>
        <w:t>Tariff</w:t>
      </w:r>
      <w:r w:rsidRPr="00B90FD0">
        <w:rPr>
          <w:lang w:val="en-US"/>
        </w:rPr>
        <w:t>)</w:t>
      </w:r>
      <w:r w:rsidRPr="00B90FD0">
        <w:t xml:space="preserve"> according to following formula:</w:t>
      </w:r>
    </w:p>
    <w:p w14:paraId="20992B9D" w14:textId="77777777" w:rsidR="00453C0A" w:rsidRPr="00B90FD0" w:rsidRDefault="00453C0A" w:rsidP="00B90FD0">
      <w:pPr>
        <w:rPr>
          <w:i/>
        </w:rPr>
      </w:pPr>
    </w:p>
    <w:p w14:paraId="75DB1B19" w14:textId="009ECBC8" w:rsidR="00453C0A" w:rsidRPr="0027446F" w:rsidRDefault="00453C0A" w:rsidP="0027446F">
      <w:pPr>
        <w:pBdr>
          <w:top w:val="single" w:sz="4" w:space="1" w:color="auto"/>
          <w:left w:val="single" w:sz="4" w:space="4" w:color="auto"/>
          <w:bottom w:val="single" w:sz="4" w:space="1" w:color="auto"/>
          <w:right w:val="single" w:sz="4" w:space="4" w:color="auto"/>
        </w:pBdr>
        <w:jc w:val="center"/>
        <w:rPr>
          <w:i/>
        </w:rPr>
      </w:pPr>
      <w:r w:rsidRPr="0027446F">
        <w:rPr>
          <w:i/>
        </w:rPr>
        <w:t>DRG “X” Relative</w:t>
      </w:r>
      <w:r w:rsidR="00C90020" w:rsidRPr="0027446F">
        <w:rPr>
          <w:i/>
        </w:rPr>
        <w:t xml:space="preserve"> Cost</w:t>
      </w:r>
      <w:r w:rsidRPr="0027446F">
        <w:rPr>
          <w:i/>
        </w:rPr>
        <w:t xml:space="preserve"> Weight = Average Cost of “DRG X”/Overall Average Cost of Case</w:t>
      </w:r>
    </w:p>
    <w:p w14:paraId="71AB75A1" w14:textId="77777777" w:rsidR="00453C0A" w:rsidRPr="00B90FD0" w:rsidRDefault="00453C0A" w:rsidP="00B90FD0">
      <w:pPr>
        <w:rPr>
          <w:color w:val="000000" w:themeColor="text1"/>
          <w14:textOutline w14:w="0" w14:cap="flat" w14:cmpd="sng" w14:algn="ctr">
            <w14:noFill/>
            <w14:prstDash w14:val="solid"/>
            <w14:round/>
          </w14:textOutline>
        </w:rPr>
      </w:pPr>
    </w:p>
    <w:p w14:paraId="59CCA2E3" w14:textId="77777777" w:rsidR="00453C0A" w:rsidRPr="00B90FD0" w:rsidRDefault="00453C0A" w:rsidP="00B90FD0">
      <w:pPr>
        <w:rPr>
          <w:color w:val="000000" w:themeColor="text1"/>
          <w14:textOutline w14:w="0" w14:cap="flat" w14:cmpd="sng" w14:algn="ctr">
            <w14:noFill/>
            <w14:prstDash w14:val="solid"/>
            <w14:round/>
          </w14:textOutline>
        </w:rPr>
      </w:pPr>
      <w:r w:rsidRPr="00B90FD0">
        <w:rPr>
          <w:color w:val="000000" w:themeColor="text1"/>
          <w14:textOutline w14:w="0" w14:cap="flat" w14:cmpd="sng" w14:algn="ctr">
            <w14:noFill/>
            <w14:prstDash w14:val="solid"/>
            <w14:round/>
          </w14:textOutline>
        </w:rPr>
        <w:t xml:space="preserve">A DRG with a relative cost weight of 1,0 reflects the average case. Cost weight higher than 1 shows that this DRG group has on average higher costs than average case and vice versa.  </w:t>
      </w:r>
    </w:p>
    <w:p w14:paraId="4D430584" w14:textId="77777777" w:rsidR="009C3D49" w:rsidRPr="00B90FD0" w:rsidRDefault="009C3D49" w:rsidP="00B90FD0">
      <w:pPr>
        <w:jc w:val="both"/>
      </w:pPr>
    </w:p>
    <w:p w14:paraId="2F2AF6BC" w14:textId="62C8E5F3" w:rsidR="00453C0A" w:rsidRPr="00B90FD0" w:rsidRDefault="00453C0A" w:rsidP="00B90FD0">
      <w:pPr>
        <w:jc w:val="both"/>
      </w:pPr>
      <w:r w:rsidRPr="00B90FD0">
        <w:t xml:space="preserve">As a first step, the </w:t>
      </w:r>
      <w:r w:rsidRPr="00B90FD0">
        <w:rPr>
          <w:b/>
        </w:rPr>
        <w:t>DRG relative cost weights are calculated</w:t>
      </w:r>
      <w:r w:rsidRPr="00B90FD0">
        <w:t xml:space="preserve"> based on the DRG test database by using the above given formula. </w:t>
      </w:r>
    </w:p>
    <w:p w14:paraId="781091DC" w14:textId="77777777" w:rsidR="004F741E" w:rsidRDefault="004F741E" w:rsidP="00B90FD0">
      <w:pPr>
        <w:jc w:val="both"/>
      </w:pPr>
    </w:p>
    <w:p w14:paraId="0D8DBD03" w14:textId="66FC5E18" w:rsidR="00453C0A" w:rsidRPr="00B90FD0" w:rsidRDefault="00453C0A" w:rsidP="00B90FD0">
      <w:pPr>
        <w:jc w:val="both"/>
      </w:pPr>
      <w:r w:rsidRPr="00B90FD0">
        <w:t xml:space="preserve">Second step is to </w:t>
      </w:r>
      <w:r w:rsidRPr="00B90FD0">
        <w:rPr>
          <w:b/>
        </w:rPr>
        <w:t>check the homogeneity</w:t>
      </w:r>
      <w:r w:rsidRPr="00B90FD0">
        <w:t xml:space="preserve"> of the calculated DRG</w:t>
      </w:r>
      <w:r w:rsidR="00C90020">
        <w:t xml:space="preserve"> relative</w:t>
      </w:r>
      <w:r w:rsidRPr="00B90FD0">
        <w:t xml:space="preserve"> cost weights as the calculated DRG relative cost weight is more reliable if cost variation inside that DRG is low. The usual measure for homogeneity is the coefficient of variation (CV) which enables across DRGs comparison compared to the standard deviation. CV is calculated according to the following formula:</w:t>
      </w:r>
    </w:p>
    <w:p w14:paraId="1198DC4E" w14:textId="77777777" w:rsidR="00453C0A" w:rsidRPr="00B90FD0" w:rsidRDefault="00453C0A" w:rsidP="00B90FD0">
      <w:pPr>
        <w:jc w:val="both"/>
        <w:rPr>
          <w:rFonts w:eastAsia="Times New Roman"/>
          <w:color w:val="000000"/>
          <w:shd w:val="clear" w:color="auto" w:fill="FFFFFF"/>
        </w:rPr>
      </w:pPr>
    </w:p>
    <w:p w14:paraId="3048695D" w14:textId="77777777" w:rsidR="00453C0A" w:rsidRPr="0027446F" w:rsidRDefault="00453C0A" w:rsidP="0027446F">
      <w:pPr>
        <w:pBdr>
          <w:top w:val="single" w:sz="4" w:space="1" w:color="auto"/>
          <w:left w:val="single" w:sz="4" w:space="4" w:color="auto"/>
          <w:bottom w:val="single" w:sz="4" w:space="1" w:color="auto"/>
          <w:right w:val="single" w:sz="4" w:space="4" w:color="auto"/>
        </w:pBdr>
        <w:jc w:val="center"/>
        <w:rPr>
          <w:i/>
        </w:rPr>
      </w:pPr>
      <w:r w:rsidRPr="0027446F">
        <w:rPr>
          <w:i/>
        </w:rPr>
        <w:t>Coefficient of Variation (CV) of DRGX = Standard Deviation of DRGX / Average of DRGX</w:t>
      </w:r>
    </w:p>
    <w:p w14:paraId="64FEE422" w14:textId="77777777" w:rsidR="00453C0A" w:rsidRPr="00B90FD0" w:rsidRDefault="00453C0A" w:rsidP="00B90FD0">
      <w:pPr>
        <w:jc w:val="both"/>
        <w:rPr>
          <w:rFonts w:eastAsia="Times New Roman"/>
          <w:color w:val="000000"/>
          <w:shd w:val="clear" w:color="auto" w:fill="FFFFFF"/>
        </w:rPr>
      </w:pPr>
    </w:p>
    <w:p w14:paraId="745B639B" w14:textId="7B47EAC7" w:rsidR="007545B1" w:rsidRPr="00B90FD0" w:rsidRDefault="00453C0A" w:rsidP="00B90FD0">
      <w:pPr>
        <w:jc w:val="both"/>
        <w:rPr>
          <w:rFonts w:eastAsia="Times New Roman"/>
          <w:color w:val="000000"/>
          <w:shd w:val="clear" w:color="auto" w:fill="FFFFFF"/>
        </w:rPr>
      </w:pPr>
      <w:r w:rsidRPr="00B90FD0">
        <w:rPr>
          <w:rFonts w:eastAsia="Times New Roman"/>
          <w:color w:val="000000"/>
          <w:shd w:val="clear" w:color="auto" w:fill="FFFFFF"/>
        </w:rPr>
        <w:t>CV is</w:t>
      </w:r>
      <w:r w:rsidR="007C7203">
        <w:rPr>
          <w:rFonts w:eastAsia="Times New Roman"/>
          <w:color w:val="000000"/>
          <w:shd w:val="clear" w:color="auto" w:fill="FFFFFF"/>
        </w:rPr>
        <w:t xml:space="preserve"> often</w:t>
      </w:r>
      <w:r w:rsidR="00070585">
        <w:rPr>
          <w:rFonts w:eastAsia="Times New Roman"/>
          <w:color w:val="000000"/>
          <w:shd w:val="clear" w:color="auto" w:fill="FFFFFF"/>
        </w:rPr>
        <w:t xml:space="preserve"> </w:t>
      </w:r>
      <w:r w:rsidRPr="00B90FD0">
        <w:rPr>
          <w:rFonts w:eastAsia="Times New Roman"/>
          <w:color w:val="000000"/>
          <w:shd w:val="clear" w:color="auto" w:fill="FFFFFF"/>
        </w:rPr>
        <w:t xml:space="preserve">calculated for </w:t>
      </w:r>
      <w:r w:rsidRPr="00B90FD0">
        <w:rPr>
          <w:rFonts w:eastAsia="Times New Roman"/>
          <w:b/>
          <w:color w:val="000000"/>
          <w:shd w:val="clear" w:color="auto" w:fill="FFFFFF"/>
        </w:rPr>
        <w:t>cost and length of stay</w:t>
      </w:r>
      <w:r w:rsidRPr="00B90FD0">
        <w:rPr>
          <w:rFonts w:eastAsia="Times New Roman"/>
          <w:color w:val="000000"/>
          <w:shd w:val="clear" w:color="auto" w:fill="FFFFFF"/>
        </w:rPr>
        <w:t xml:space="preserve"> </w:t>
      </w:r>
      <w:r w:rsidR="007545B1" w:rsidRPr="00B90FD0">
        <w:rPr>
          <w:rFonts w:eastAsia="Times New Roman"/>
          <w:color w:val="000000"/>
          <w:shd w:val="clear" w:color="auto" w:fill="FFFFFF"/>
        </w:rPr>
        <w:t xml:space="preserve">which enables to double check the homogeneity. </w:t>
      </w:r>
      <w:r w:rsidRPr="00B90FD0">
        <w:rPr>
          <w:rFonts w:eastAsia="Times New Roman"/>
          <w:color w:val="000000"/>
          <w:shd w:val="clear" w:color="auto" w:fill="FFFFFF"/>
        </w:rPr>
        <w:t>There is no universally accepted threshold for the CV. For example, Fetter</w:t>
      </w:r>
      <w:r w:rsidRPr="00B90FD0">
        <w:rPr>
          <w:rStyle w:val="FootnoteReference"/>
          <w:rFonts w:eastAsia="Times New Roman"/>
          <w:color w:val="000000"/>
          <w:shd w:val="clear" w:color="auto" w:fill="FFFFFF"/>
        </w:rPr>
        <w:footnoteReference w:id="3"/>
      </w:r>
      <w:r w:rsidRPr="00B90FD0">
        <w:rPr>
          <w:rFonts w:eastAsia="Times New Roman"/>
          <w:color w:val="000000"/>
          <w:shd w:val="clear" w:color="auto" w:fill="FFFFFF"/>
        </w:rPr>
        <w:t xml:space="preserve"> defines an acceptable level of homogeneity as a ratio of standard deviation (STD) to mean of less than one. According to Fischer</w:t>
      </w:r>
      <w:r w:rsidRPr="00B90FD0">
        <w:rPr>
          <w:rStyle w:val="FootnoteReference"/>
          <w:rFonts w:eastAsia="Times New Roman"/>
          <w:color w:val="000000"/>
          <w:shd w:val="clear" w:color="auto" w:fill="FFFFFF"/>
        </w:rPr>
        <w:footnoteReference w:id="4"/>
      </w:r>
      <w:r w:rsidRPr="00B90FD0">
        <w:rPr>
          <w:rFonts w:eastAsia="Times New Roman"/>
          <w:color w:val="000000"/>
          <w:shd w:val="clear" w:color="auto" w:fill="FFFFFF"/>
        </w:rPr>
        <w:t xml:space="preserve"> a very high variation is if CV &gt; 1 and a high variation when CV &gt;0,5. </w:t>
      </w:r>
    </w:p>
    <w:p w14:paraId="33D5F372" w14:textId="01BE2EA8" w:rsidR="007545B1" w:rsidRPr="004F741E" w:rsidRDefault="007545B1" w:rsidP="00B90FD0">
      <w:pPr>
        <w:jc w:val="both"/>
        <w:rPr>
          <w:rFonts w:eastAsia="Times New Roman"/>
          <w:color w:val="000000"/>
          <w:shd w:val="clear" w:color="auto" w:fill="FFFFFF"/>
        </w:rPr>
      </w:pPr>
      <w:r w:rsidRPr="00B90FD0">
        <w:rPr>
          <w:rFonts w:eastAsia="Times New Roman"/>
          <w:color w:val="000000"/>
          <w:shd w:val="clear" w:color="auto" w:fill="FFFFFF"/>
        </w:rPr>
        <w:t>DRG groups with a high number of cases but with very high (CV&gt;1) and high (CV&gt;0,5) coefficient of variation require additional analysis to understand the causes of high variation. This would enable the SSA to develop solutions such as coding guidelines, DRG pricing principles etc.</w:t>
      </w:r>
    </w:p>
    <w:p w14:paraId="6F2861F0" w14:textId="77777777" w:rsidR="00792121" w:rsidRPr="00B90FD0" w:rsidRDefault="00792121" w:rsidP="00B90FD0">
      <w:pPr>
        <w:jc w:val="both"/>
      </w:pPr>
    </w:p>
    <w:p w14:paraId="4B2F9D68" w14:textId="77777777" w:rsidR="00D86980" w:rsidRPr="00792121"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t>QUESTION FOR THE DRG WG:</w:t>
      </w:r>
    </w:p>
    <w:p w14:paraId="7DE26D14" w14:textId="2570BA6E" w:rsidR="00D86980"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r w:rsidRPr="00B90FD0">
        <w:rPr>
          <w:lang w:val="en-US"/>
        </w:rPr>
        <w:t xml:space="preserve">Discuss and agree </w:t>
      </w:r>
      <w:r>
        <w:rPr>
          <w:lang w:val="en-US"/>
        </w:rPr>
        <w:t>do you want to calculate CVs for cost only or for both, cost and length of stay.</w:t>
      </w:r>
    </w:p>
    <w:p w14:paraId="727F9804" w14:textId="77777777" w:rsidR="00D86980" w:rsidRPr="00B90FD0"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23F7C61E" w14:textId="77777777" w:rsidR="00D86980" w:rsidRPr="00792121"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t>ANSWER BY THE DRG WG:</w:t>
      </w:r>
    </w:p>
    <w:p w14:paraId="6B27090C" w14:textId="77777777" w:rsidR="00D86980" w:rsidRDefault="00D86980"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53930B91" w14:textId="77777777" w:rsidR="00D86980" w:rsidRDefault="00D86980"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5B576756" w14:textId="23B8F6D7" w:rsidR="007545B1" w:rsidRPr="00792121" w:rsidRDefault="007545B1"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t>QUESTION FOR THE DRG WG:</w:t>
      </w:r>
    </w:p>
    <w:p w14:paraId="5D677C32" w14:textId="753E285B" w:rsidR="007545B1" w:rsidRPr="00B90FD0" w:rsidRDefault="007545B1" w:rsidP="0079212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r w:rsidRPr="00B90FD0">
        <w:rPr>
          <w:lang w:val="en-US"/>
        </w:rPr>
        <w:t xml:space="preserve">Discuss and agree which CV thresholds you will use during the analysis. One option is to use two CV thresholds: CV&gt;1 as very high and CV&gt;0.5 as high. </w:t>
      </w:r>
    </w:p>
    <w:p w14:paraId="0296D2FA" w14:textId="77777777" w:rsidR="00792121" w:rsidRPr="00B90FD0" w:rsidRDefault="00792121" w:rsidP="0079212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E71A0A3" w14:textId="69A302A9" w:rsidR="007545B1" w:rsidRPr="00792121" w:rsidRDefault="007545B1"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lastRenderedPageBreak/>
        <w:t>ANSWER BY THE DRG WG:</w:t>
      </w:r>
    </w:p>
    <w:p w14:paraId="7CD38D1B" w14:textId="10D8E6F6" w:rsidR="007545B1" w:rsidRPr="00B90FD0" w:rsidRDefault="007545B1" w:rsidP="00B90FD0">
      <w:pPr>
        <w:jc w:val="both"/>
      </w:pPr>
      <w:r w:rsidRPr="00B90FD0">
        <w:t>Third step is to</w:t>
      </w:r>
      <w:r w:rsidR="00306F5C" w:rsidRPr="00B90FD0">
        <w:t xml:space="preserve"> </w:t>
      </w:r>
      <w:r w:rsidR="00306F5C" w:rsidRPr="00B90FD0">
        <w:rPr>
          <w:b/>
        </w:rPr>
        <w:t>identify and</w:t>
      </w:r>
      <w:r w:rsidRPr="00B90FD0">
        <w:rPr>
          <w:b/>
        </w:rPr>
        <w:t xml:space="preserve"> handle</w:t>
      </w:r>
      <w:r w:rsidRPr="00B90FD0">
        <w:t xml:space="preserve"> the following key issues:</w:t>
      </w:r>
    </w:p>
    <w:p w14:paraId="5AD93F51" w14:textId="1106D33A" w:rsidR="007545B1" w:rsidRPr="00B90FD0" w:rsidRDefault="007545B1" w:rsidP="00B90FD0">
      <w:pPr>
        <w:ind w:left="720"/>
        <w:jc w:val="both"/>
      </w:pPr>
      <w:r w:rsidRPr="00B90FD0">
        <w:t>(i) how to tackle DRG</w:t>
      </w:r>
      <w:r w:rsidR="005F3659">
        <w:t>s</w:t>
      </w:r>
      <w:r w:rsidR="00C90020">
        <w:t xml:space="preserve"> </w:t>
      </w:r>
      <w:r w:rsidRPr="00B90FD0">
        <w:t>with high heterogeneity</w:t>
      </w:r>
      <w:r w:rsidR="00910B8C" w:rsidRPr="00B90FD0">
        <w:t xml:space="preserve"> identified with calculated CV</w:t>
      </w:r>
      <w:r w:rsidRPr="00B90FD0">
        <w:t>;</w:t>
      </w:r>
    </w:p>
    <w:p w14:paraId="5B5EDFAA" w14:textId="319ED70F" w:rsidR="007545B1" w:rsidRPr="00B90FD0" w:rsidRDefault="007545B1" w:rsidP="00B90FD0">
      <w:pPr>
        <w:ind w:left="720"/>
        <w:jc w:val="both"/>
      </w:pPr>
      <w:r w:rsidRPr="00B90FD0">
        <w:t>(ii) how to set DRG</w:t>
      </w:r>
      <w:r w:rsidR="00C90020">
        <w:t xml:space="preserve"> relative</w:t>
      </w:r>
      <w:r w:rsidRPr="00B90FD0">
        <w:t xml:space="preserve"> cost weights for those DRGs with small number of cases, e.g. 30 cases in one DRG</w:t>
      </w:r>
      <w:r w:rsidR="00910B8C" w:rsidRPr="00B90FD0">
        <w:t>;</w:t>
      </w:r>
    </w:p>
    <w:p w14:paraId="61B76368" w14:textId="35AD2C32" w:rsidR="007545B1" w:rsidRPr="00B90FD0" w:rsidRDefault="007545B1" w:rsidP="00B90FD0">
      <w:pPr>
        <w:ind w:left="720"/>
        <w:jc w:val="both"/>
      </w:pPr>
      <w:r w:rsidRPr="00B90FD0">
        <w:t xml:space="preserve">(iii) how to set DRG </w:t>
      </w:r>
      <w:r w:rsidR="00C90020">
        <w:t xml:space="preserve">relative </w:t>
      </w:r>
      <w:r w:rsidRPr="00B90FD0">
        <w:t>cost weights DRGs without any case during particular period</w:t>
      </w:r>
      <w:r w:rsidR="00910B8C" w:rsidRPr="00B90FD0">
        <w:t>;</w:t>
      </w:r>
    </w:p>
    <w:p w14:paraId="536D8723" w14:textId="4F855A85" w:rsidR="007545B1" w:rsidRPr="00B90FD0" w:rsidRDefault="007545B1" w:rsidP="00B90FD0">
      <w:pPr>
        <w:ind w:left="720"/>
        <w:jc w:val="both"/>
      </w:pPr>
      <w:r w:rsidRPr="00B90FD0">
        <w:t xml:space="preserve">(iv) anomalies, e.g. </w:t>
      </w:r>
      <w:r w:rsidR="00C90020">
        <w:t xml:space="preserve">relative </w:t>
      </w:r>
      <w:r w:rsidRPr="00B90FD0">
        <w:t>cost weight for complicated DRG is lower than non-complicated</w:t>
      </w:r>
      <w:r w:rsidR="00910B8C" w:rsidRPr="00B90FD0">
        <w:t>;</w:t>
      </w:r>
    </w:p>
    <w:p w14:paraId="2BE63B4F" w14:textId="77777777" w:rsidR="007545B1" w:rsidRPr="00B90FD0" w:rsidRDefault="007545B1" w:rsidP="00B90FD0">
      <w:pPr>
        <w:ind w:left="720"/>
        <w:jc w:val="both"/>
      </w:pPr>
      <w:r w:rsidRPr="00B90FD0">
        <w:t>(v) health policy priorities, e.g. (dis)incentivizing certain clinical practice.</w:t>
      </w:r>
    </w:p>
    <w:p w14:paraId="1746897A" w14:textId="77777777" w:rsidR="00910B8C" w:rsidRPr="00B90FD0" w:rsidRDefault="00910B8C" w:rsidP="00B90FD0">
      <w:pPr>
        <w:jc w:val="both"/>
      </w:pPr>
    </w:p>
    <w:p w14:paraId="2FC2B0FE" w14:textId="60353B25" w:rsidR="00306F5C" w:rsidRPr="00B90FD0" w:rsidRDefault="00A32BAE" w:rsidP="00B90FD0">
      <w:pPr>
        <w:jc w:val="both"/>
      </w:pPr>
      <w:r w:rsidRPr="00B90FD0">
        <w:t>One</w:t>
      </w:r>
      <w:r w:rsidR="009C3D49" w:rsidRPr="00B90FD0">
        <w:t xml:space="preserve"> option</w:t>
      </w:r>
      <w:r w:rsidRPr="00B90FD0">
        <w:t xml:space="preserve"> to handle issues (i)-(i</w:t>
      </w:r>
      <w:r w:rsidR="00306F5C" w:rsidRPr="00B90FD0">
        <w:t>v</w:t>
      </w:r>
      <w:r w:rsidRPr="00B90FD0">
        <w:t>) by validating the</w:t>
      </w:r>
      <w:r w:rsidR="009C3D49" w:rsidRPr="00B90FD0">
        <w:t xml:space="preserve"> calculated </w:t>
      </w:r>
      <w:r w:rsidR="00C90020">
        <w:t xml:space="preserve">relative </w:t>
      </w:r>
      <w:r w:rsidR="009C3D49" w:rsidRPr="00B90FD0">
        <w:t xml:space="preserve">cost weights is to </w:t>
      </w:r>
      <w:r w:rsidR="009C3D49" w:rsidRPr="00B90FD0">
        <w:rPr>
          <w:b/>
        </w:rPr>
        <w:t>compare them with some other country’s DRG relative cost weights</w:t>
      </w:r>
      <w:r w:rsidR="009C3D49" w:rsidRPr="00B90FD0">
        <w:t xml:space="preserve">. </w:t>
      </w:r>
      <w:r w:rsidRPr="00B90FD0">
        <w:t xml:space="preserve">Estonia and Latvia are using similar DRG system and their </w:t>
      </w:r>
      <w:r w:rsidR="00C90020">
        <w:t xml:space="preserve">relative </w:t>
      </w:r>
      <w:r w:rsidRPr="00B90FD0">
        <w:t xml:space="preserve">cost weights can be used for that purpose. </w:t>
      </w:r>
      <w:r w:rsidR="003C35BD" w:rsidRPr="00B90FD0">
        <w:t>In addition to these key issues, comparison allows to detect biggest discrepancies between Georgian and Estonian relative cost weights which would need more in depth attention to better understand if differences are indication of potential data quality issues or are rather caused by country specific reasons.</w:t>
      </w:r>
      <w:r w:rsidR="00306F5C" w:rsidRPr="00B90FD0">
        <w:t xml:space="preserve"> </w:t>
      </w:r>
    </w:p>
    <w:p w14:paraId="5A2FC880" w14:textId="77777777" w:rsidR="003C35BD" w:rsidRPr="00B90FD0" w:rsidRDefault="003C35BD" w:rsidP="00B90FD0">
      <w:pPr>
        <w:jc w:val="both"/>
      </w:pPr>
    </w:p>
    <w:p w14:paraId="2484CE3F" w14:textId="77777777" w:rsidR="003C35BD" w:rsidRPr="00084091"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QUESTIONS FOR THE DRG WG:</w:t>
      </w:r>
    </w:p>
    <w:p w14:paraId="29630AB9" w14:textId="09E25832" w:rsidR="003C35BD" w:rsidRPr="00B90FD0"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r w:rsidRPr="00B90FD0">
        <w:rPr>
          <w:i/>
          <w:lang w:val="en-US"/>
        </w:rPr>
        <w:t>Which country’s DRG relative cost weights you prefer to use for a validation.</w:t>
      </w:r>
    </w:p>
    <w:p w14:paraId="3BD87BFB" w14:textId="77777777" w:rsidR="003C35BD" w:rsidRPr="00B90FD0"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79F1473" w14:textId="77777777" w:rsidR="003C35BD" w:rsidRPr="00084091"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54057D37" w14:textId="77777777" w:rsidR="003C35BD"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435EFAE" w14:textId="77777777" w:rsid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77A0FC8A" w14:textId="02E7956A" w:rsidR="00084091" w:rsidRP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71A196D8" w14:textId="301156A6" w:rsidR="003C35BD" w:rsidRPr="00B90FD0"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What t</w:t>
      </w:r>
      <w:r w:rsidR="004720B0" w:rsidRPr="00B90FD0">
        <w:rPr>
          <w:lang w:val="en-US"/>
        </w:rPr>
        <w:t>hreshold you use to identify low cost DRG’s? 30 cases during the period?</w:t>
      </w:r>
    </w:p>
    <w:p w14:paraId="54802D8F" w14:textId="77777777" w:rsidR="004720B0" w:rsidRPr="00B90FD0" w:rsidRDefault="004720B0"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EB892EC" w14:textId="77777777" w:rsidR="004F741E" w:rsidRDefault="004F741E"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4868EB90" w14:textId="77777777" w:rsidR="004720B0" w:rsidRPr="00084091" w:rsidRDefault="004720B0"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1D5810C7" w14:textId="77777777" w:rsidR="004720B0" w:rsidRPr="00B90FD0" w:rsidRDefault="004720B0"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9E34481" w14:textId="77777777" w:rsidR="003C35BD" w:rsidRDefault="003C35BD" w:rsidP="00B90FD0">
      <w:pPr>
        <w:jc w:val="both"/>
      </w:pPr>
    </w:p>
    <w:p w14:paraId="4438A3BA" w14:textId="77777777" w:rsidR="00084091" w:rsidRPr="00B90FD0" w:rsidRDefault="00084091" w:rsidP="00B90FD0">
      <w:pPr>
        <w:jc w:val="both"/>
      </w:pPr>
    </w:p>
    <w:p w14:paraId="3415D395" w14:textId="77777777" w:rsidR="007969FE" w:rsidRDefault="00A43FD0" w:rsidP="00B90FD0">
      <w:pPr>
        <w:jc w:val="both"/>
      </w:pPr>
      <w:r w:rsidRPr="00B90FD0">
        <w:t xml:space="preserve">Another option to handle the key issue (i) is to apply data trimming technique to increase homogeneity of the data. </w:t>
      </w:r>
      <w:r w:rsidR="009C3D49" w:rsidRPr="00B90FD0">
        <w:t xml:space="preserve">This approach helps to overcome the challenge that usually the distribution of cost per case inside one DRG group is not the normal distribution but rather skewed towards high cost and therefore the calculated average value is not the perfect proxy for the DRG relative cost weight for each provider. </w:t>
      </w:r>
      <w:r w:rsidR="007969FE" w:rsidRPr="00B90FD0">
        <w:t xml:space="preserve">For example, Estonia started to use new trimming methodology in 2018. According to this, the average cost of each DRG is calculated. Then a fixed per cent of the cases from high and low cost are trimmed (5% from low and 10% from high cost) and based on the cost of remaining cases the new average cost is calculated which is used as DRG tariff of respective group. </w:t>
      </w:r>
    </w:p>
    <w:p w14:paraId="4BEDF547" w14:textId="79E924CC" w:rsidR="004F741E" w:rsidRDefault="004F741E">
      <w:r>
        <w:br w:type="page"/>
      </w:r>
    </w:p>
    <w:p w14:paraId="0035A7BD" w14:textId="77777777" w:rsidR="00084091" w:rsidRPr="00B90FD0" w:rsidRDefault="00084091" w:rsidP="00B90FD0">
      <w:pPr>
        <w:jc w:val="both"/>
      </w:pPr>
    </w:p>
    <w:p w14:paraId="348EC8B3" w14:textId="095BB736" w:rsidR="007969FE" w:rsidRPr="00084091"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6E3D84F7" w14:textId="0E1C68BA" w:rsidR="007969FE" w:rsidRPr="00B90FD0"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Please discuss options to apply data trimming techniques and if it is necessary at this point in Georgia</w:t>
      </w:r>
      <w:r w:rsidR="00C76CDE" w:rsidRPr="00B90FD0">
        <w:rPr>
          <w:lang w:val="en-US"/>
        </w:rPr>
        <w:t xml:space="preserve">. One option is to consider data trimming in later stages, after the shadow funding period. </w:t>
      </w:r>
    </w:p>
    <w:p w14:paraId="4922E101" w14:textId="77777777" w:rsidR="007969FE" w:rsidRPr="00B90FD0"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A1EC525" w14:textId="77777777" w:rsidR="007969FE" w:rsidRPr="00084091"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697DF7DA" w14:textId="77777777" w:rsidR="007969FE" w:rsidRPr="00B90FD0"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3A7D620F" w14:textId="77777777" w:rsidR="007969FE" w:rsidRPr="00B90FD0" w:rsidRDefault="007969FE" w:rsidP="00B90FD0">
      <w:pPr>
        <w:jc w:val="both"/>
        <w:rPr>
          <w:i/>
          <w:lang w:val="en-US"/>
        </w:rPr>
      </w:pPr>
    </w:p>
    <w:p w14:paraId="77279EFB" w14:textId="77777777" w:rsidR="007969FE" w:rsidRPr="00B90FD0" w:rsidRDefault="007969FE" w:rsidP="00B90FD0">
      <w:pPr>
        <w:jc w:val="both"/>
        <w:rPr>
          <w:i/>
        </w:rPr>
      </w:pPr>
    </w:p>
    <w:p w14:paraId="02B70CFA" w14:textId="5A3326B7" w:rsidR="009C3D49" w:rsidRPr="004217AC" w:rsidRDefault="009C3D49" w:rsidP="00B90FD0">
      <w:pPr>
        <w:jc w:val="both"/>
      </w:pPr>
      <w:r w:rsidRPr="004217AC">
        <w:t xml:space="preserve">In the future, it is advisable to consider the option of validating DRG relative cost weights through </w:t>
      </w:r>
      <w:r w:rsidRPr="004217AC">
        <w:rPr>
          <w:b/>
        </w:rPr>
        <w:t>costing</w:t>
      </w:r>
      <w:r w:rsidRPr="004217AC">
        <w:t xml:space="preserve"> in selected hospitals that provide a good representation of the most common DRGs. This means that standardized costing methodology should be developed in cooperation with providers and cost data for a certain period (at least one quarter) is collected. </w:t>
      </w:r>
      <w:r w:rsidR="00792121" w:rsidRPr="004217AC">
        <w:t xml:space="preserve">Added value would be if top-down and bottom-up costing methods are used in combination which allows to capture direct patient-level costs (bottom up) and to allocate administrative and ancillary expenditures (top down) to the patient level. Bottom-up costing is time and resource intensive but gives more accurate cost information at the patient level. </w:t>
      </w:r>
      <w:r w:rsidRPr="004217AC">
        <w:t>However, this costing exercise does not have to be seen as a necessary precondition for DRG implementation and can be done at a later date.</w:t>
      </w:r>
      <w:r w:rsidR="00C76CDE" w:rsidRPr="004217AC">
        <w:t xml:space="preserve"> </w:t>
      </w:r>
      <w:r w:rsidR="00792121" w:rsidRPr="004217AC">
        <w:t xml:space="preserve">Also, it has to be kept in mind that actual provider level costs do not necessarily represent efficient use of resources nor resources required to follow  best practice guidelines adjusted to Georgian context. </w:t>
      </w:r>
      <w:r w:rsidRPr="004217AC">
        <w:t xml:space="preserve">In addition, costing cannot be seen in isolation from validation of the most common DRGs against expected clinical practice (local or international clinical guidelines and protocols and/or local care standards). </w:t>
      </w:r>
    </w:p>
    <w:p w14:paraId="43798C97" w14:textId="77777777" w:rsidR="009C3D49" w:rsidRPr="004217AC" w:rsidRDefault="009C3D49" w:rsidP="004217AC">
      <w:pPr>
        <w:jc w:val="both"/>
        <w:rPr>
          <w:b/>
          <w:bCs/>
        </w:rPr>
      </w:pPr>
    </w:p>
    <w:p w14:paraId="7522FF8B" w14:textId="77777777" w:rsidR="00C76CDE" w:rsidRPr="004217AC" w:rsidRDefault="00C76CDE" w:rsidP="004217AC">
      <w:pPr>
        <w:jc w:val="both"/>
        <w:rPr>
          <w:b/>
          <w:bCs/>
        </w:rPr>
      </w:pPr>
    </w:p>
    <w:p w14:paraId="2913586C" w14:textId="6ADC18AB" w:rsidR="009C3D49" w:rsidRPr="004F741E" w:rsidRDefault="009C3D49" w:rsidP="004F741E">
      <w:pPr>
        <w:pStyle w:val="Heading2"/>
        <w:numPr>
          <w:ilvl w:val="0"/>
          <w:numId w:val="6"/>
        </w:numPr>
        <w:spacing w:before="0"/>
        <w:rPr>
          <w:rFonts w:asciiTheme="minorHAnsi" w:hAnsiTheme="minorHAnsi"/>
          <w:b/>
          <w:color w:val="323E4F" w:themeColor="text2" w:themeShade="BF"/>
          <w:lang w:val="en-US"/>
        </w:rPr>
      </w:pPr>
      <w:bookmarkStart w:id="4" w:name="_Toc524980528"/>
      <w:r w:rsidRPr="004F741E">
        <w:rPr>
          <w:rFonts w:asciiTheme="minorHAnsi" w:hAnsiTheme="minorHAnsi"/>
          <w:b/>
          <w:color w:val="323E4F" w:themeColor="text2" w:themeShade="BF"/>
          <w:lang w:val="en-US"/>
        </w:rPr>
        <w:t>DRG base rate</w:t>
      </w:r>
      <w:bookmarkEnd w:id="4"/>
    </w:p>
    <w:p w14:paraId="555DDF8E" w14:textId="6D13A899" w:rsidR="004217AC" w:rsidRPr="004217AC" w:rsidRDefault="001C4B4A" w:rsidP="004217AC">
      <w:pPr>
        <w:jc w:val="both"/>
      </w:pPr>
      <w:r w:rsidRPr="004217AC">
        <w:t xml:space="preserve">DRG base </w:t>
      </w:r>
      <w:r w:rsidR="0075558E">
        <w:t xml:space="preserve">rate </w:t>
      </w:r>
      <w:r w:rsidR="00BD280E" w:rsidRPr="004217AC">
        <w:t>enables to translate DRG relative cost weights into a financial equivalent and for that purpose DRG base rate that reflects the monetary value of average case should be calculated. </w:t>
      </w:r>
      <w:r w:rsidR="004217AC" w:rsidRPr="004217AC">
        <w:t xml:space="preserve">After DRG base rate is estimated, the </w:t>
      </w:r>
      <w:r w:rsidR="004217AC" w:rsidRPr="004217AC">
        <w:rPr>
          <w:iCs/>
        </w:rPr>
        <w:t>tariff for each DRG can be calculated:</w:t>
      </w:r>
    </w:p>
    <w:p w14:paraId="0D562182" w14:textId="77777777" w:rsidR="004217AC" w:rsidRPr="004217AC" w:rsidRDefault="004217AC" w:rsidP="004217AC">
      <w:pPr>
        <w:jc w:val="both"/>
        <w:rPr>
          <w:iCs/>
        </w:rPr>
      </w:pPr>
    </w:p>
    <w:p w14:paraId="3C502050" w14:textId="7FDBD00D" w:rsidR="004217AC" w:rsidRPr="0027446F" w:rsidRDefault="0027446F" w:rsidP="0027446F">
      <w:pPr>
        <w:pBdr>
          <w:top w:val="single" w:sz="4" w:space="1" w:color="auto"/>
          <w:left w:val="single" w:sz="4" w:space="4" w:color="auto"/>
          <w:bottom w:val="single" w:sz="4" w:space="1" w:color="auto"/>
          <w:right w:val="single" w:sz="4" w:space="4" w:color="auto"/>
        </w:pBdr>
        <w:jc w:val="center"/>
        <w:rPr>
          <w:i/>
          <w:iCs/>
        </w:rPr>
      </w:pPr>
      <w:r w:rsidRPr="0027446F">
        <w:rPr>
          <w:i/>
          <w:iCs/>
        </w:rPr>
        <w:t>Tariff of DRG X = DRG X Relative Cost Weight * DRG Base R</w:t>
      </w:r>
      <w:r w:rsidR="004217AC" w:rsidRPr="0027446F">
        <w:rPr>
          <w:i/>
          <w:iCs/>
        </w:rPr>
        <w:t>ate</w:t>
      </w:r>
    </w:p>
    <w:p w14:paraId="68F47DB8" w14:textId="77777777" w:rsidR="004217AC" w:rsidRPr="004217AC" w:rsidRDefault="004217AC" w:rsidP="004217AC">
      <w:pPr>
        <w:jc w:val="both"/>
        <w:rPr>
          <w:iCs/>
        </w:rPr>
      </w:pPr>
    </w:p>
    <w:p w14:paraId="39C8547C" w14:textId="77777777" w:rsidR="004217AC" w:rsidRPr="004217AC" w:rsidRDefault="004217AC" w:rsidP="004217AC">
      <w:pPr>
        <w:jc w:val="both"/>
      </w:pPr>
    </w:p>
    <w:p w14:paraId="495A3AE6" w14:textId="53539B74" w:rsidR="00BD280E" w:rsidRPr="004217AC" w:rsidRDefault="00BD280E" w:rsidP="004217AC">
      <w:pPr>
        <w:jc w:val="both"/>
      </w:pPr>
      <w:r w:rsidRPr="004217AC">
        <w:t>DRG base rate is calculated as follows:</w:t>
      </w:r>
    </w:p>
    <w:p w14:paraId="25925562" w14:textId="77777777" w:rsidR="00BD280E" w:rsidRPr="004217AC" w:rsidRDefault="00BD280E" w:rsidP="004217AC">
      <w:pPr>
        <w:jc w:val="both"/>
      </w:pPr>
    </w:p>
    <w:p w14:paraId="79E2638B" w14:textId="773A95E3" w:rsidR="00BD280E" w:rsidRPr="0027446F" w:rsidRDefault="00BD280E" w:rsidP="0027446F">
      <w:pPr>
        <w:pBdr>
          <w:top w:val="single" w:sz="4" w:space="1" w:color="auto"/>
          <w:left w:val="single" w:sz="4" w:space="4" w:color="auto"/>
          <w:bottom w:val="single" w:sz="4" w:space="1" w:color="auto"/>
          <w:right w:val="single" w:sz="4" w:space="4" w:color="auto"/>
        </w:pBdr>
        <w:jc w:val="center"/>
      </w:pPr>
      <w:r w:rsidRPr="0027446F">
        <w:rPr>
          <w:i/>
          <w:iCs/>
        </w:rPr>
        <w:t xml:space="preserve">DRG </w:t>
      </w:r>
      <w:r w:rsidR="0027446F" w:rsidRPr="0027446F">
        <w:rPr>
          <w:i/>
          <w:iCs/>
        </w:rPr>
        <w:t>Base Rate = Total B</w:t>
      </w:r>
      <w:r w:rsidRPr="0027446F">
        <w:rPr>
          <w:i/>
          <w:iCs/>
        </w:rPr>
        <w:t xml:space="preserve">udget or </w:t>
      </w:r>
      <w:r w:rsidR="0027446F" w:rsidRPr="0027446F">
        <w:rPr>
          <w:i/>
          <w:iCs/>
        </w:rPr>
        <w:t>Expenditures / (Sum of Equivalent Cases Across A</w:t>
      </w:r>
      <w:r w:rsidRPr="0027446F">
        <w:rPr>
          <w:i/>
          <w:iCs/>
        </w:rPr>
        <w:t>ll DRGs * CMI</w:t>
      </w:r>
      <w:r w:rsidR="0027446F" w:rsidRPr="0027446F">
        <w:rPr>
          <w:i/>
          <w:iCs/>
        </w:rPr>
        <w:t xml:space="preserve"> Across all H</w:t>
      </w:r>
      <w:r w:rsidR="004217AC" w:rsidRPr="0027446F">
        <w:rPr>
          <w:i/>
          <w:iCs/>
        </w:rPr>
        <w:t>ospitals</w:t>
      </w:r>
      <w:r w:rsidRPr="0027446F">
        <w:rPr>
          <w:rStyle w:val="FootnoteReference"/>
          <w:i/>
          <w:iCs/>
        </w:rPr>
        <w:footnoteReference w:id="5"/>
      </w:r>
      <w:r w:rsidRPr="0027446F">
        <w:rPr>
          <w:i/>
          <w:iCs/>
        </w:rPr>
        <w:t>)</w:t>
      </w:r>
    </w:p>
    <w:p w14:paraId="7D11CE9E" w14:textId="77777777" w:rsidR="00BD280E" w:rsidRPr="004217AC" w:rsidRDefault="00BD280E" w:rsidP="004217AC">
      <w:pPr>
        <w:jc w:val="both"/>
      </w:pPr>
    </w:p>
    <w:p w14:paraId="0D007BD1" w14:textId="77777777" w:rsidR="004217AC" w:rsidRPr="004217AC" w:rsidRDefault="004217AC" w:rsidP="004217AC">
      <w:pPr>
        <w:jc w:val="both"/>
      </w:pPr>
      <w:r w:rsidRPr="004217AC">
        <w:t xml:space="preserve">The case-mix index (CMI) is a measure of one hospital’s overall output of cases (volume and type of cases) compared to the average for all hospitals. Similarly to DRG relative cost weights, it enables to compare hospitals in terms of their aggregate resource intensity. </w:t>
      </w:r>
    </w:p>
    <w:p w14:paraId="47E05728" w14:textId="669ABFB7" w:rsidR="004217AC" w:rsidRPr="004217AC" w:rsidRDefault="004217AC" w:rsidP="004217AC">
      <w:pPr>
        <w:jc w:val="both"/>
        <w:rPr>
          <w:iCs/>
        </w:rPr>
      </w:pPr>
      <w:r w:rsidRPr="004217AC">
        <w:rPr>
          <w:iCs/>
        </w:rPr>
        <w:t>The CMI is calculated as follows:</w:t>
      </w:r>
    </w:p>
    <w:p w14:paraId="047C7386" w14:textId="77777777" w:rsidR="004217AC" w:rsidRPr="004217AC" w:rsidRDefault="004217AC" w:rsidP="004217AC">
      <w:pPr>
        <w:jc w:val="both"/>
      </w:pPr>
    </w:p>
    <w:p w14:paraId="356894ED" w14:textId="70A92520" w:rsidR="004217AC" w:rsidRPr="0027446F" w:rsidRDefault="004217AC" w:rsidP="0027446F">
      <w:pPr>
        <w:pStyle w:val="p1"/>
        <w:pBdr>
          <w:top w:val="single" w:sz="4" w:space="1" w:color="auto"/>
          <w:left w:val="single" w:sz="4" w:space="4" w:color="auto"/>
          <w:bottom w:val="single" w:sz="4" w:space="1" w:color="auto"/>
          <w:right w:val="single" w:sz="4" w:space="4" w:color="auto"/>
        </w:pBdr>
        <w:jc w:val="center"/>
        <w:rPr>
          <w:rFonts w:asciiTheme="minorHAnsi" w:hAnsiTheme="minorHAnsi"/>
          <w:sz w:val="24"/>
          <w:szCs w:val="24"/>
        </w:rPr>
      </w:pPr>
      <w:r w:rsidRPr="0027446F">
        <w:rPr>
          <w:rFonts w:asciiTheme="minorHAnsi" w:hAnsiTheme="minorHAnsi"/>
          <w:i/>
          <w:iCs/>
          <w:sz w:val="24"/>
          <w:szCs w:val="24"/>
        </w:rPr>
        <w:lastRenderedPageBreak/>
        <w:t>CMI = Σ (</w:t>
      </w:r>
      <w:r w:rsidR="0027446F" w:rsidRPr="0027446F">
        <w:rPr>
          <w:rFonts w:asciiTheme="minorHAnsi" w:hAnsiTheme="minorHAnsi"/>
          <w:i/>
          <w:iCs/>
          <w:sz w:val="24"/>
          <w:szCs w:val="24"/>
        </w:rPr>
        <w:t>R</w:t>
      </w:r>
      <w:r w:rsidRPr="0027446F">
        <w:rPr>
          <w:rFonts w:asciiTheme="minorHAnsi" w:hAnsiTheme="minorHAnsi"/>
          <w:i/>
          <w:iCs/>
          <w:sz w:val="24"/>
          <w:szCs w:val="24"/>
        </w:rPr>
        <w:t xml:space="preserve">elative </w:t>
      </w:r>
      <w:r w:rsidR="0027446F" w:rsidRPr="0027446F">
        <w:rPr>
          <w:rFonts w:asciiTheme="minorHAnsi" w:hAnsiTheme="minorHAnsi"/>
          <w:i/>
          <w:iCs/>
          <w:sz w:val="24"/>
          <w:szCs w:val="24"/>
        </w:rPr>
        <w:t>C</w:t>
      </w:r>
      <w:r w:rsidR="00C90020" w:rsidRPr="0027446F">
        <w:rPr>
          <w:rFonts w:asciiTheme="minorHAnsi" w:hAnsiTheme="minorHAnsi"/>
          <w:i/>
          <w:iCs/>
          <w:sz w:val="24"/>
          <w:szCs w:val="24"/>
        </w:rPr>
        <w:t xml:space="preserve">ost </w:t>
      </w:r>
      <w:r w:rsidR="0027446F" w:rsidRPr="0027446F">
        <w:rPr>
          <w:rFonts w:asciiTheme="minorHAnsi" w:hAnsiTheme="minorHAnsi"/>
          <w:i/>
          <w:iCs/>
          <w:sz w:val="24"/>
          <w:szCs w:val="24"/>
        </w:rPr>
        <w:t>Weight of DRG X*Number of Cases in DRG X)/N</w:t>
      </w:r>
      <w:r w:rsidRPr="0027446F">
        <w:rPr>
          <w:rFonts w:asciiTheme="minorHAnsi" w:hAnsiTheme="minorHAnsi"/>
          <w:i/>
          <w:iCs/>
          <w:sz w:val="24"/>
          <w:szCs w:val="24"/>
        </w:rPr>
        <w:t xml:space="preserve">umber of </w:t>
      </w:r>
      <w:r w:rsidR="0027446F" w:rsidRPr="0027446F">
        <w:rPr>
          <w:rFonts w:asciiTheme="minorHAnsi" w:hAnsiTheme="minorHAnsi"/>
          <w:i/>
          <w:iCs/>
          <w:sz w:val="24"/>
          <w:szCs w:val="24"/>
        </w:rPr>
        <w:t>A</w:t>
      </w:r>
      <w:r w:rsidR="00C94C65" w:rsidRPr="0027446F">
        <w:rPr>
          <w:rFonts w:asciiTheme="minorHAnsi" w:hAnsiTheme="minorHAnsi"/>
          <w:i/>
          <w:iCs/>
          <w:sz w:val="24"/>
          <w:szCs w:val="24"/>
        </w:rPr>
        <w:t xml:space="preserve">ll </w:t>
      </w:r>
      <w:r w:rsidR="0027446F" w:rsidRPr="0027446F">
        <w:rPr>
          <w:rFonts w:asciiTheme="minorHAnsi" w:hAnsiTheme="minorHAnsi"/>
          <w:i/>
          <w:iCs/>
          <w:sz w:val="24"/>
          <w:szCs w:val="24"/>
        </w:rPr>
        <w:t>C</w:t>
      </w:r>
      <w:r w:rsidRPr="0027446F">
        <w:rPr>
          <w:rFonts w:asciiTheme="minorHAnsi" w:hAnsiTheme="minorHAnsi"/>
          <w:i/>
          <w:iCs/>
          <w:sz w:val="24"/>
          <w:szCs w:val="24"/>
        </w:rPr>
        <w:t>ases</w:t>
      </w:r>
    </w:p>
    <w:p w14:paraId="08261940" w14:textId="77777777" w:rsidR="004217AC" w:rsidRPr="004217AC" w:rsidRDefault="004217AC" w:rsidP="004217AC">
      <w:pPr>
        <w:jc w:val="both"/>
      </w:pPr>
    </w:p>
    <w:p w14:paraId="7B0EA230" w14:textId="12114A53" w:rsidR="004217AC" w:rsidRPr="004217AC" w:rsidRDefault="004217AC" w:rsidP="004217AC">
      <w:pPr>
        <w:jc w:val="both"/>
      </w:pPr>
      <w:r w:rsidRPr="004217AC">
        <w:t xml:space="preserve">CMI 1,0 means that this hospital has patients with average resource intensity, CMI more than 1 means that this hospital treats patients needing more resources than. Besides hospital level, CMI could be calculated by patient </w:t>
      </w:r>
      <w:r w:rsidR="005136A8">
        <w:t>place of living</w:t>
      </w:r>
      <w:r w:rsidR="005136A8" w:rsidRPr="004217AC">
        <w:t xml:space="preserve"> </w:t>
      </w:r>
      <w:r w:rsidRPr="004217AC">
        <w:t xml:space="preserve">which would give overview about differences in resource intensity from the population perspective. </w:t>
      </w:r>
    </w:p>
    <w:p w14:paraId="37AAE8DA" w14:textId="77777777" w:rsidR="004217AC" w:rsidRPr="004217AC" w:rsidRDefault="004217AC" w:rsidP="004217AC">
      <w:pPr>
        <w:jc w:val="both"/>
      </w:pPr>
    </w:p>
    <w:p w14:paraId="2B01F8AB" w14:textId="32B3B5A8" w:rsidR="009C3D49" w:rsidRPr="004217AC" w:rsidRDefault="004217AC" w:rsidP="004217AC">
      <w:pPr>
        <w:jc w:val="both"/>
      </w:pPr>
      <w:r w:rsidRPr="004217AC">
        <w:t xml:space="preserve">CMI could be also a useful tool for hospital, region and country level budgeting. </w:t>
      </w:r>
      <w:r w:rsidR="009C3D49" w:rsidRPr="004217AC">
        <w:rPr>
          <w:iCs/>
        </w:rPr>
        <w:t xml:space="preserve">DRG base rate allows to calculated hospital level budget: </w:t>
      </w:r>
    </w:p>
    <w:p w14:paraId="05AD733E" w14:textId="77777777" w:rsidR="009C3D49" w:rsidRPr="004217AC" w:rsidRDefault="009C3D49" w:rsidP="004217AC">
      <w:pPr>
        <w:jc w:val="both"/>
        <w:rPr>
          <w:iCs/>
        </w:rPr>
      </w:pPr>
    </w:p>
    <w:p w14:paraId="6A2AD10F" w14:textId="5D0B5D62" w:rsidR="009C3D49" w:rsidRPr="0027446F" w:rsidRDefault="0027446F" w:rsidP="0027446F">
      <w:pPr>
        <w:pBdr>
          <w:top w:val="single" w:sz="4" w:space="1" w:color="auto"/>
          <w:left w:val="single" w:sz="4" w:space="4" w:color="auto"/>
          <w:bottom w:val="single" w:sz="4" w:space="1" w:color="auto"/>
          <w:right w:val="single" w:sz="4" w:space="4" w:color="auto"/>
        </w:pBdr>
        <w:jc w:val="center"/>
        <w:rPr>
          <w:i/>
          <w:iCs/>
        </w:rPr>
      </w:pPr>
      <w:r w:rsidRPr="0027446F">
        <w:rPr>
          <w:i/>
          <w:iCs/>
        </w:rPr>
        <w:t>Hospital A Budget = Hospital A CMI * DRG Base R</w:t>
      </w:r>
      <w:r w:rsidR="009C3D49" w:rsidRPr="0027446F">
        <w:rPr>
          <w:i/>
          <w:iCs/>
        </w:rPr>
        <w:t xml:space="preserve">ate </w:t>
      </w:r>
      <w:r w:rsidRPr="0027446F">
        <w:rPr>
          <w:i/>
          <w:iCs/>
        </w:rPr>
        <w:t>* Number of C</w:t>
      </w:r>
      <w:r w:rsidR="004217AC" w:rsidRPr="0027446F">
        <w:rPr>
          <w:i/>
          <w:iCs/>
        </w:rPr>
        <w:t>ases in Hospital A.</w:t>
      </w:r>
    </w:p>
    <w:p w14:paraId="07A32DDB" w14:textId="77777777" w:rsidR="009C3D49" w:rsidRPr="004217AC" w:rsidRDefault="009C3D49" w:rsidP="004217AC">
      <w:pPr>
        <w:jc w:val="both"/>
        <w:rPr>
          <w:iCs/>
        </w:rPr>
      </w:pPr>
    </w:p>
    <w:p w14:paraId="7719172C" w14:textId="180A5118" w:rsidR="009C3D49" w:rsidRPr="004217AC" w:rsidRDefault="009C3D49" w:rsidP="004217AC">
      <w:pPr>
        <w:jc w:val="both"/>
        <w:rPr>
          <w:iCs/>
        </w:rPr>
      </w:pPr>
      <w:r w:rsidRPr="00D80FD2">
        <w:rPr>
          <w:iCs/>
        </w:rPr>
        <w:t xml:space="preserve">At present, the SSA does not use provider level budget ceilings but this could be an option for the future to strengthen the SSA’s ability to control cost. </w:t>
      </w:r>
    </w:p>
    <w:p w14:paraId="7E2198CE" w14:textId="77777777" w:rsidR="00FA4F2A" w:rsidRPr="004217AC" w:rsidRDefault="00FA4F2A" w:rsidP="004217AC">
      <w:pPr>
        <w:jc w:val="both"/>
        <w:rPr>
          <w:b/>
          <w:bCs/>
        </w:rPr>
      </w:pPr>
    </w:p>
    <w:p w14:paraId="3C03DD1F" w14:textId="3C5D003C" w:rsidR="00FA4F2A" w:rsidRPr="004217AC" w:rsidRDefault="00FA4F2A" w:rsidP="004217AC">
      <w:pPr>
        <w:pStyle w:val="NormalWeb"/>
        <w:spacing w:before="0" w:beforeAutospacing="0" w:after="0" w:afterAutospacing="0"/>
        <w:rPr>
          <w:rFonts w:asciiTheme="minorHAnsi" w:hAnsiTheme="minorHAnsi"/>
        </w:rPr>
      </w:pPr>
      <w:r w:rsidRPr="004217AC">
        <w:rPr>
          <w:rFonts w:asciiTheme="minorHAnsi" w:hAnsiTheme="minorHAnsi"/>
          <w:color w:val="0C0C0C"/>
        </w:rPr>
        <w:t>The most important bene</w:t>
      </w:r>
      <w:r w:rsidR="00EC380A">
        <w:rPr>
          <w:rFonts w:asciiTheme="minorHAnsi" w:hAnsiTheme="minorHAnsi"/>
          <w:color w:val="0C0C0C"/>
        </w:rPr>
        <w:t>fi</w:t>
      </w:r>
      <w:r w:rsidRPr="004217AC">
        <w:rPr>
          <w:rFonts w:asciiTheme="minorHAnsi" w:hAnsiTheme="minorHAnsi"/>
          <w:color w:val="0C0C0C"/>
        </w:rPr>
        <w:t xml:space="preserve">t of activity capping arrangements is that they automatically cap planned expenditure. In this way, case-based payment arrangements give the same level of spending certainty provided by global budgets and other hospital budgeting approaches. Activity and expenditure caps also ensure that hospital expenditure growth is moderated. </w:t>
      </w:r>
    </w:p>
    <w:p w14:paraId="7B46B4B1" w14:textId="77777777" w:rsidR="00FA4F2A" w:rsidRPr="004217AC" w:rsidRDefault="00FA4F2A" w:rsidP="004217AC">
      <w:pPr>
        <w:pStyle w:val="NormalWeb"/>
        <w:spacing w:before="0" w:beforeAutospacing="0" w:after="0" w:afterAutospacing="0"/>
        <w:rPr>
          <w:rFonts w:asciiTheme="minorHAnsi" w:hAnsiTheme="minorHAnsi"/>
        </w:rPr>
      </w:pPr>
      <w:r w:rsidRPr="004217AC">
        <w:rPr>
          <w:rFonts w:asciiTheme="minorHAnsi" w:hAnsiTheme="minorHAnsi"/>
          <w:color w:val="0C0C0C"/>
        </w:rPr>
        <w:t xml:space="preserve">Allocation of activity caps is an important planning tool. Activity caps, however, may lead to an imbalance between patient demand and funded supply, creating waiting lists or queues, and potentially rationing access. </w:t>
      </w:r>
    </w:p>
    <w:p w14:paraId="69F01FE1" w14:textId="77777777" w:rsidR="00FA4F2A" w:rsidRDefault="00FA4F2A" w:rsidP="004217AC">
      <w:pPr>
        <w:jc w:val="both"/>
        <w:rPr>
          <w:b/>
          <w:bCs/>
        </w:rPr>
      </w:pPr>
    </w:p>
    <w:p w14:paraId="4A7935A6" w14:textId="77777777" w:rsidR="00B51EFF" w:rsidRDefault="00B51EFF" w:rsidP="004217AC">
      <w:pPr>
        <w:jc w:val="both"/>
        <w:rPr>
          <w:b/>
          <w:bCs/>
        </w:rPr>
      </w:pPr>
    </w:p>
    <w:p w14:paraId="70AE1E8F" w14:textId="77777777" w:rsidR="00B51EFF" w:rsidRPr="00084091"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62D75679" w14:textId="59EA32F0" w:rsidR="00B51EFF" w:rsidRPr="00B90FD0"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Please discuss </w:t>
      </w:r>
      <w:r>
        <w:rPr>
          <w:lang w:val="en-US"/>
        </w:rPr>
        <w:t xml:space="preserve">if you want to have DRG base rate to be calculated for the shadow funding period. One alternative is to use only </w:t>
      </w:r>
      <w:r w:rsidR="00C90020">
        <w:rPr>
          <w:lang w:val="en-US"/>
        </w:rPr>
        <w:t xml:space="preserve">relative </w:t>
      </w:r>
      <w:r>
        <w:rPr>
          <w:lang w:val="en-US"/>
        </w:rPr>
        <w:t xml:space="preserve">cost weights during that period </w:t>
      </w:r>
      <w:r w:rsidR="00D80FD2">
        <w:rPr>
          <w:lang w:val="en-US"/>
        </w:rPr>
        <w:t xml:space="preserve">as DRGs are not used for actual reimbursement and there is no need to put DRGs </w:t>
      </w:r>
      <w:r w:rsidR="00C90020">
        <w:rPr>
          <w:lang w:val="en-US"/>
        </w:rPr>
        <w:t xml:space="preserve">relative </w:t>
      </w:r>
      <w:r w:rsidR="00D80FD2">
        <w:rPr>
          <w:lang w:val="en-US"/>
        </w:rPr>
        <w:t>cost weights into monetary equivalent. This would allow to develop different base rate scenarios during the shado</w:t>
      </w:r>
      <w:r w:rsidR="000F20FE">
        <w:rPr>
          <w:lang w:val="en-US"/>
        </w:rPr>
        <w:t xml:space="preserve">w funding period to discuss </w:t>
      </w:r>
      <w:r w:rsidR="00D80FD2">
        <w:rPr>
          <w:lang w:val="en-US"/>
        </w:rPr>
        <w:t xml:space="preserve">alternative options for the implementation with key stakeholders. </w:t>
      </w:r>
    </w:p>
    <w:p w14:paraId="7A1D49FA" w14:textId="77777777" w:rsidR="00B51EFF" w:rsidRPr="00B90FD0"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0ABFCD9" w14:textId="77777777" w:rsidR="00B51EFF"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7DF60427" w14:textId="77777777" w:rsidR="00D80FD2" w:rsidRDefault="00D80FD2"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620A580F" w14:textId="77777777" w:rsidR="00D80FD2" w:rsidRDefault="00D80FD2"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34C840F3" w14:textId="77777777" w:rsidR="00D80FD2" w:rsidRPr="00084091"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01706819" w14:textId="78B90C42" w:rsidR="00D80FD2" w:rsidRPr="00B90FD0"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Pr>
          <w:lang w:val="en-US"/>
        </w:rPr>
        <w:t>You may discuss if you want to give a message to the providers regarding introduction of DRG base rate in 2020. For example, you may want to say that DRG base rate will be calculated to keep in mind the budget neutrality at the system level. Alternative option is to say that this will be decided during the shadow funding period when additional analytical work will be performed and it is possible to take into account first experiences with DRG.</w:t>
      </w:r>
    </w:p>
    <w:p w14:paraId="505634F0" w14:textId="77777777" w:rsidR="00D80FD2" w:rsidRPr="00B90FD0"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1639BB53" w14:textId="77777777" w:rsidR="00D80FD2"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3FD41FD1" w14:textId="77777777" w:rsidR="00D80FD2"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41E11615" w14:textId="77777777" w:rsidR="00D80FD2" w:rsidRPr="00084091" w:rsidRDefault="00D80FD2"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270BFBAC" w14:textId="77777777" w:rsidR="00B51EFF" w:rsidRPr="00B51EFF" w:rsidRDefault="00B51EFF" w:rsidP="004217AC">
      <w:pPr>
        <w:jc w:val="both"/>
        <w:rPr>
          <w:b/>
          <w:bCs/>
          <w:lang w:val="en-US"/>
        </w:rPr>
      </w:pPr>
    </w:p>
    <w:p w14:paraId="48333CBE" w14:textId="77777777" w:rsidR="00B51EFF" w:rsidRPr="004217AC" w:rsidRDefault="00B51EFF" w:rsidP="004217AC">
      <w:pPr>
        <w:jc w:val="both"/>
        <w:rPr>
          <w:b/>
          <w:bCs/>
        </w:rPr>
      </w:pPr>
    </w:p>
    <w:p w14:paraId="1728BB6E" w14:textId="000F1DD6" w:rsidR="009C3D49" w:rsidRPr="00973E5A" w:rsidRDefault="009C3D49" w:rsidP="004F741E">
      <w:pPr>
        <w:pStyle w:val="Heading2"/>
        <w:numPr>
          <w:ilvl w:val="0"/>
          <w:numId w:val="6"/>
        </w:numPr>
        <w:spacing w:before="0"/>
        <w:rPr>
          <w:rFonts w:asciiTheme="minorHAnsi" w:hAnsiTheme="minorHAnsi"/>
          <w:b/>
          <w:color w:val="323E4F" w:themeColor="text2" w:themeShade="BF"/>
          <w:lang w:val="en-US"/>
        </w:rPr>
      </w:pPr>
      <w:bookmarkStart w:id="5" w:name="_Toc524980529"/>
      <w:r w:rsidRPr="00973E5A">
        <w:rPr>
          <w:rFonts w:asciiTheme="minorHAnsi" w:hAnsiTheme="minorHAnsi"/>
          <w:b/>
          <w:color w:val="323E4F" w:themeColor="text2" w:themeShade="BF"/>
          <w:lang w:val="en-US"/>
        </w:rPr>
        <w:lastRenderedPageBreak/>
        <w:t>DRG reimbursement policy</w:t>
      </w:r>
      <w:bookmarkEnd w:id="5"/>
    </w:p>
    <w:p w14:paraId="10AB2DCD" w14:textId="77777777" w:rsidR="009C3D49" w:rsidRPr="004217AC" w:rsidRDefault="009C3D49" w:rsidP="004217AC">
      <w:pPr>
        <w:jc w:val="both"/>
      </w:pPr>
      <w:r w:rsidRPr="004217AC">
        <w:t>Usually DRG systems as payment mechanisms are implemented with several adjustments to minimize the risk of full-DRG implementation for the providers as well as payer and to better align incentives in the desired direction.</w:t>
      </w:r>
    </w:p>
    <w:p w14:paraId="1208C5DA" w14:textId="77777777" w:rsidR="009C3D49" w:rsidRPr="004217AC" w:rsidRDefault="009C3D49" w:rsidP="004217AC">
      <w:pPr>
        <w:jc w:val="both"/>
      </w:pPr>
    </w:p>
    <w:p w14:paraId="759AEE65" w14:textId="77777777" w:rsidR="009C3D49" w:rsidRPr="007775D3" w:rsidRDefault="009C3D49" w:rsidP="004217AC">
      <w:pPr>
        <w:jc w:val="both"/>
      </w:pPr>
      <w:r w:rsidRPr="004217AC">
        <w:t xml:space="preserve">The first type of adjustments focus on adjusting DRG base rate to the </w:t>
      </w:r>
      <w:r w:rsidRPr="007775D3">
        <w:rPr>
          <w:b/>
        </w:rPr>
        <w:t xml:space="preserve">cost differences among different providers </w:t>
      </w:r>
      <w:r w:rsidRPr="004217AC">
        <w:t xml:space="preserve">which may be due to: (i) teaching status; (ii) geographical location; and (iii) clinical aspects (e.g. specialization, 24/7 preparedness) which is not well captured by the DRG grouping. </w:t>
      </w:r>
      <w:r w:rsidRPr="007775D3">
        <w:t>If these type of adjustments are applied, they must be well justified. An alternative approach is to tackle these costs outside DRG system by using block grants to cover specific functions, e.g. 24/7 preparedness.</w:t>
      </w:r>
    </w:p>
    <w:p w14:paraId="53B88D5B" w14:textId="77777777" w:rsidR="009C3D49" w:rsidRPr="004217AC" w:rsidRDefault="009C3D49" w:rsidP="004217AC">
      <w:pPr>
        <w:jc w:val="both"/>
      </w:pPr>
    </w:p>
    <w:p w14:paraId="4F1099F5" w14:textId="36068A69" w:rsidR="007775D3" w:rsidRDefault="009C3D49" w:rsidP="004217AC">
      <w:pPr>
        <w:jc w:val="both"/>
        <w:rPr>
          <w:i/>
        </w:rPr>
      </w:pPr>
      <w:r w:rsidRPr="004217AC">
        <w:t xml:space="preserve">The second type of adjustments include </w:t>
      </w:r>
      <w:r w:rsidRPr="007775D3">
        <w:rPr>
          <w:b/>
        </w:rPr>
        <w:t>DRG outliers</w:t>
      </w:r>
      <w:r w:rsidRPr="004217AC">
        <w:t xml:space="preserve"> which mostly relate to those treatment cases which require an unusually long (in some cases short) hospital stay or cause high (low) cost. One option is to define for each DRG group the lower and upper level cost (or length of stay) limit and to apply </w:t>
      </w:r>
      <w:r w:rsidR="007775D3">
        <w:t>additional adjustments outside</w:t>
      </w:r>
      <w:r w:rsidRPr="004217AC">
        <w:t xml:space="preserve"> these limits</w:t>
      </w:r>
      <w:r w:rsidR="007775D3">
        <w:t>:</w:t>
      </w:r>
    </w:p>
    <w:p w14:paraId="3DE26757" w14:textId="77777777" w:rsidR="007775D3" w:rsidRDefault="007775D3" w:rsidP="007775D3">
      <w:pPr>
        <w:jc w:val="center"/>
        <w:rPr>
          <w:bCs/>
          <w:i/>
          <w:lang w:val="en-US"/>
        </w:rPr>
      </w:pPr>
    </w:p>
    <w:p w14:paraId="6BB68C19" w14:textId="4447A8EE" w:rsidR="007775D3" w:rsidRPr="0027446F" w:rsidRDefault="0027446F" w:rsidP="0027446F">
      <w:pPr>
        <w:pBdr>
          <w:top w:val="single" w:sz="4" w:space="1" w:color="auto"/>
          <w:left w:val="single" w:sz="4" w:space="4" w:color="auto"/>
          <w:bottom w:val="single" w:sz="4" w:space="1" w:color="auto"/>
          <w:right w:val="single" w:sz="4" w:space="4" w:color="auto"/>
        </w:pBdr>
        <w:jc w:val="center"/>
        <w:rPr>
          <w:bCs/>
          <w:i/>
          <w:lang w:val="en-US"/>
        </w:rPr>
      </w:pPr>
      <w:r w:rsidRPr="0027446F">
        <w:rPr>
          <w:bCs/>
          <w:i/>
          <w:lang w:val="en-US"/>
        </w:rPr>
        <w:t>Claim</w:t>
      </w:r>
      <w:r>
        <w:rPr>
          <w:bCs/>
          <w:i/>
          <w:lang w:val="en-US"/>
        </w:rPr>
        <w:t>’s</w:t>
      </w:r>
      <w:bookmarkStart w:id="6" w:name="_GoBack"/>
      <w:bookmarkEnd w:id="6"/>
      <w:r w:rsidRPr="0027446F">
        <w:rPr>
          <w:bCs/>
          <w:i/>
          <w:lang w:val="en-US"/>
        </w:rPr>
        <w:t xml:space="preserve"> P</w:t>
      </w:r>
      <w:r w:rsidR="007775D3" w:rsidRPr="0027446F">
        <w:rPr>
          <w:bCs/>
          <w:i/>
          <w:lang w:val="en-US"/>
        </w:rPr>
        <w:t xml:space="preserve">ayment=DRG </w:t>
      </w:r>
      <w:r w:rsidRPr="0027446F">
        <w:rPr>
          <w:bCs/>
          <w:i/>
          <w:lang w:val="en-US"/>
        </w:rPr>
        <w:t>Tariff +/x Outlier A</w:t>
      </w:r>
      <w:r w:rsidR="007775D3" w:rsidRPr="0027446F">
        <w:rPr>
          <w:bCs/>
          <w:i/>
          <w:lang w:val="en-US"/>
        </w:rPr>
        <w:t>djustment</w:t>
      </w:r>
    </w:p>
    <w:p w14:paraId="4806E1D5" w14:textId="77777777" w:rsidR="007775D3" w:rsidRDefault="007775D3" w:rsidP="004217AC">
      <w:pPr>
        <w:jc w:val="both"/>
        <w:rPr>
          <w:i/>
        </w:rPr>
      </w:pPr>
    </w:p>
    <w:p w14:paraId="7A57BECA" w14:textId="4AEF308F" w:rsidR="007775D3" w:rsidRDefault="007775D3" w:rsidP="004217AC">
      <w:pPr>
        <w:jc w:val="both"/>
      </w:pPr>
      <w:r w:rsidRPr="007775D3">
        <w:t>There are several possibilities to set the low and high cost limits for DRGs, e.g. consensus building among providers, statistical methods. Also, it is important that DRG base rates and/or relative cost weights are adjusted according to the selected outlier defining approach to achieve expected budget impact.</w:t>
      </w:r>
    </w:p>
    <w:p w14:paraId="794C44C8" w14:textId="77777777" w:rsidR="009C3D49" w:rsidRPr="004217AC" w:rsidRDefault="009C3D49" w:rsidP="004217AC"/>
    <w:p w14:paraId="7DF7B1BA" w14:textId="77777777" w:rsidR="009C3D49" w:rsidRPr="004217AC" w:rsidRDefault="009C3D49" w:rsidP="00137678">
      <w:pPr>
        <w:jc w:val="both"/>
      </w:pPr>
      <w:r w:rsidRPr="004217AC">
        <w:t xml:space="preserve">In addition to high and low cost or length of stay outliers, there are usually additional DRG outliers which are defined by using other characteristics as clinical speciality (e.g. psychiatric care, rehabilitation, nursing care), specific treatments (e.g. ICU, chemotherapy, artificial ventilation), referral status (e.g. referred cases), etc. </w:t>
      </w:r>
    </w:p>
    <w:p w14:paraId="226A1D31" w14:textId="77777777" w:rsidR="009C3D49" w:rsidRDefault="009C3D49" w:rsidP="004217AC">
      <w:pPr>
        <w:jc w:val="both"/>
        <w:rPr>
          <w:b/>
          <w:bCs/>
        </w:rPr>
      </w:pPr>
    </w:p>
    <w:p w14:paraId="1652E8BC" w14:textId="77777777" w:rsidR="00DE56BF" w:rsidRDefault="00DE56BF" w:rsidP="004217AC">
      <w:pPr>
        <w:jc w:val="both"/>
        <w:rPr>
          <w:b/>
          <w:bCs/>
        </w:rPr>
      </w:pPr>
    </w:p>
    <w:p w14:paraId="572C6881" w14:textId="77777777" w:rsidR="008E1350" w:rsidRPr="00084091" w:rsidRDefault="008E1350" w:rsidP="008E135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5DB1F43A" w14:textId="7642FD81" w:rsidR="008E1350" w:rsidRPr="00B90FD0" w:rsidRDefault="006E18C8" w:rsidP="008E135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Pr>
          <w:lang w:val="en-US"/>
        </w:rPr>
        <w:t xml:space="preserve">Please discuss and list all potential adjustments you may consider to apply. This would enable to analyze these during the shadow funding period and to decide what and how to implement in actual practice. </w:t>
      </w:r>
    </w:p>
    <w:p w14:paraId="0EF34D55" w14:textId="77777777" w:rsidR="008E1350" w:rsidRPr="00B90FD0" w:rsidRDefault="008E1350" w:rsidP="008E1350">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26EA7DD0" w14:textId="77777777" w:rsidR="008E1350" w:rsidRDefault="008E1350" w:rsidP="008E135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207EF57E" w14:textId="77777777" w:rsidR="00676732" w:rsidRDefault="00676732" w:rsidP="004217AC">
      <w:pPr>
        <w:jc w:val="both"/>
        <w:rPr>
          <w:b/>
          <w:bCs/>
        </w:rPr>
      </w:pPr>
    </w:p>
    <w:p w14:paraId="419CB006" w14:textId="77777777" w:rsidR="00676732" w:rsidRPr="004217AC" w:rsidRDefault="00676732" w:rsidP="004217AC">
      <w:pPr>
        <w:jc w:val="both"/>
        <w:rPr>
          <w:b/>
          <w:bCs/>
        </w:rPr>
      </w:pPr>
    </w:p>
    <w:p w14:paraId="64B20B2E" w14:textId="78B216EF" w:rsidR="009C3D49" w:rsidRPr="003A0883" w:rsidRDefault="009C3D49" w:rsidP="004F741E">
      <w:pPr>
        <w:pStyle w:val="Heading2"/>
        <w:numPr>
          <w:ilvl w:val="0"/>
          <w:numId w:val="6"/>
        </w:numPr>
        <w:spacing w:before="0"/>
        <w:rPr>
          <w:rFonts w:asciiTheme="minorHAnsi" w:hAnsiTheme="minorHAnsi"/>
          <w:b/>
          <w:color w:val="323E4F" w:themeColor="text2" w:themeShade="BF"/>
        </w:rPr>
      </w:pPr>
      <w:bookmarkStart w:id="7" w:name="_Toc524980530"/>
      <w:r w:rsidRPr="003A0883">
        <w:rPr>
          <w:rFonts w:asciiTheme="minorHAnsi" w:hAnsiTheme="minorHAnsi"/>
          <w:b/>
          <w:color w:val="323E4F" w:themeColor="text2" w:themeShade="BF"/>
        </w:rPr>
        <w:t>Simulation</w:t>
      </w:r>
      <w:r w:rsidR="000F20FE" w:rsidRPr="003A0883">
        <w:rPr>
          <w:rFonts w:asciiTheme="minorHAnsi" w:hAnsiTheme="minorHAnsi"/>
          <w:b/>
          <w:color w:val="323E4F" w:themeColor="text2" w:themeShade="BF"/>
        </w:rPr>
        <w:t xml:space="preserve"> scenarios to evaluate the </w:t>
      </w:r>
      <w:r w:rsidRPr="003A0883">
        <w:rPr>
          <w:rFonts w:asciiTheme="minorHAnsi" w:hAnsiTheme="minorHAnsi"/>
          <w:b/>
          <w:color w:val="323E4F" w:themeColor="text2" w:themeShade="BF"/>
        </w:rPr>
        <w:t xml:space="preserve">system </w:t>
      </w:r>
      <w:r w:rsidR="000F20FE" w:rsidRPr="003A0883">
        <w:rPr>
          <w:rFonts w:asciiTheme="minorHAnsi" w:hAnsiTheme="minorHAnsi"/>
          <w:b/>
          <w:color w:val="323E4F" w:themeColor="text2" w:themeShade="BF"/>
        </w:rPr>
        <w:t xml:space="preserve">and provider </w:t>
      </w:r>
      <w:r w:rsidRPr="003A0883">
        <w:rPr>
          <w:rFonts w:asciiTheme="minorHAnsi" w:hAnsiTheme="minorHAnsi"/>
          <w:b/>
          <w:color w:val="323E4F" w:themeColor="text2" w:themeShade="BF"/>
        </w:rPr>
        <w:t>level impact</w:t>
      </w:r>
      <w:bookmarkEnd w:id="7"/>
      <w:r w:rsidRPr="003A0883">
        <w:rPr>
          <w:rFonts w:asciiTheme="minorHAnsi" w:hAnsiTheme="minorHAnsi"/>
          <w:b/>
          <w:color w:val="323E4F" w:themeColor="text2" w:themeShade="BF"/>
        </w:rPr>
        <w:t xml:space="preserve"> </w:t>
      </w:r>
    </w:p>
    <w:p w14:paraId="1D63D9E0" w14:textId="53B954F0" w:rsidR="009C3D49" w:rsidRPr="000F20FE" w:rsidRDefault="004D3DFB" w:rsidP="004217AC">
      <w:pPr>
        <w:jc w:val="both"/>
        <w:rPr>
          <w:bCs/>
          <w:lang w:val="en-US"/>
        </w:rPr>
      </w:pPr>
      <w:r>
        <w:rPr>
          <w:bCs/>
          <w:highlight w:val="lightGray"/>
          <w:lang w:val="en-US"/>
        </w:rPr>
        <w:t xml:space="preserve">INCLUDING PATIENT COST SHARING PRINCIPLES, BENEFIT PACKAGE DESIGN AND </w:t>
      </w:r>
      <w:r w:rsidR="00F53A76">
        <w:rPr>
          <w:bCs/>
          <w:highlight w:val="lightGray"/>
          <w:lang w:val="en-US"/>
        </w:rPr>
        <w:t xml:space="preserve">ALTERNATIVE </w:t>
      </w:r>
      <w:r>
        <w:rPr>
          <w:bCs/>
          <w:highlight w:val="lightGray"/>
          <w:lang w:val="en-US"/>
        </w:rPr>
        <w:t xml:space="preserve">TRANSITION </w:t>
      </w:r>
      <w:r w:rsidR="00F53A76">
        <w:rPr>
          <w:bCs/>
          <w:highlight w:val="lightGray"/>
          <w:lang w:val="en-US"/>
        </w:rPr>
        <w:t xml:space="preserve">SCENARIOUS </w:t>
      </w:r>
      <w:r w:rsidR="000F20FE" w:rsidRPr="000F20FE">
        <w:rPr>
          <w:bCs/>
          <w:highlight w:val="lightGray"/>
          <w:lang w:val="en-US"/>
        </w:rPr>
        <w:t xml:space="preserve">WILL BE DISCUSSED </w:t>
      </w:r>
      <w:r w:rsidR="000F20FE">
        <w:rPr>
          <w:bCs/>
          <w:highlight w:val="lightGray"/>
          <w:lang w:val="en-US"/>
        </w:rPr>
        <w:t>LATER</w:t>
      </w:r>
      <w:r w:rsidR="000F20FE">
        <w:rPr>
          <w:bCs/>
          <w:lang w:val="en-US"/>
        </w:rPr>
        <w:t>.</w:t>
      </w:r>
    </w:p>
    <w:p w14:paraId="1AAA2B03" w14:textId="77777777" w:rsidR="009C3D49" w:rsidRDefault="009C3D49" w:rsidP="004217AC">
      <w:pPr>
        <w:jc w:val="both"/>
        <w:rPr>
          <w:b/>
          <w:bCs/>
          <w:lang w:val="en-US"/>
        </w:rPr>
      </w:pPr>
    </w:p>
    <w:p w14:paraId="7FB3EC66" w14:textId="1674BFE6" w:rsidR="00F53A76" w:rsidRPr="003A0883" w:rsidRDefault="00F53A76" w:rsidP="004217AC">
      <w:pPr>
        <w:jc w:val="both"/>
        <w:rPr>
          <w:bCs/>
          <w:lang w:val="en-US"/>
        </w:rPr>
      </w:pPr>
      <w:r w:rsidRPr="003A0883">
        <w:rPr>
          <w:bCs/>
          <w:lang w:val="en-US"/>
        </w:rPr>
        <w:t>Criteria to use for decision making</w:t>
      </w:r>
      <w:r w:rsidR="003A0883" w:rsidRPr="003A0883">
        <w:rPr>
          <w:bCs/>
          <w:lang w:val="en-US"/>
        </w:rPr>
        <w:t xml:space="preserve"> when considering between different alternative options</w:t>
      </w:r>
      <w:r w:rsidRPr="003A0883">
        <w:rPr>
          <w:bCs/>
          <w:lang w:val="en-US"/>
        </w:rPr>
        <w:t>:</w:t>
      </w:r>
    </w:p>
    <w:p w14:paraId="597AA2FF" w14:textId="7D268D78"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Cost Effectiveness</w:t>
      </w:r>
      <w:r w:rsidR="003A0883" w:rsidRPr="003A0883">
        <w:rPr>
          <w:rFonts w:eastAsia="Times New Roman" w:cs="Times New Roman"/>
          <w:lang w:eastAsia="en-GB"/>
        </w:rPr>
        <w:t>:</w:t>
      </w:r>
      <w:r w:rsidRPr="003A0883">
        <w:rPr>
          <w:rFonts w:eastAsia="Times New Roman" w:cs="Times New Roman"/>
          <w:lang w:eastAsia="en-GB"/>
        </w:rPr>
        <w:t xml:space="preserve"> Is the option aligned with incentives for providing cost effective care?</w:t>
      </w:r>
    </w:p>
    <w:p w14:paraId="3984C0C7" w14:textId="2E71AF1D"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Access</w:t>
      </w:r>
      <w:r w:rsidR="003A0883" w:rsidRPr="003A0883">
        <w:rPr>
          <w:rFonts w:eastAsia="Times New Roman" w:cs="Times New Roman"/>
          <w:lang w:eastAsia="en-GB"/>
        </w:rPr>
        <w:t>:</w:t>
      </w:r>
      <w:r w:rsidRPr="003A0883">
        <w:rPr>
          <w:rFonts w:eastAsia="Times New Roman" w:cs="Times New Roman"/>
          <w:lang w:eastAsia="en-GB"/>
        </w:rPr>
        <w:t xml:space="preserve"> Does the option promote access to quality care?</w:t>
      </w:r>
    </w:p>
    <w:p w14:paraId="39DE887B" w14:textId="784E466A"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lastRenderedPageBreak/>
        <w:t>Equity</w:t>
      </w:r>
      <w:r w:rsidR="003A0883" w:rsidRPr="003A0883">
        <w:rPr>
          <w:rFonts w:eastAsia="Times New Roman" w:cs="Times New Roman"/>
          <w:lang w:eastAsia="en-GB"/>
        </w:rPr>
        <w:t>:</w:t>
      </w:r>
      <w:r w:rsidRPr="003A0883">
        <w:rPr>
          <w:rFonts w:eastAsia="Times New Roman" w:cs="Times New Roman"/>
          <w:lang w:eastAsia="en-GB"/>
        </w:rPr>
        <w:t xml:space="preserve"> Does the option promote equity of payment through appropriate recognition of resource intensity and other factors?</w:t>
      </w:r>
    </w:p>
    <w:p w14:paraId="4C79F469" w14:textId="620B7AA1"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Predictability</w:t>
      </w:r>
      <w:r w:rsidR="003A0883" w:rsidRPr="003A0883">
        <w:rPr>
          <w:rFonts w:eastAsia="Times New Roman" w:cs="Times New Roman"/>
          <w:lang w:eastAsia="en-GB"/>
        </w:rPr>
        <w:t>:</w:t>
      </w:r>
      <w:r w:rsidRPr="003A0883">
        <w:rPr>
          <w:rFonts w:eastAsia="Times New Roman" w:cs="Times New Roman"/>
          <w:lang w:eastAsia="en-GB"/>
        </w:rPr>
        <w:t xml:space="preserve"> Does the option provide predictable and transparent payment for providers and </w:t>
      </w:r>
      <w:r w:rsidR="003A0883" w:rsidRPr="003A0883">
        <w:rPr>
          <w:rFonts w:eastAsia="Times New Roman" w:cs="Times New Roman"/>
          <w:lang w:eastAsia="en-GB"/>
        </w:rPr>
        <w:t>the SSA</w:t>
      </w:r>
      <w:r w:rsidRPr="003A0883">
        <w:rPr>
          <w:rFonts w:eastAsia="Times New Roman" w:cs="Times New Roman"/>
          <w:lang w:eastAsia="en-GB"/>
        </w:rPr>
        <w:t>?</w:t>
      </w:r>
    </w:p>
    <w:p w14:paraId="55C21142" w14:textId="17CD1EB5"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Transparency and Simplicity</w:t>
      </w:r>
      <w:r w:rsidR="003A0883" w:rsidRPr="003A0883">
        <w:rPr>
          <w:rFonts w:eastAsia="Times New Roman" w:cs="Times New Roman"/>
          <w:lang w:eastAsia="en-GB"/>
        </w:rPr>
        <w:t>:</w:t>
      </w:r>
      <w:r w:rsidRPr="003A0883">
        <w:rPr>
          <w:rFonts w:eastAsia="Times New Roman" w:cs="Times New Roman"/>
          <w:lang w:eastAsia="en-GB"/>
        </w:rPr>
        <w:t xml:space="preserve"> Does the option enhance transparency, and contribute to an overall methodology that is easy to understand and replicate?</w:t>
      </w:r>
    </w:p>
    <w:p w14:paraId="111CF4B6" w14:textId="6728978C" w:rsidR="00F53A76" w:rsidRPr="003A0883" w:rsidRDefault="00F53A76" w:rsidP="003A0883">
      <w:pPr>
        <w:pStyle w:val="ListParagraph"/>
        <w:numPr>
          <w:ilvl w:val="0"/>
          <w:numId w:val="5"/>
        </w:numPr>
        <w:rPr>
          <w:rFonts w:eastAsia="Times New Roman" w:cs="Times New Roman"/>
          <w:lang w:eastAsia="en-GB"/>
        </w:rPr>
      </w:pPr>
      <w:r w:rsidRPr="003A0883">
        <w:rPr>
          <w:rFonts w:eastAsia="Times New Roman" w:cs="Times New Roman"/>
          <w:lang w:eastAsia="en-GB"/>
        </w:rPr>
        <w:t>Policy</w:t>
      </w:r>
      <w:r w:rsidR="003A0883" w:rsidRPr="003A0883">
        <w:rPr>
          <w:rFonts w:eastAsia="Times New Roman" w:cs="Times New Roman"/>
          <w:lang w:eastAsia="en-GB"/>
        </w:rPr>
        <w:t>:</w:t>
      </w:r>
      <w:r w:rsidRPr="003A0883">
        <w:rPr>
          <w:rFonts w:eastAsia="Times New Roman" w:cs="Times New Roman"/>
          <w:lang w:eastAsia="en-GB"/>
        </w:rPr>
        <w:t xml:space="preserve"> Is the option consistent with </w:t>
      </w:r>
      <w:r w:rsidR="003A0883" w:rsidRPr="003A0883">
        <w:rPr>
          <w:rFonts w:eastAsia="Times New Roman" w:cs="Times New Roman"/>
          <w:lang w:eastAsia="en-GB"/>
        </w:rPr>
        <w:t>MOH health</w:t>
      </w:r>
      <w:r w:rsidRPr="003A0883">
        <w:rPr>
          <w:rFonts w:eastAsia="Times New Roman" w:cs="Times New Roman"/>
          <w:lang w:eastAsia="en-GB"/>
        </w:rPr>
        <w:t xml:space="preserve"> policy priorities?</w:t>
      </w:r>
    </w:p>
    <w:p w14:paraId="382E8698" w14:textId="77777777" w:rsidR="00F53A76" w:rsidRPr="00F53A76" w:rsidRDefault="00F53A76" w:rsidP="004217AC">
      <w:pPr>
        <w:jc w:val="both"/>
        <w:rPr>
          <w:b/>
          <w:bCs/>
        </w:rPr>
      </w:pPr>
    </w:p>
    <w:p w14:paraId="0D40D441" w14:textId="77777777" w:rsidR="009C3D49" w:rsidRPr="004217AC" w:rsidRDefault="009C3D49" w:rsidP="004217AC">
      <w:pPr>
        <w:jc w:val="both"/>
        <w:rPr>
          <w:b/>
          <w:bCs/>
          <w:lang w:val="en-US"/>
        </w:rPr>
      </w:pPr>
    </w:p>
    <w:p w14:paraId="0B1B8401" w14:textId="61ECBC5B" w:rsidR="009C3D49" w:rsidRPr="003A0883" w:rsidRDefault="000F20FE" w:rsidP="004F741E">
      <w:pPr>
        <w:pStyle w:val="Heading2"/>
        <w:numPr>
          <w:ilvl w:val="0"/>
          <w:numId w:val="6"/>
        </w:numPr>
        <w:spacing w:before="0"/>
        <w:rPr>
          <w:rFonts w:asciiTheme="minorHAnsi" w:hAnsiTheme="minorHAnsi"/>
          <w:b/>
          <w:color w:val="323E4F" w:themeColor="text2" w:themeShade="BF"/>
        </w:rPr>
      </w:pPr>
      <w:bookmarkStart w:id="8" w:name="_Toc524980531"/>
      <w:r w:rsidRPr="003A0883">
        <w:rPr>
          <w:rFonts w:asciiTheme="minorHAnsi" w:hAnsiTheme="minorHAnsi"/>
          <w:b/>
          <w:color w:val="323E4F" w:themeColor="text2" w:themeShade="BF"/>
        </w:rPr>
        <w:t>Detailed action plan to develop DRG pricing and reimbursement policy</w:t>
      </w:r>
      <w:bookmarkEnd w:id="8"/>
    </w:p>
    <w:p w14:paraId="050234FB" w14:textId="40B727EC" w:rsidR="00973E5A" w:rsidRPr="000F20FE" w:rsidRDefault="00973E5A" w:rsidP="00973E5A">
      <w:pPr>
        <w:jc w:val="both"/>
        <w:rPr>
          <w:bCs/>
          <w:lang w:val="en-US"/>
        </w:rPr>
      </w:pPr>
      <w:r w:rsidRPr="000F20FE">
        <w:rPr>
          <w:bCs/>
          <w:highlight w:val="lightGray"/>
          <w:lang w:val="en-US"/>
        </w:rPr>
        <w:t xml:space="preserve">WILL BE DISCUSSED </w:t>
      </w:r>
      <w:r>
        <w:rPr>
          <w:bCs/>
          <w:highlight w:val="lightGray"/>
          <w:lang w:val="en-US"/>
        </w:rPr>
        <w:t>LATER</w:t>
      </w:r>
    </w:p>
    <w:p w14:paraId="53CD8B44" w14:textId="77777777" w:rsidR="000F20FE" w:rsidRDefault="000F20FE" w:rsidP="004217AC">
      <w:pPr>
        <w:jc w:val="both"/>
        <w:rPr>
          <w:b/>
          <w:bCs/>
          <w:lang w:val="en-US"/>
        </w:rPr>
      </w:pPr>
    </w:p>
    <w:p w14:paraId="0F649516" w14:textId="6B2F5175" w:rsidR="000F20FE" w:rsidRDefault="000F20FE" w:rsidP="004217AC">
      <w:pPr>
        <w:jc w:val="both"/>
        <w:rPr>
          <w:b/>
          <w:bCs/>
          <w:lang w:val="en-US"/>
        </w:rPr>
      </w:pPr>
    </w:p>
    <w:p w14:paraId="2C4FE02D" w14:textId="77777777" w:rsidR="00E37F7A" w:rsidRPr="004217AC" w:rsidRDefault="00E37F7A" w:rsidP="004217AC"/>
    <w:sectPr w:rsidR="00E37F7A" w:rsidRPr="004217AC" w:rsidSect="007969FE">
      <w:headerReference w:type="default" r:id="rId9"/>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17828" w14:textId="77777777" w:rsidR="00F7720C" w:rsidRDefault="00F7720C" w:rsidP="009C3D49">
      <w:r>
        <w:separator/>
      </w:r>
    </w:p>
  </w:endnote>
  <w:endnote w:type="continuationSeparator" w:id="0">
    <w:p w14:paraId="331A7FFF" w14:textId="77777777" w:rsidR="00F7720C" w:rsidRDefault="00F7720C" w:rsidP="009C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89004" w14:textId="77777777" w:rsidR="00F7720C" w:rsidRDefault="00F7720C" w:rsidP="009C3D49">
      <w:r>
        <w:separator/>
      </w:r>
    </w:p>
  </w:footnote>
  <w:footnote w:type="continuationSeparator" w:id="0">
    <w:p w14:paraId="63C67F27" w14:textId="77777777" w:rsidR="00F7720C" w:rsidRDefault="00F7720C" w:rsidP="009C3D49">
      <w:r>
        <w:continuationSeparator/>
      </w:r>
    </w:p>
  </w:footnote>
  <w:footnote w:id="1">
    <w:p w14:paraId="4A3CF63A" w14:textId="77777777" w:rsidR="00B51EFF" w:rsidRPr="00084091" w:rsidRDefault="00B51EFF" w:rsidP="009C3D49">
      <w:pPr>
        <w:pStyle w:val="FootnoteText"/>
        <w:rPr>
          <w:rFonts w:asciiTheme="minorHAnsi" w:hAnsiTheme="minorHAnsi"/>
          <w:sz w:val="20"/>
          <w:szCs w:val="20"/>
        </w:rPr>
      </w:pPr>
      <w:r w:rsidRPr="00084091">
        <w:rPr>
          <w:rStyle w:val="FootnoteReference"/>
          <w:rFonts w:asciiTheme="minorHAnsi" w:hAnsiTheme="minorHAnsi"/>
          <w:sz w:val="20"/>
          <w:szCs w:val="20"/>
        </w:rPr>
        <w:footnoteRef/>
      </w:r>
      <w:r w:rsidRPr="00084091">
        <w:rPr>
          <w:rFonts w:asciiTheme="minorHAnsi" w:hAnsiTheme="minorHAnsi"/>
          <w:sz w:val="20"/>
          <w:szCs w:val="20"/>
        </w:rPr>
        <w:t xml:space="preserve"> </w:t>
      </w:r>
      <w:hyperlink r:id="rId1" w:history="1">
        <w:r w:rsidRPr="00084091">
          <w:rPr>
            <w:rStyle w:val="Hyperlink"/>
            <w:rFonts w:asciiTheme="minorHAnsi" w:hAnsiTheme="minorHAnsi"/>
            <w:sz w:val="20"/>
            <w:szCs w:val="20"/>
          </w:rPr>
          <w:t>https://www.ncbi.nlm.nih.gov/pmc/articles/PMC4193311/</w:t>
        </w:r>
      </w:hyperlink>
      <w:r w:rsidRPr="00084091">
        <w:rPr>
          <w:rFonts w:asciiTheme="minorHAnsi" w:hAnsiTheme="minorHAnsi"/>
          <w:sz w:val="20"/>
          <w:szCs w:val="20"/>
        </w:rPr>
        <w:t xml:space="preserve"> </w:t>
      </w:r>
    </w:p>
  </w:footnote>
  <w:footnote w:id="2">
    <w:p w14:paraId="1FBEFABF" w14:textId="77777777" w:rsidR="00B51EFF" w:rsidRPr="00084091" w:rsidRDefault="00B51EFF" w:rsidP="009C3D49">
      <w:pPr>
        <w:pStyle w:val="FootnoteText"/>
        <w:rPr>
          <w:rFonts w:asciiTheme="minorHAnsi" w:hAnsiTheme="minorHAnsi"/>
          <w:sz w:val="20"/>
          <w:szCs w:val="20"/>
        </w:rPr>
      </w:pPr>
      <w:r w:rsidRPr="00084091">
        <w:rPr>
          <w:rStyle w:val="FootnoteReference"/>
          <w:rFonts w:asciiTheme="minorHAnsi" w:eastAsiaTheme="majorEastAsia" w:hAnsiTheme="minorHAnsi"/>
          <w:sz w:val="20"/>
          <w:szCs w:val="20"/>
        </w:rPr>
        <w:footnoteRef/>
      </w:r>
      <w:r w:rsidRPr="00084091">
        <w:rPr>
          <w:rFonts w:asciiTheme="minorHAnsi" w:hAnsiTheme="minorHAnsi"/>
          <w:sz w:val="20"/>
          <w:szCs w:val="20"/>
        </w:rPr>
        <w:t xml:space="preserve"> Actual patient OOP payment could be substantially higher but SSA has no tools to monitor or control that.</w:t>
      </w:r>
    </w:p>
  </w:footnote>
  <w:footnote w:id="3">
    <w:p w14:paraId="59B90856" w14:textId="77777777" w:rsidR="00B51EFF" w:rsidRPr="00792121" w:rsidRDefault="00B51EFF" w:rsidP="00453C0A">
      <w:pPr>
        <w:pStyle w:val="FootnoteText"/>
        <w:rPr>
          <w:rFonts w:asciiTheme="minorHAnsi" w:hAnsiTheme="minorHAnsi"/>
          <w:sz w:val="20"/>
          <w:szCs w:val="20"/>
          <w:lang w:val="et-EE"/>
        </w:rPr>
      </w:pPr>
      <w:r w:rsidRPr="00792121">
        <w:rPr>
          <w:rStyle w:val="FootnoteReference"/>
          <w:rFonts w:asciiTheme="minorHAnsi" w:eastAsiaTheme="majorEastAsia" w:hAnsiTheme="minorHAnsi"/>
          <w:sz w:val="20"/>
          <w:szCs w:val="20"/>
        </w:rPr>
        <w:footnoteRef/>
      </w:r>
      <w:r w:rsidRPr="00792121">
        <w:rPr>
          <w:rFonts w:asciiTheme="minorHAnsi" w:hAnsiTheme="minorHAnsi"/>
          <w:sz w:val="20"/>
          <w:szCs w:val="20"/>
        </w:rPr>
        <w:t xml:space="preserve"> Fetter RB, Freeman J, Park H, et al. DRG Refinement with Diagnosis Specific Comorbidity: A Synthesis of Current Approaches to Patient Classification. Yale University; New Haven: 1989. Final Report. Contract Nos. 15-C-98930/1-01 and 17-C-98930/1-0251. Prepared for Health Care Financing Administration Health Systems Management Group.</w:t>
      </w:r>
    </w:p>
  </w:footnote>
  <w:footnote w:id="4">
    <w:p w14:paraId="2A81B7AA" w14:textId="77777777" w:rsidR="00B51EFF" w:rsidRPr="000870A2" w:rsidRDefault="00B51EFF" w:rsidP="00453C0A">
      <w:pPr>
        <w:pStyle w:val="FootnoteText"/>
        <w:rPr>
          <w:lang w:val="et-EE"/>
        </w:rPr>
      </w:pPr>
      <w:r w:rsidRPr="00792121">
        <w:rPr>
          <w:rStyle w:val="FootnoteReference"/>
          <w:rFonts w:asciiTheme="minorHAnsi" w:eastAsiaTheme="majorEastAsia" w:hAnsiTheme="minorHAnsi"/>
          <w:sz w:val="20"/>
          <w:szCs w:val="20"/>
        </w:rPr>
        <w:footnoteRef/>
      </w:r>
      <w:r w:rsidRPr="00792121">
        <w:rPr>
          <w:rFonts w:asciiTheme="minorHAnsi" w:hAnsiTheme="minorHAnsi"/>
          <w:sz w:val="20"/>
          <w:szCs w:val="20"/>
        </w:rPr>
        <w:t xml:space="preserve"> Fischer W. Homogeneity of Nursing Workload Measured by LEP within AP-DRGs. </w:t>
      </w:r>
      <w:hyperlink r:id="rId2" w:history="1">
        <w:r w:rsidRPr="00792121">
          <w:rPr>
            <w:rStyle w:val="Hyperlink"/>
            <w:rFonts w:asciiTheme="minorHAnsi" w:eastAsiaTheme="majorEastAsia" w:hAnsiTheme="minorHAnsi"/>
            <w:sz w:val="20"/>
            <w:szCs w:val="20"/>
          </w:rPr>
          <w:t>http://www.fischer-zim.ch</w:t>
        </w:r>
      </w:hyperlink>
      <w:r w:rsidRPr="000870A2">
        <w:t xml:space="preserve"> </w:t>
      </w:r>
    </w:p>
  </w:footnote>
  <w:footnote w:id="5">
    <w:p w14:paraId="2F307ECF" w14:textId="77777777" w:rsidR="00B51EFF" w:rsidRPr="00D80FD2" w:rsidRDefault="00B51EFF" w:rsidP="00BD280E">
      <w:pPr>
        <w:pStyle w:val="FootnoteText"/>
        <w:rPr>
          <w:rFonts w:asciiTheme="minorHAnsi" w:hAnsiTheme="minorHAnsi"/>
          <w:sz w:val="20"/>
          <w:szCs w:val="20"/>
          <w:lang w:val="et-EE"/>
        </w:rPr>
      </w:pPr>
      <w:r w:rsidRPr="00D80FD2">
        <w:rPr>
          <w:rStyle w:val="FootnoteReference"/>
          <w:rFonts w:asciiTheme="minorHAnsi" w:eastAsiaTheme="majorEastAsia" w:hAnsiTheme="minorHAnsi"/>
          <w:sz w:val="20"/>
          <w:szCs w:val="20"/>
        </w:rPr>
        <w:footnoteRef/>
      </w:r>
      <w:r w:rsidRPr="00D80FD2">
        <w:rPr>
          <w:rFonts w:asciiTheme="minorHAnsi" w:hAnsiTheme="minorHAnsi"/>
          <w:sz w:val="20"/>
          <w:szCs w:val="20"/>
        </w:rPr>
        <w:t xml:space="preserve"> System level </w:t>
      </w:r>
      <w:r w:rsidRPr="00D80FD2">
        <w:rPr>
          <w:rFonts w:asciiTheme="minorHAnsi" w:hAnsiTheme="minorHAnsi"/>
          <w:sz w:val="20"/>
          <w:szCs w:val="20"/>
          <w:lang w:val="et-EE"/>
        </w:rPr>
        <w:t xml:space="preserve">CMI equals 1 if the relative cost weights are normalized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609014"/>
      <w:docPartObj>
        <w:docPartGallery w:val="Page Numbers (Top of Page)"/>
        <w:docPartUnique/>
      </w:docPartObj>
    </w:sdtPr>
    <w:sdtEndPr>
      <w:rPr>
        <w:noProof/>
      </w:rPr>
    </w:sdtEndPr>
    <w:sdtContent>
      <w:p w14:paraId="6875056A" w14:textId="76EAACA6" w:rsidR="00B51EFF" w:rsidRDefault="00B51EFF">
        <w:pPr>
          <w:pStyle w:val="Header"/>
          <w:jc w:val="right"/>
        </w:pPr>
        <w:r>
          <w:fldChar w:fldCharType="begin"/>
        </w:r>
        <w:r>
          <w:instrText xml:space="preserve"> PAGE   \* MERGEFORMAT </w:instrText>
        </w:r>
        <w:r>
          <w:fldChar w:fldCharType="separate"/>
        </w:r>
        <w:r w:rsidR="0027446F">
          <w:rPr>
            <w:noProof/>
          </w:rPr>
          <w:t>11</w:t>
        </w:r>
        <w:r>
          <w:rPr>
            <w:noProof/>
          </w:rPr>
          <w:fldChar w:fldCharType="end"/>
        </w:r>
      </w:p>
    </w:sdtContent>
  </w:sdt>
  <w:p w14:paraId="6C5DAADE" w14:textId="77777777" w:rsidR="00B51EFF" w:rsidRDefault="00B51E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3699"/>
    <w:multiLevelType w:val="hybridMultilevel"/>
    <w:tmpl w:val="7AC2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79321F"/>
    <w:multiLevelType w:val="hybridMultilevel"/>
    <w:tmpl w:val="0DD4CA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C542C1"/>
    <w:multiLevelType w:val="multilevel"/>
    <w:tmpl w:val="430E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D47CD"/>
    <w:multiLevelType w:val="hybridMultilevel"/>
    <w:tmpl w:val="AA6A1DAC"/>
    <w:lvl w:ilvl="0" w:tplc="A3F20640">
      <w:start w:val="1"/>
      <w:numFmt w:val="bullet"/>
      <w:lvlText w:val=" "/>
      <w:lvlJc w:val="left"/>
      <w:pPr>
        <w:tabs>
          <w:tab w:val="num" w:pos="720"/>
        </w:tabs>
        <w:ind w:left="720" w:hanging="360"/>
      </w:pPr>
      <w:rPr>
        <w:rFonts w:ascii="Calibri" w:hAnsi="Calibri" w:hint="default"/>
      </w:rPr>
    </w:lvl>
    <w:lvl w:ilvl="1" w:tplc="332C84E4">
      <w:start w:val="1"/>
      <w:numFmt w:val="decimal"/>
      <w:lvlText w:val="%2."/>
      <w:lvlJc w:val="left"/>
      <w:pPr>
        <w:tabs>
          <w:tab w:val="num" w:pos="1440"/>
        </w:tabs>
        <w:ind w:left="1440" w:hanging="360"/>
      </w:pPr>
    </w:lvl>
    <w:lvl w:ilvl="2" w:tplc="B8B824B4">
      <w:numFmt w:val="bullet"/>
      <w:lvlText w:val=""/>
      <w:lvlJc w:val="left"/>
      <w:pPr>
        <w:tabs>
          <w:tab w:val="num" w:pos="2160"/>
        </w:tabs>
        <w:ind w:left="2160" w:hanging="360"/>
      </w:pPr>
      <w:rPr>
        <w:rFonts w:ascii="Wingdings" w:hAnsi="Wingdings" w:hint="default"/>
      </w:rPr>
    </w:lvl>
    <w:lvl w:ilvl="3" w:tplc="87703D72" w:tentative="1">
      <w:start w:val="1"/>
      <w:numFmt w:val="bullet"/>
      <w:lvlText w:val=" "/>
      <w:lvlJc w:val="left"/>
      <w:pPr>
        <w:tabs>
          <w:tab w:val="num" w:pos="2880"/>
        </w:tabs>
        <w:ind w:left="2880" w:hanging="360"/>
      </w:pPr>
      <w:rPr>
        <w:rFonts w:ascii="Calibri" w:hAnsi="Calibri" w:hint="default"/>
      </w:rPr>
    </w:lvl>
    <w:lvl w:ilvl="4" w:tplc="A21E065E" w:tentative="1">
      <w:start w:val="1"/>
      <w:numFmt w:val="bullet"/>
      <w:lvlText w:val=" "/>
      <w:lvlJc w:val="left"/>
      <w:pPr>
        <w:tabs>
          <w:tab w:val="num" w:pos="3600"/>
        </w:tabs>
        <w:ind w:left="3600" w:hanging="360"/>
      </w:pPr>
      <w:rPr>
        <w:rFonts w:ascii="Calibri" w:hAnsi="Calibri" w:hint="default"/>
      </w:rPr>
    </w:lvl>
    <w:lvl w:ilvl="5" w:tplc="872299F0" w:tentative="1">
      <w:start w:val="1"/>
      <w:numFmt w:val="bullet"/>
      <w:lvlText w:val=" "/>
      <w:lvlJc w:val="left"/>
      <w:pPr>
        <w:tabs>
          <w:tab w:val="num" w:pos="4320"/>
        </w:tabs>
        <w:ind w:left="4320" w:hanging="360"/>
      </w:pPr>
      <w:rPr>
        <w:rFonts w:ascii="Calibri" w:hAnsi="Calibri" w:hint="default"/>
      </w:rPr>
    </w:lvl>
    <w:lvl w:ilvl="6" w:tplc="F1EC6EC4" w:tentative="1">
      <w:start w:val="1"/>
      <w:numFmt w:val="bullet"/>
      <w:lvlText w:val=" "/>
      <w:lvlJc w:val="left"/>
      <w:pPr>
        <w:tabs>
          <w:tab w:val="num" w:pos="5040"/>
        </w:tabs>
        <w:ind w:left="5040" w:hanging="360"/>
      </w:pPr>
      <w:rPr>
        <w:rFonts w:ascii="Calibri" w:hAnsi="Calibri" w:hint="default"/>
      </w:rPr>
    </w:lvl>
    <w:lvl w:ilvl="7" w:tplc="AF12F8B8" w:tentative="1">
      <w:start w:val="1"/>
      <w:numFmt w:val="bullet"/>
      <w:lvlText w:val=" "/>
      <w:lvlJc w:val="left"/>
      <w:pPr>
        <w:tabs>
          <w:tab w:val="num" w:pos="5760"/>
        </w:tabs>
        <w:ind w:left="5760" w:hanging="360"/>
      </w:pPr>
      <w:rPr>
        <w:rFonts w:ascii="Calibri" w:hAnsi="Calibri" w:hint="default"/>
      </w:rPr>
    </w:lvl>
    <w:lvl w:ilvl="8" w:tplc="62CA45F6" w:tentative="1">
      <w:start w:val="1"/>
      <w:numFmt w:val="bullet"/>
      <w:lvlText w:val=" "/>
      <w:lvlJc w:val="left"/>
      <w:pPr>
        <w:tabs>
          <w:tab w:val="num" w:pos="6480"/>
        </w:tabs>
        <w:ind w:left="6480" w:hanging="360"/>
      </w:pPr>
      <w:rPr>
        <w:rFonts w:ascii="Calibri" w:hAnsi="Calibri" w:hint="default"/>
      </w:rPr>
    </w:lvl>
  </w:abstractNum>
  <w:abstractNum w:abstractNumId="4">
    <w:nsid w:val="5F62766C"/>
    <w:multiLevelType w:val="hybridMultilevel"/>
    <w:tmpl w:val="06CC0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865115"/>
    <w:multiLevelType w:val="hybridMultilevel"/>
    <w:tmpl w:val="C2389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49"/>
    <w:rsid w:val="00051AC8"/>
    <w:rsid w:val="00070585"/>
    <w:rsid w:val="00084091"/>
    <w:rsid w:val="000B1E9E"/>
    <w:rsid w:val="000B7F1A"/>
    <w:rsid w:val="000C6737"/>
    <w:rsid w:val="000F20FE"/>
    <w:rsid w:val="00120E2A"/>
    <w:rsid w:val="00137678"/>
    <w:rsid w:val="00185F45"/>
    <w:rsid w:val="001C4B4A"/>
    <w:rsid w:val="002576B6"/>
    <w:rsid w:val="0027446F"/>
    <w:rsid w:val="00294658"/>
    <w:rsid w:val="002A62E6"/>
    <w:rsid w:val="002E677E"/>
    <w:rsid w:val="00306F5C"/>
    <w:rsid w:val="003616F2"/>
    <w:rsid w:val="00387525"/>
    <w:rsid w:val="00391495"/>
    <w:rsid w:val="00396580"/>
    <w:rsid w:val="003A0883"/>
    <w:rsid w:val="003B4E28"/>
    <w:rsid w:val="003C35BD"/>
    <w:rsid w:val="003C37DA"/>
    <w:rsid w:val="004217AC"/>
    <w:rsid w:val="00425D89"/>
    <w:rsid w:val="004418DB"/>
    <w:rsid w:val="00453C0A"/>
    <w:rsid w:val="00462022"/>
    <w:rsid w:val="004720B0"/>
    <w:rsid w:val="004D3DFB"/>
    <w:rsid w:val="004F741E"/>
    <w:rsid w:val="005136A8"/>
    <w:rsid w:val="005A78EF"/>
    <w:rsid w:val="005F3659"/>
    <w:rsid w:val="00660F93"/>
    <w:rsid w:val="00676732"/>
    <w:rsid w:val="00677ECF"/>
    <w:rsid w:val="006969FD"/>
    <w:rsid w:val="006E18C8"/>
    <w:rsid w:val="006E7797"/>
    <w:rsid w:val="0070283D"/>
    <w:rsid w:val="0070523A"/>
    <w:rsid w:val="007321F6"/>
    <w:rsid w:val="007545B1"/>
    <w:rsid w:val="0075558E"/>
    <w:rsid w:val="00775085"/>
    <w:rsid w:val="007775D3"/>
    <w:rsid w:val="00792121"/>
    <w:rsid w:val="007969FE"/>
    <w:rsid w:val="007C7203"/>
    <w:rsid w:val="007E64F0"/>
    <w:rsid w:val="00821EDE"/>
    <w:rsid w:val="008B3E66"/>
    <w:rsid w:val="008E1350"/>
    <w:rsid w:val="008E61DA"/>
    <w:rsid w:val="00910B8C"/>
    <w:rsid w:val="00970F06"/>
    <w:rsid w:val="00973E5A"/>
    <w:rsid w:val="00986554"/>
    <w:rsid w:val="009A2E0C"/>
    <w:rsid w:val="009C3D49"/>
    <w:rsid w:val="009E560A"/>
    <w:rsid w:val="00A32BAE"/>
    <w:rsid w:val="00A3521F"/>
    <w:rsid w:val="00A43FD0"/>
    <w:rsid w:val="00A608FF"/>
    <w:rsid w:val="00B31F7A"/>
    <w:rsid w:val="00B51EFF"/>
    <w:rsid w:val="00B612C8"/>
    <w:rsid w:val="00B90FD0"/>
    <w:rsid w:val="00BD280E"/>
    <w:rsid w:val="00C76CDE"/>
    <w:rsid w:val="00C90020"/>
    <w:rsid w:val="00C94C65"/>
    <w:rsid w:val="00CE63F2"/>
    <w:rsid w:val="00D416C3"/>
    <w:rsid w:val="00D418A7"/>
    <w:rsid w:val="00D80FD2"/>
    <w:rsid w:val="00D84284"/>
    <w:rsid w:val="00D86980"/>
    <w:rsid w:val="00DE56BF"/>
    <w:rsid w:val="00E27998"/>
    <w:rsid w:val="00E37F7A"/>
    <w:rsid w:val="00EC380A"/>
    <w:rsid w:val="00ED2E71"/>
    <w:rsid w:val="00F53A76"/>
    <w:rsid w:val="00F7720C"/>
    <w:rsid w:val="00FA14EA"/>
    <w:rsid w:val="00FA4F2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F6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3D49"/>
  </w:style>
  <w:style w:type="paragraph" w:styleId="Heading1">
    <w:name w:val="heading 1"/>
    <w:basedOn w:val="Normal"/>
    <w:next w:val="Normal"/>
    <w:link w:val="Heading1Char"/>
    <w:uiPriority w:val="9"/>
    <w:qFormat/>
    <w:rsid w:val="009C3D49"/>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unhideWhenUsed/>
    <w:qFormat/>
    <w:rsid w:val="00B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0FD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49"/>
    <w:rPr>
      <w:rFonts w:asciiTheme="majorHAnsi" w:eastAsiaTheme="majorEastAsia" w:hAnsiTheme="majorHAnsi" w:cstheme="majorBidi"/>
      <w:color w:val="2F5496" w:themeColor="accent1" w:themeShade="BF"/>
      <w:sz w:val="32"/>
      <w:szCs w:val="32"/>
      <w:lang w:val="en-US" w:eastAsia="zh-CN"/>
    </w:rPr>
  </w:style>
  <w:style w:type="paragraph" w:styleId="NormalWeb">
    <w:name w:val="Normal (Web)"/>
    <w:basedOn w:val="Normal"/>
    <w:uiPriority w:val="99"/>
    <w:semiHidden/>
    <w:unhideWhenUsed/>
    <w:rsid w:val="009C3D49"/>
    <w:pPr>
      <w:spacing w:before="100" w:beforeAutospacing="1" w:after="100" w:afterAutospacing="1"/>
    </w:pPr>
    <w:rPr>
      <w:rFonts w:ascii="Times New Roman" w:hAnsi="Times New Roman" w:cs="Times New Roman"/>
      <w:lang w:eastAsia="en-GB"/>
    </w:rPr>
  </w:style>
  <w:style w:type="paragraph" w:customStyle="1" w:styleId="p">
    <w:name w:val="p"/>
    <w:basedOn w:val="Normal"/>
    <w:rsid w:val="009C3D4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3D49"/>
    <w:pPr>
      <w:ind w:left="720"/>
      <w:contextualSpacing/>
    </w:pPr>
  </w:style>
  <w:style w:type="paragraph" w:styleId="FootnoteText">
    <w:name w:val="footnote text"/>
    <w:basedOn w:val="Normal"/>
    <w:link w:val="FootnoteTextChar"/>
    <w:uiPriority w:val="99"/>
    <w:rsid w:val="009C3D4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9C3D49"/>
    <w:rPr>
      <w:rFonts w:ascii="Times New Roman" w:eastAsia="Times New Roman" w:hAnsi="Times New Roman" w:cs="Times New Roman"/>
    </w:rPr>
  </w:style>
  <w:style w:type="character" w:styleId="FootnoteReference">
    <w:name w:val="footnote reference"/>
    <w:basedOn w:val="DefaultParagraphFont"/>
    <w:uiPriority w:val="99"/>
    <w:rsid w:val="009C3D49"/>
    <w:rPr>
      <w:vertAlign w:val="superscript"/>
    </w:rPr>
  </w:style>
  <w:style w:type="paragraph" w:styleId="Header">
    <w:name w:val="header"/>
    <w:basedOn w:val="Normal"/>
    <w:link w:val="HeaderChar"/>
    <w:uiPriority w:val="99"/>
    <w:unhideWhenUsed/>
    <w:rsid w:val="009C3D49"/>
    <w:pPr>
      <w:tabs>
        <w:tab w:val="center" w:pos="4680"/>
        <w:tab w:val="right" w:pos="9360"/>
      </w:tabs>
    </w:pPr>
    <w:rPr>
      <w:sz w:val="22"/>
      <w:szCs w:val="22"/>
    </w:rPr>
  </w:style>
  <w:style w:type="character" w:customStyle="1" w:styleId="HeaderChar">
    <w:name w:val="Header Char"/>
    <w:basedOn w:val="DefaultParagraphFont"/>
    <w:link w:val="Header"/>
    <w:uiPriority w:val="99"/>
    <w:rsid w:val="009C3D49"/>
    <w:rPr>
      <w:sz w:val="22"/>
      <w:szCs w:val="22"/>
    </w:rPr>
  </w:style>
  <w:style w:type="character" w:styleId="Hyperlink">
    <w:name w:val="Hyperlink"/>
    <w:basedOn w:val="DefaultParagraphFont"/>
    <w:uiPriority w:val="99"/>
    <w:unhideWhenUsed/>
    <w:rsid w:val="009C3D49"/>
    <w:rPr>
      <w:color w:val="0563C1" w:themeColor="hyperlink"/>
      <w:u w:val="single"/>
    </w:rPr>
  </w:style>
  <w:style w:type="paragraph" w:customStyle="1" w:styleId="p1">
    <w:name w:val="p1"/>
    <w:basedOn w:val="Normal"/>
    <w:rsid w:val="009C3D49"/>
    <w:rPr>
      <w:rFonts w:ascii="Calibri" w:hAnsi="Calibri" w:cs="Times New Roman"/>
      <w:sz w:val="17"/>
      <w:szCs w:val="17"/>
      <w:lang w:eastAsia="en-GB"/>
    </w:rPr>
  </w:style>
  <w:style w:type="paragraph" w:customStyle="1" w:styleId="p4">
    <w:name w:val="p4"/>
    <w:basedOn w:val="Normal"/>
    <w:rsid w:val="009C3D49"/>
    <w:rPr>
      <w:rFonts w:ascii="Calibri" w:hAnsi="Calibri" w:cs="Times New Roman"/>
      <w:sz w:val="18"/>
      <w:szCs w:val="18"/>
      <w:lang w:eastAsia="en-GB"/>
    </w:rPr>
  </w:style>
  <w:style w:type="paragraph" w:customStyle="1" w:styleId="Default">
    <w:name w:val="Default"/>
    <w:rsid w:val="009C3D49"/>
    <w:pPr>
      <w:autoSpaceDE w:val="0"/>
      <w:autoSpaceDN w:val="0"/>
      <w:adjustRightInd w:val="0"/>
    </w:pPr>
    <w:rPr>
      <w:rFonts w:ascii="Calibri" w:eastAsiaTheme="minorEastAsia" w:hAnsi="Calibri" w:cs="Calibri"/>
      <w:color w:val="000000"/>
      <w:lang w:eastAsia="zh-CN"/>
    </w:rPr>
  </w:style>
  <w:style w:type="character" w:styleId="CommentReference">
    <w:name w:val="annotation reference"/>
    <w:basedOn w:val="DefaultParagraphFont"/>
    <w:uiPriority w:val="99"/>
    <w:semiHidden/>
    <w:unhideWhenUsed/>
    <w:rsid w:val="009C3D49"/>
    <w:rPr>
      <w:sz w:val="18"/>
      <w:szCs w:val="18"/>
    </w:rPr>
  </w:style>
  <w:style w:type="paragraph" w:styleId="CommentText">
    <w:name w:val="annotation text"/>
    <w:basedOn w:val="Normal"/>
    <w:link w:val="CommentTextChar"/>
    <w:uiPriority w:val="99"/>
    <w:semiHidden/>
    <w:unhideWhenUsed/>
    <w:rsid w:val="009C3D49"/>
  </w:style>
  <w:style w:type="character" w:customStyle="1" w:styleId="CommentTextChar">
    <w:name w:val="Comment Text Char"/>
    <w:basedOn w:val="DefaultParagraphFont"/>
    <w:link w:val="CommentText"/>
    <w:uiPriority w:val="99"/>
    <w:semiHidden/>
    <w:rsid w:val="009C3D49"/>
  </w:style>
  <w:style w:type="paragraph" w:styleId="CommentSubject">
    <w:name w:val="annotation subject"/>
    <w:basedOn w:val="CommentText"/>
    <w:next w:val="CommentText"/>
    <w:link w:val="CommentSubjectChar"/>
    <w:uiPriority w:val="99"/>
    <w:semiHidden/>
    <w:unhideWhenUsed/>
    <w:rsid w:val="009C3D49"/>
    <w:rPr>
      <w:b/>
      <w:bCs/>
      <w:sz w:val="20"/>
      <w:szCs w:val="20"/>
    </w:rPr>
  </w:style>
  <w:style w:type="character" w:customStyle="1" w:styleId="CommentSubjectChar">
    <w:name w:val="Comment Subject Char"/>
    <w:basedOn w:val="CommentTextChar"/>
    <w:link w:val="CommentSubject"/>
    <w:uiPriority w:val="99"/>
    <w:semiHidden/>
    <w:rsid w:val="009C3D49"/>
    <w:rPr>
      <w:b/>
      <w:bCs/>
      <w:sz w:val="20"/>
      <w:szCs w:val="20"/>
    </w:rPr>
  </w:style>
  <w:style w:type="paragraph" w:styleId="BalloonText">
    <w:name w:val="Balloon Text"/>
    <w:basedOn w:val="Normal"/>
    <w:link w:val="BalloonTextChar"/>
    <w:uiPriority w:val="99"/>
    <w:semiHidden/>
    <w:unhideWhenUsed/>
    <w:rsid w:val="009C3D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3D49"/>
    <w:rPr>
      <w:rFonts w:ascii="Times New Roman" w:hAnsi="Times New Roman" w:cs="Times New Roman"/>
      <w:sz w:val="18"/>
      <w:szCs w:val="18"/>
    </w:rPr>
  </w:style>
  <w:style w:type="character" w:customStyle="1" w:styleId="Heading2Char">
    <w:name w:val="Heading 2 Char"/>
    <w:basedOn w:val="DefaultParagraphFont"/>
    <w:link w:val="Heading2"/>
    <w:uiPriority w:val="9"/>
    <w:rsid w:val="00B90F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0FD0"/>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3A0883"/>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3A0883"/>
    <w:pPr>
      <w:spacing w:before="120"/>
    </w:pPr>
    <w:rPr>
      <w:b/>
      <w:bCs/>
    </w:rPr>
  </w:style>
  <w:style w:type="paragraph" w:styleId="TOC2">
    <w:name w:val="toc 2"/>
    <w:basedOn w:val="Normal"/>
    <w:next w:val="Normal"/>
    <w:autoRedefine/>
    <w:uiPriority w:val="39"/>
    <w:unhideWhenUsed/>
    <w:rsid w:val="003A0883"/>
    <w:pPr>
      <w:ind w:left="240"/>
    </w:pPr>
    <w:rPr>
      <w:b/>
      <w:bCs/>
      <w:sz w:val="22"/>
      <w:szCs w:val="22"/>
    </w:rPr>
  </w:style>
  <w:style w:type="paragraph" w:styleId="TOC3">
    <w:name w:val="toc 3"/>
    <w:basedOn w:val="Normal"/>
    <w:next w:val="Normal"/>
    <w:autoRedefine/>
    <w:uiPriority w:val="39"/>
    <w:semiHidden/>
    <w:unhideWhenUsed/>
    <w:rsid w:val="003A0883"/>
    <w:pPr>
      <w:ind w:left="480"/>
    </w:pPr>
    <w:rPr>
      <w:sz w:val="22"/>
      <w:szCs w:val="22"/>
    </w:rPr>
  </w:style>
  <w:style w:type="paragraph" w:styleId="TOC4">
    <w:name w:val="toc 4"/>
    <w:basedOn w:val="Normal"/>
    <w:next w:val="Normal"/>
    <w:autoRedefine/>
    <w:uiPriority w:val="39"/>
    <w:semiHidden/>
    <w:unhideWhenUsed/>
    <w:rsid w:val="003A0883"/>
    <w:pPr>
      <w:ind w:left="720"/>
    </w:pPr>
    <w:rPr>
      <w:sz w:val="20"/>
      <w:szCs w:val="20"/>
    </w:rPr>
  </w:style>
  <w:style w:type="paragraph" w:styleId="TOC5">
    <w:name w:val="toc 5"/>
    <w:basedOn w:val="Normal"/>
    <w:next w:val="Normal"/>
    <w:autoRedefine/>
    <w:uiPriority w:val="39"/>
    <w:semiHidden/>
    <w:unhideWhenUsed/>
    <w:rsid w:val="003A0883"/>
    <w:pPr>
      <w:ind w:left="960"/>
    </w:pPr>
    <w:rPr>
      <w:sz w:val="20"/>
      <w:szCs w:val="20"/>
    </w:rPr>
  </w:style>
  <w:style w:type="paragraph" w:styleId="TOC6">
    <w:name w:val="toc 6"/>
    <w:basedOn w:val="Normal"/>
    <w:next w:val="Normal"/>
    <w:autoRedefine/>
    <w:uiPriority w:val="39"/>
    <w:semiHidden/>
    <w:unhideWhenUsed/>
    <w:rsid w:val="003A0883"/>
    <w:pPr>
      <w:ind w:left="1200"/>
    </w:pPr>
    <w:rPr>
      <w:sz w:val="20"/>
      <w:szCs w:val="20"/>
    </w:rPr>
  </w:style>
  <w:style w:type="paragraph" w:styleId="TOC7">
    <w:name w:val="toc 7"/>
    <w:basedOn w:val="Normal"/>
    <w:next w:val="Normal"/>
    <w:autoRedefine/>
    <w:uiPriority w:val="39"/>
    <w:semiHidden/>
    <w:unhideWhenUsed/>
    <w:rsid w:val="003A0883"/>
    <w:pPr>
      <w:ind w:left="1440"/>
    </w:pPr>
    <w:rPr>
      <w:sz w:val="20"/>
      <w:szCs w:val="20"/>
    </w:rPr>
  </w:style>
  <w:style w:type="paragraph" w:styleId="TOC8">
    <w:name w:val="toc 8"/>
    <w:basedOn w:val="Normal"/>
    <w:next w:val="Normal"/>
    <w:autoRedefine/>
    <w:uiPriority w:val="39"/>
    <w:semiHidden/>
    <w:unhideWhenUsed/>
    <w:rsid w:val="003A0883"/>
    <w:pPr>
      <w:ind w:left="1680"/>
    </w:pPr>
    <w:rPr>
      <w:sz w:val="20"/>
      <w:szCs w:val="20"/>
    </w:rPr>
  </w:style>
  <w:style w:type="paragraph" w:styleId="TOC9">
    <w:name w:val="toc 9"/>
    <w:basedOn w:val="Normal"/>
    <w:next w:val="Normal"/>
    <w:autoRedefine/>
    <w:uiPriority w:val="39"/>
    <w:semiHidden/>
    <w:unhideWhenUsed/>
    <w:rsid w:val="003A0883"/>
    <w:pPr>
      <w:ind w:left="1920"/>
    </w:pPr>
    <w:rPr>
      <w:sz w:val="20"/>
      <w:szCs w:val="20"/>
    </w:rPr>
  </w:style>
  <w:style w:type="paragraph" w:styleId="DocumentMap">
    <w:name w:val="Document Map"/>
    <w:basedOn w:val="Normal"/>
    <w:link w:val="DocumentMapChar"/>
    <w:uiPriority w:val="99"/>
    <w:semiHidden/>
    <w:unhideWhenUsed/>
    <w:rsid w:val="0027446F"/>
    <w:rPr>
      <w:rFonts w:ascii="Times New Roman" w:hAnsi="Times New Roman" w:cs="Times New Roman"/>
    </w:rPr>
  </w:style>
  <w:style w:type="character" w:customStyle="1" w:styleId="DocumentMapChar">
    <w:name w:val="Document Map Char"/>
    <w:basedOn w:val="DefaultParagraphFont"/>
    <w:link w:val="DocumentMap"/>
    <w:uiPriority w:val="99"/>
    <w:semiHidden/>
    <w:rsid w:val="002744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193311/" TargetMode="External"/><Relationship Id="rId2" Type="http://schemas.openxmlformats.org/officeDocument/2006/relationships/hyperlink" Target="http://www.fischer-zim.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A22A65-BAB0-B942-A7E3-73CFCEB3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3521</Words>
  <Characters>20070</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KL-FCG</Company>
  <LinksUpToDate>false</LinksUpToDate>
  <CharactersWithSpaces>23544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habicht</dc:creator>
  <cp:keywords/>
  <dc:description/>
  <cp:lastModifiedBy>triin habicht</cp:lastModifiedBy>
  <cp:revision>5</cp:revision>
  <dcterms:created xsi:type="dcterms:W3CDTF">2018-09-18T05:26:00Z</dcterms:created>
  <dcterms:modified xsi:type="dcterms:W3CDTF">2018-09-18T05:38:00Z</dcterms:modified>
</cp:coreProperties>
</file>