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B2625" w14:textId="77777777" w:rsidR="005E5D65" w:rsidRDefault="005E5D65" w:rsidP="005E5D65">
      <w:pPr>
        <w:ind w:firstLine="720"/>
        <w:jc w:val="right"/>
      </w:pPr>
      <w:r>
        <w:t>პროექტი</w:t>
      </w:r>
    </w:p>
    <w:p w14:paraId="1DD3312F" w14:textId="77777777" w:rsidR="005E5D65" w:rsidRPr="005E5D65" w:rsidRDefault="005E5D65" w:rsidP="005E5D65">
      <w:pPr>
        <w:ind w:firstLine="720"/>
        <w:jc w:val="center"/>
        <w:rPr>
          <w:b/>
        </w:rPr>
      </w:pPr>
      <w:r w:rsidRPr="005E5D65">
        <w:rPr>
          <w:b/>
        </w:rPr>
        <w:t>საქართველოს მთავრობის</w:t>
      </w:r>
    </w:p>
    <w:p w14:paraId="4A12A673" w14:textId="77777777" w:rsidR="005E5D65" w:rsidRPr="005E5D65" w:rsidRDefault="005E5D65" w:rsidP="005E5D65">
      <w:pPr>
        <w:ind w:firstLine="720"/>
        <w:jc w:val="center"/>
        <w:rPr>
          <w:b/>
        </w:rPr>
      </w:pPr>
      <w:r w:rsidRPr="005E5D65">
        <w:rPr>
          <w:b/>
        </w:rPr>
        <w:t>დადგენილება №</w:t>
      </w:r>
    </w:p>
    <w:p w14:paraId="48886377" w14:textId="6F4D51BE" w:rsidR="005E5D65" w:rsidRPr="005E5D65" w:rsidRDefault="005E5D65" w:rsidP="00020546">
      <w:pPr>
        <w:jc w:val="center"/>
        <w:rPr>
          <w:b/>
        </w:rPr>
      </w:pPr>
      <w:r w:rsidRPr="005E5D65">
        <w:rPr>
          <w:b/>
        </w:rPr>
        <w:t>201</w:t>
      </w:r>
      <w:r w:rsidR="00090EC4">
        <w:rPr>
          <w:b/>
        </w:rPr>
        <w:t>9</w:t>
      </w:r>
      <w:r w:rsidRPr="005E5D65">
        <w:rPr>
          <w:b/>
        </w:rPr>
        <w:t xml:space="preserve"> წლის </w:t>
      </w:r>
      <w:r w:rsidR="00AC2E89">
        <w:rPr>
          <w:b/>
        </w:rPr>
        <w:tab/>
      </w:r>
      <w:r w:rsidR="00AC2E89">
        <w:rPr>
          <w:b/>
        </w:rPr>
        <w:tab/>
      </w:r>
      <w:r w:rsidR="00AC2E89">
        <w:rPr>
          <w:b/>
        </w:rPr>
        <w:tab/>
      </w:r>
      <w:r w:rsidR="00AC2E89">
        <w:rPr>
          <w:b/>
        </w:rPr>
        <w:tab/>
      </w:r>
      <w:r w:rsidR="00AC2E89">
        <w:rPr>
          <w:b/>
        </w:rPr>
        <w:tab/>
      </w:r>
      <w:r w:rsidR="00AC2E89">
        <w:rPr>
          <w:b/>
        </w:rPr>
        <w:tab/>
      </w:r>
      <w:r w:rsidR="00AC2E89">
        <w:rPr>
          <w:b/>
        </w:rPr>
        <w:tab/>
      </w:r>
      <w:r w:rsidR="00AC2E89">
        <w:rPr>
          <w:b/>
        </w:rPr>
        <w:tab/>
      </w:r>
      <w:r w:rsidRPr="005E5D65">
        <w:rPr>
          <w:b/>
        </w:rPr>
        <w:t>ქ. თბილისი</w:t>
      </w:r>
    </w:p>
    <w:p w14:paraId="335CB654" w14:textId="77777777" w:rsidR="005E5D65" w:rsidRDefault="005E5D65" w:rsidP="005E5D65">
      <w:pPr>
        <w:ind w:firstLine="720"/>
        <w:jc w:val="both"/>
      </w:pPr>
    </w:p>
    <w:p w14:paraId="06CB9627" w14:textId="77777777" w:rsidR="005E5D65" w:rsidRPr="005E5D65" w:rsidRDefault="005E5D65" w:rsidP="005E5D65">
      <w:pPr>
        <w:ind w:firstLine="720"/>
        <w:jc w:val="center"/>
        <w:rPr>
          <w:b/>
        </w:rPr>
      </w:pPr>
      <w:r w:rsidRPr="005E5D65">
        <w:rPr>
          <w:b/>
        </w:rPr>
        <w:t>საყოველთაო ჯანმრთელობის დაცვის სახელმწიფო პროგრამის ადმინისტრირების</w:t>
      </w:r>
      <w:r w:rsidR="00E45176">
        <w:rPr>
          <w:b/>
        </w:rPr>
        <w:t xml:space="preserve"> </w:t>
      </w:r>
      <w:r w:rsidRPr="005E5D65">
        <w:rPr>
          <w:b/>
        </w:rPr>
        <w:t xml:space="preserve"> დამატებითი ღონისძიებების  შესახებ</w:t>
      </w:r>
    </w:p>
    <w:p w14:paraId="4B4BFD48" w14:textId="77777777" w:rsidR="005E5D65" w:rsidRPr="005E5D65" w:rsidRDefault="005E5D65" w:rsidP="005E5D65">
      <w:pPr>
        <w:ind w:firstLine="720"/>
        <w:jc w:val="center"/>
        <w:rPr>
          <w:b/>
        </w:rPr>
      </w:pPr>
    </w:p>
    <w:p w14:paraId="3D4085F4" w14:textId="77777777" w:rsidR="005E5D65" w:rsidRPr="005E5D65" w:rsidRDefault="005E5D65" w:rsidP="005E5D65">
      <w:pPr>
        <w:ind w:firstLine="720"/>
        <w:jc w:val="both"/>
        <w:rPr>
          <w:b/>
        </w:rPr>
      </w:pPr>
      <w:r w:rsidRPr="005E5D65">
        <w:rPr>
          <w:b/>
        </w:rPr>
        <w:t>მუხლი 1</w:t>
      </w:r>
      <w:r w:rsidR="009E16C5">
        <w:rPr>
          <w:b/>
        </w:rPr>
        <w:t>.</w:t>
      </w:r>
    </w:p>
    <w:p w14:paraId="6F5FB076" w14:textId="04F7DAED" w:rsidR="005E5D65" w:rsidRDefault="005E5D65" w:rsidP="005E5D65">
      <w:pPr>
        <w:ind w:firstLine="720"/>
        <w:jc w:val="both"/>
      </w:pPr>
      <w: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w:t>
      </w:r>
      <w:r w:rsidR="008F2D89">
        <w:t xml:space="preserve"> „ვ“</w:t>
      </w:r>
      <w:r w:rsidR="00020546">
        <w:t>, „თ“, „ი“</w:t>
      </w:r>
      <w:r>
        <w:t xml:space="preserve"> </w:t>
      </w:r>
      <w:r w:rsidR="001A2764">
        <w:t xml:space="preserve">და </w:t>
      </w:r>
      <w:r>
        <w:t>,,ლ” ქვეპუნქტ</w:t>
      </w:r>
      <w:r w:rsidR="001C38BA">
        <w:t>ებ</w:t>
      </w:r>
      <w:r>
        <w:t xml:space="preserve">ის გათვალისწინებით, </w:t>
      </w:r>
      <w:r w:rsidR="009E16C5">
        <w:t xml:space="preserve">ერთჯერადი ხასიათის დროებითი და განსაკუთრებული ღონისძიების სახით, </w:t>
      </w:r>
      <w: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 №36 დადგენილებით დამტკიცებული საყოველთაო ჯანმრთელობის დაცვის სახელმწიფო პროგრამის (შემდგომში - პროგრამა)   ფარგლებში:</w:t>
      </w:r>
    </w:p>
    <w:p w14:paraId="4501A25E" w14:textId="243C5A69" w:rsidR="005E5D65" w:rsidRDefault="005E5D65" w:rsidP="005E5D65">
      <w:pPr>
        <w:ind w:firstLine="720"/>
        <w:jc w:val="both"/>
      </w:pPr>
      <w:r>
        <w:t xml:space="preserve">ა) გეგმიური ამბულატორიული მომსახურების მიმწოდებელი სამედიცინო დაწესებულებები გათავისუფლდნენ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 №36 დადგენილების N1 დანართის მე-19 მუხლის მე-14 </w:t>
      </w:r>
      <w:r w:rsidR="001C38BA">
        <w:t xml:space="preserve">  </w:t>
      </w:r>
      <w:r>
        <w:t>პუნქტის ,,ა” ქვეპუნქტით გათვალისწინებული</w:t>
      </w:r>
      <w:r w:rsidR="004D7989">
        <w:rPr>
          <w:lang w:val="en-US"/>
        </w:rPr>
        <w:t>,</w:t>
      </w:r>
      <w:r>
        <w:t xml:space="preserve"> </w:t>
      </w:r>
      <w:r w:rsidR="00D775E3" w:rsidRPr="00481B4E">
        <w:t>კონტროლის ან რევიზიის შედეგად</w:t>
      </w:r>
      <w:r w:rsidR="00D775E3">
        <w:t xml:space="preserve"> </w:t>
      </w:r>
      <w:r>
        <w:t>დაკისრებული/დასაკისრებელი</w:t>
      </w:r>
      <w:r w:rsidR="00D775E3">
        <w:t xml:space="preserve"> </w:t>
      </w:r>
      <w:r>
        <w:t>საჯარიმო სანქციების გადახდისაგან</w:t>
      </w:r>
      <w:r w:rsidR="001C38BA">
        <w:t>,</w:t>
      </w:r>
      <w:r>
        <w:t xml:space="preserve"> 2019 წლის 1 თებერვლამდე პერიოდზე და განესაზღვროთ პროგრამულად ანაზღაურებული თანხის უკან დაბრუნების ვალდებულება;</w:t>
      </w:r>
    </w:p>
    <w:p w14:paraId="6ABEC198" w14:textId="77777777" w:rsidR="005E5D65" w:rsidRDefault="005E5D65" w:rsidP="005E5D65">
      <w:pPr>
        <w:ind w:firstLine="720"/>
        <w:jc w:val="both"/>
      </w:pPr>
      <w:r>
        <w:t>ბ) შეწყდეს ადმინისტრაციული, სასამართლო და სააღსრულებო წარმოებები ამ მუხლის „ა“ ქვეპუნქტით გათვალისწინებულ ვალდებულებებთან დაკავშირებული დავების ნაწილში;</w:t>
      </w:r>
    </w:p>
    <w:p w14:paraId="3315CF11" w14:textId="592D3165" w:rsidR="005E5D65" w:rsidRDefault="005E5D65" w:rsidP="005E5D65">
      <w:pPr>
        <w:ind w:firstLine="720"/>
        <w:jc w:val="both"/>
      </w:pPr>
      <w:r>
        <w:t>გ) ამ მუხლის „ა“ ქვეპუნქტით გა</w:t>
      </w:r>
      <w:r w:rsidR="003E0BA6">
        <w:t>ნსაზღ</w:t>
      </w:r>
      <w:r w:rsidR="0015735A">
        <w:t>ვრუ</w:t>
      </w:r>
      <w:r>
        <w:t>ლი ვალდებულებები</w:t>
      </w:r>
      <w:r w:rsidR="0015735A">
        <w:t>ს</w:t>
      </w:r>
      <w:r w:rsidR="0015735A">
        <w:rPr>
          <w:lang w:val="en-US"/>
        </w:rPr>
        <w:t xml:space="preserve"> </w:t>
      </w:r>
      <w:r w:rsidR="001F6087">
        <w:t>შესრულების მიზნით</w:t>
      </w:r>
      <w:r w:rsidR="001C38BA">
        <w:t>,</w:t>
      </w:r>
      <w:r w:rsidR="001F6087">
        <w:t xml:space="preserve"> </w:t>
      </w:r>
      <w:r>
        <w:t>2019 წლის 1 თებერვლამდე დაკავებული თანხა, აგრეთვე, მიმწოდებელი სამედიცინო დაწესებულების მიერ</w:t>
      </w:r>
      <w:r w:rsidR="001C38BA">
        <w:t>,</w:t>
      </w:r>
      <w:r>
        <w:t xml:space="preserve"> შესაბამისი დავალიანების გამო</w:t>
      </w:r>
      <w:r w:rsidR="001C38BA">
        <w:t>,</w:t>
      </w:r>
      <w:r>
        <w:t xml:space="preserve"> ნებისმიერი სხვა ფორმით საქართველოს სახელმწიფო ბიუჯეტში ამავე პერიოდამდე გადახდილი თანხა</w:t>
      </w:r>
      <w:r w:rsidR="008F2DA1">
        <w:t xml:space="preserve"> უკან</w:t>
      </w:r>
      <w:r>
        <w:t xml:space="preserve"> დაბრუნებას არ ექვემდებარება.</w:t>
      </w:r>
    </w:p>
    <w:p w14:paraId="66B599C3" w14:textId="77777777" w:rsidR="005E5D65" w:rsidRDefault="005E5D65" w:rsidP="005E5D65">
      <w:pPr>
        <w:ind w:firstLine="720"/>
        <w:jc w:val="both"/>
      </w:pPr>
    </w:p>
    <w:p w14:paraId="5FD8BED5" w14:textId="77777777" w:rsidR="005E5D65" w:rsidRPr="00054C46" w:rsidRDefault="005E5D65" w:rsidP="005E5D65">
      <w:pPr>
        <w:ind w:firstLine="720"/>
        <w:jc w:val="both"/>
        <w:rPr>
          <w:b/>
        </w:rPr>
      </w:pPr>
      <w:r w:rsidRPr="00054C46">
        <w:rPr>
          <w:b/>
        </w:rPr>
        <w:t>მუხლი 2</w:t>
      </w:r>
      <w:r w:rsidR="008F2DA1" w:rsidRPr="00054C46">
        <w:rPr>
          <w:b/>
        </w:rPr>
        <w:t>.</w:t>
      </w:r>
    </w:p>
    <w:p w14:paraId="191DC7EC" w14:textId="77777777" w:rsidR="005E5D65" w:rsidRDefault="005E5D65" w:rsidP="005E5D65">
      <w:pPr>
        <w:ind w:firstLine="720"/>
        <w:jc w:val="both"/>
      </w:pPr>
      <w:r>
        <w:t>დადგენილება ამოქმედდეს გამოქვეყნებისთანავე</w:t>
      </w:r>
      <w:r w:rsidR="008F2DA1">
        <w:t>.</w:t>
      </w:r>
    </w:p>
    <w:p w14:paraId="268B7AB5" w14:textId="77777777" w:rsidR="005E5D65" w:rsidRDefault="005E5D65" w:rsidP="005E5D65">
      <w:pPr>
        <w:ind w:firstLine="720"/>
        <w:jc w:val="both"/>
      </w:pPr>
    </w:p>
    <w:p w14:paraId="54134A9C" w14:textId="4F5B0857" w:rsidR="005E5D65" w:rsidRPr="00D76E14" w:rsidRDefault="005E5D65" w:rsidP="00DE4C13">
      <w:pPr>
        <w:ind w:firstLine="720"/>
        <w:jc w:val="both"/>
        <w:rPr>
          <w:b/>
          <w:lang w:val="en-US"/>
        </w:rPr>
      </w:pPr>
      <w:r w:rsidRPr="00D76E14">
        <w:rPr>
          <w:b/>
        </w:rPr>
        <w:t xml:space="preserve">პრემიერ-მინისტრი                        </w:t>
      </w:r>
      <w:r w:rsidR="00DE4C13" w:rsidRPr="00D76E14">
        <w:rPr>
          <w:b/>
          <w:lang w:val="en-US"/>
        </w:rPr>
        <w:t xml:space="preserve">                             </w:t>
      </w:r>
      <w:r w:rsidRPr="00D76E14">
        <w:rPr>
          <w:b/>
        </w:rPr>
        <w:t xml:space="preserve">     მამუკა ბახტაძე</w:t>
      </w:r>
    </w:p>
    <w:p w14:paraId="03222E93" w14:textId="77777777" w:rsidR="00090EC4" w:rsidRDefault="00090EC4">
      <w:r>
        <w:br w:type="page"/>
      </w:r>
    </w:p>
    <w:p w14:paraId="51616018" w14:textId="77777777" w:rsidR="005E5D65" w:rsidRPr="00DE4C13" w:rsidRDefault="005E5D65" w:rsidP="004D7989">
      <w:pPr>
        <w:jc w:val="center"/>
        <w:rPr>
          <w:b/>
        </w:rPr>
      </w:pPr>
      <w:r w:rsidRPr="00DE4C13">
        <w:rPr>
          <w:b/>
        </w:rPr>
        <w:lastRenderedPageBreak/>
        <w:t>განმარტებითი ბარათი</w:t>
      </w:r>
    </w:p>
    <w:p w14:paraId="1FB05662" w14:textId="77777777" w:rsidR="005E5D65" w:rsidRPr="00DE4C13" w:rsidRDefault="005E5D65" w:rsidP="005E5D65">
      <w:pPr>
        <w:ind w:firstLine="720"/>
        <w:jc w:val="both"/>
        <w:rPr>
          <w:b/>
        </w:rPr>
      </w:pPr>
      <w:r w:rsidRPr="00DE4C13">
        <w:rPr>
          <w:b/>
        </w:rPr>
        <w:t xml:space="preserve">„საყოველთაო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დადგენილების პროექტზე </w:t>
      </w:r>
    </w:p>
    <w:p w14:paraId="4AEEBA07" w14:textId="77777777" w:rsidR="00B83DA7" w:rsidRPr="00881948" w:rsidRDefault="00B83DA7" w:rsidP="00B83DA7">
      <w:pPr>
        <w:pStyle w:val="ListParagraph"/>
        <w:autoSpaceDE w:val="0"/>
        <w:autoSpaceDN w:val="0"/>
        <w:adjustRightInd w:val="0"/>
        <w:spacing w:after="0" w:line="240" w:lineRule="auto"/>
        <w:ind w:left="0" w:firstLine="567"/>
        <w:jc w:val="center"/>
        <w:rPr>
          <w:rFonts w:ascii="Sylfaen" w:hAnsi="Sylfaen" w:cs="Sylfaen"/>
          <w:b/>
          <w:lang w:val="ka-GE"/>
        </w:rPr>
      </w:pPr>
      <w:r w:rsidRPr="00881948">
        <w:rPr>
          <w:rFonts w:ascii="Sylfaen" w:hAnsi="Sylfaen" w:cs="Sylfaen"/>
          <w:b/>
          <w:lang w:val="ka-GE"/>
        </w:rPr>
        <w:t>ინფორმაცია სამართლებრივი აქტის პროექტის შესახებ</w:t>
      </w:r>
    </w:p>
    <w:p w14:paraId="436382DF" w14:textId="77777777" w:rsidR="00E45176" w:rsidRDefault="00E45176" w:rsidP="005E5D65">
      <w:pPr>
        <w:ind w:firstLine="720"/>
        <w:jc w:val="both"/>
      </w:pPr>
    </w:p>
    <w:p w14:paraId="52B7EE75" w14:textId="12056D1B" w:rsidR="00EE1717" w:rsidRDefault="005E5D65" w:rsidP="005E5D65">
      <w:pPr>
        <w:ind w:firstLine="720"/>
        <w:jc w:val="both"/>
      </w:pPr>
      <w:r>
        <w:t xml:space="preserve">„საქართველოს მთავრობის 2013 წლის 21 თებერვლის N36 დადგენილებით (შემდგომში-დადგენილება) დამტკიცებული „საყოველთაო ჯანმრთელობის დაცვის სახელმწიფო პროგრამის“ (შემდგომში-პროგრამა) გეგმიური ამბულატორიული მომსახურების </w:t>
      </w:r>
      <w:r w:rsidR="004D7989">
        <w:t xml:space="preserve">მიმწოდებელი სამედიცინო დაწესებულებების </w:t>
      </w:r>
      <w:r w:rsidR="004D7989" w:rsidRPr="00481B4E">
        <w:t>კონტროლის შედეგად, მოსარგებლეთა რეგისტრაციის კუთხით გამოვლენილი დარღვევების გამო</w:t>
      </w:r>
      <w:r w:rsidR="00EE1717" w:rsidRPr="00481B4E">
        <w:t>,</w:t>
      </w:r>
      <w:r w:rsidR="00EE1717">
        <w:t xml:space="preserve"> მათთვის 2016-2017-2018 წლებში</w:t>
      </w:r>
      <w:r w:rsidR="004D7989">
        <w:t xml:space="preserve"> დაკ</w:t>
      </w:r>
      <w:r w:rsidR="00EE1717">
        <w:t>ი</w:t>
      </w:r>
      <w:r w:rsidR="004D7989">
        <w:t>ს</w:t>
      </w:r>
      <w:r w:rsidR="00EE1717">
        <w:t>რებულმა</w:t>
      </w:r>
      <w:r w:rsidR="004D7989">
        <w:t xml:space="preserve"> საჯარიმო სანქციების ჯამურ</w:t>
      </w:r>
      <w:r w:rsidR="00EE1717">
        <w:t>მა</w:t>
      </w:r>
      <w:r w:rsidR="004D7989">
        <w:t xml:space="preserve"> ოდენობ</w:t>
      </w:r>
      <w:r w:rsidR="00EE1717">
        <w:t>ამ</w:t>
      </w:r>
      <w:r w:rsidR="008957A4">
        <w:t>,</w:t>
      </w:r>
      <w:r w:rsidR="00EE1717">
        <w:t xml:space="preserve"> სულ</w:t>
      </w:r>
      <w:r w:rsidR="008957A4">
        <w:t>,</w:t>
      </w:r>
      <w:r w:rsidR="00EE1717">
        <w:t xml:space="preserve"> შეადგინა 56, 811, 053.23 ლარი, მათ შორის, პროგრამის ფარგლებში ანაზღაურებული და უკან დასაბრუნებელი თანხა შეადგენს 19,770,431.76 ლარს, ხოლო 37, 040,621.47 ლარი წარმოადგენს ფინანსურ სანქციას. </w:t>
      </w:r>
    </w:p>
    <w:p w14:paraId="75C4D884" w14:textId="72A98CE1" w:rsidR="00EE1717" w:rsidRDefault="00EE1717" w:rsidP="005E5D65">
      <w:pPr>
        <w:ind w:firstLine="720"/>
        <w:jc w:val="both"/>
      </w:pPr>
      <w:r w:rsidRPr="00EE1717">
        <w:t>56, 811, 053.23 ლარიდან</w:t>
      </w:r>
      <w:r>
        <w:t>,</w:t>
      </w:r>
      <w:r w:rsidRPr="00EE1717">
        <w:t xml:space="preserve"> </w:t>
      </w:r>
      <w:r>
        <w:t xml:space="preserve">2018 წლის 1 ნოემბრის მდგომარეობით, სახელმწიფო ბიუჯეტის სასარგებლოდ აღდგენილია 12,767,756.21 ლარი. </w:t>
      </w:r>
    </w:p>
    <w:p w14:paraId="386E5483" w14:textId="7CE86340" w:rsidR="005E5D65" w:rsidRDefault="005E5D65" w:rsidP="005E5D65">
      <w:pPr>
        <w:ind w:firstLine="720"/>
        <w:jc w:val="both"/>
      </w:pPr>
      <w:r>
        <w:t>გეგმიური ამბულატორიული მომსახურების დაფინანსება ხორციელდება კაპიტაციური მეთოდით, მოსარგებლეთა სხვადასხვა კატეგორიებისა და მომსახურების მოცულობის მიხედვით (</w:t>
      </w:r>
      <w:r w:rsidR="006E021D">
        <w:t>ამჟამად</w:t>
      </w:r>
      <w:r w:rsidR="008957A4">
        <w:t>,</w:t>
      </w:r>
      <w:r w:rsidR="006E021D">
        <w:t xml:space="preserve"> </w:t>
      </w:r>
      <w:r>
        <w:t xml:space="preserve">ერთ მოსარგებლეზე, თვეში არაუმეტეს 2,15 ლარი), საანგარიშგებო თვის ბოლო რიცხვის მდგომარეობით დარეგისტრირებული მოსარგებლეების შესაბამისად. </w:t>
      </w:r>
    </w:p>
    <w:p w14:paraId="7BAD01E6" w14:textId="77777777" w:rsidR="005E5D65" w:rsidRDefault="005E5D65" w:rsidP="005E5D65">
      <w:pPr>
        <w:ind w:firstLine="720"/>
        <w:jc w:val="both"/>
      </w:pPr>
      <w:r>
        <w:t>გეგმიური ამბულატორიული მომსახურების კონტროლის შედეგად დაკისრებული სანქციების გარკვეული ნაწილი მოდის დადგენილების 21</w:t>
      </w:r>
      <w:r w:rsidR="006E021D">
        <w:t>-ე</w:t>
      </w:r>
      <w:r>
        <w:t xml:space="preserve"> მუხლის საფუძველზე პროგრამაში ინტეგრირებული მოსარგებლეების (საქართველოს მთავრობის 2009 წლის 9 დეკემბრის №218 დადგენილებით დამტკიცებული „სახელმწიფო პროგრამების ფარგლებში მოსახლეობის ჯანმრთელობის დაზღვევის მიზნით სადაზღვევო ვაუჩერის პირობების“ და საქართველოს მთავრობის 2012 წლის 7 მაისის №165 დადგენილებით დამტკიცებული „ჯანმრთელობის დაზღვევის სახელმწიფო პროგრამების ფარგლებში 0-5 წლის (ჩათვლით) ბავშვების, საპენსიო ასაკის მოსახლეობის, სტუდენტების, შშმ ბავშვების და მკვეთრად გამოხატული შშმპ ჯანმრთელობის დაზღვევის მიზნით გასატარებელი ღონისძიებები და სადაზღვევო ვაუჩერის პირობების“ მოსარგებლეები) თანხმობის ფორმების არარსებობის შემთხვევებზე, რასაც მიმწოდებლები სხვადასხვა გარემოებებით (გარდამავალი პერიოდი, სამუშაოების მოცულობა, სერვისის უწყვეტობის ვალდებულება, ფორს-მაჟორი და სხვა), მათ შორის, ნორმის განსხვავებული გაგებით ხსნიან.  </w:t>
      </w:r>
    </w:p>
    <w:p w14:paraId="372ECC5E" w14:textId="77777777" w:rsidR="005E5D65" w:rsidRDefault="005E5D65" w:rsidP="005E5D65">
      <w:pPr>
        <w:ind w:firstLine="720"/>
        <w:jc w:val="both"/>
      </w:pPr>
      <w:r>
        <w:t>სანქციების სახით დაკისრებული ვალდებულებების გამო, გაზრდილია მსგავს დავებზე სასამართლო და ადმინისტრაციულ წარმოებათა რიცხვი, აგრეთვე, საქართველოს ბიზნესომბუდსმენისადმი მიმართვის ფაქტები.</w:t>
      </w:r>
    </w:p>
    <w:p w14:paraId="1962F6B6" w14:textId="3E0DE37F" w:rsidR="005E5D65" w:rsidRDefault="005E5D65" w:rsidP="005E5D65">
      <w:pPr>
        <w:ind w:firstLine="720"/>
        <w:jc w:val="both"/>
      </w:pPr>
      <w:r>
        <w:t xml:space="preserve">აღნიშნულ საკითხზე </w:t>
      </w:r>
      <w:r w:rsidR="000C088F">
        <w:t xml:space="preserve">მომსახურების </w:t>
      </w:r>
      <w:r>
        <w:t>მიმწოდებელი სამედიცინო დაწესებულებების განცხადებების მნიშვნელობასა და მათი მხარდაჭერის საჭიროებას თავის არაერთ წერილში იზიარებს საქართველოს ბიზნესომბუდსმენი, რომელიც აღნიშნავს, რომ დაკისრებული/დასაკისრებელი საჯარიმო სანქციები</w:t>
      </w:r>
      <w:r w:rsidR="00FD52CE">
        <w:t xml:space="preserve"> და მათი მოცულობა</w:t>
      </w:r>
      <w:r>
        <w:t xml:space="preserve"> </w:t>
      </w:r>
      <w:r w:rsidR="00FD52CE" w:rsidRPr="00FD52CE">
        <w:t>განაპირობებს რიგი სამედიცინო დაწესებულებების უმძიმეს ფინანსურ კრიზისს და გამოიწვევს მათი ფუნქციონირების პარალიზებას</w:t>
      </w:r>
      <w:r w:rsidR="00FD52CE">
        <w:t xml:space="preserve">, რაც </w:t>
      </w:r>
      <w:r>
        <w:t xml:space="preserve">საფრთხეს შეუქმნის პროგრამით გათვალისწინებულ </w:t>
      </w:r>
      <w:r>
        <w:lastRenderedPageBreak/>
        <w:t xml:space="preserve">მომსახურებაზე მოსახლეობის ხელმისაწვდომობას და რისკის ქვეშ დააყენებს </w:t>
      </w:r>
      <w:r w:rsidR="00FD52CE">
        <w:t xml:space="preserve">ამ </w:t>
      </w:r>
      <w:r>
        <w:t>მომსახურების უწყვეტობის პრინციპს.</w:t>
      </w:r>
    </w:p>
    <w:p w14:paraId="64591A18" w14:textId="67D667E7" w:rsidR="003E323A" w:rsidRPr="00FD52CE" w:rsidRDefault="005E5D65" w:rsidP="004D2EAA">
      <w:pPr>
        <w:ind w:firstLine="720"/>
        <w:jc w:val="both"/>
      </w:pPr>
      <w: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საქართველოს მთავრობის 2018 წლის 12 ნოემბრის №536 დადგენილებით განხორციელდა ცვლილება და </w:t>
      </w:r>
      <w:r w:rsidR="003C503D">
        <w:t xml:space="preserve">საქართველოს მთავრობის გადაწყვეტილებით, </w:t>
      </w:r>
      <w:r>
        <w:t>„საყოველთაო ჯანმრთელობის დაცვის სახელმწიფო პროგრამის“ გეგმური ამბულატორიული მომსახურების კომპონენტის მიმწოდებელი დაწესებულებებისათვის ამავე კომპონენტის ფარგლებში კონტროლისა და რევიზიის შედეგად საჯარიმო (მათ შორის, სადავო) სანქციების  ამავე დადგენილების №1 დანართის 19</w:t>
      </w:r>
      <w:r w:rsidRPr="00FD52CE">
        <w:rPr>
          <w:vertAlign w:val="superscript"/>
        </w:rPr>
        <w:t>1</w:t>
      </w:r>
      <w:r>
        <w:t xml:space="preserve"> მუხლით განსაზღვრულ გადახდის ადმინისტრირების ღონისძიებებზე გამოცხადდა მორატორიუმი</w:t>
      </w:r>
      <w:r w:rsidR="003C503D">
        <w:t xml:space="preserve"> საბოლოო გადაწყვეტილების მიღებამდე</w:t>
      </w:r>
      <w:r>
        <w:t>.</w:t>
      </w:r>
      <w:r w:rsidR="003C503D">
        <w:t xml:space="preserve"> იმავდროულად,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დაევალა 2019 წლის 1 თებერვლამდე საქართველოს მთავრობისათვის შესაბამისი წინადადებების წარდგენა</w:t>
      </w:r>
      <w:r w:rsidR="009C35FA">
        <w:t xml:space="preserve">. </w:t>
      </w:r>
    </w:p>
    <w:p w14:paraId="0FB4F675" w14:textId="5B469B76" w:rsidR="00DB5361" w:rsidRDefault="005E5D65" w:rsidP="009531EC">
      <w:pPr>
        <w:ind w:firstLine="720"/>
        <w:jc w:val="both"/>
      </w:pPr>
      <w:r>
        <w:t>არსებული ვითარების ანალიზის, აგრეთვე, კერძო და საჯარო ინტერესების პროპორციულობის გათვალისწინებით, წარმოდგენილი პროექტი</w:t>
      </w:r>
      <w:r w:rsidR="000E64FB">
        <w:t xml:space="preserve"> ითვალისწინებს</w:t>
      </w:r>
      <w:r w:rsidR="00DB5361">
        <w:t xml:space="preserve"> ერთჯერადი ხასიათის დროებითი და განსაკუთრებული ღონისძიების სახით </w:t>
      </w:r>
      <w:r>
        <w:t>„საყოველთაო ჯანმრთელობის დაცვის სახელმწიფო პროგრამის“ გეგმური ამბულატორიული მომსახურების მიმწოდებელი დაწესებულებები</w:t>
      </w:r>
      <w:r w:rsidR="001C6DE4">
        <w:t xml:space="preserve">ს გათავისუფლებას </w:t>
      </w:r>
      <w:r w:rsidR="008F6CB5">
        <w:t xml:space="preserve">ამავე პროგრამის დანართი N1-ის მე-19 მუხლის მე-14 პუნქტის „ა“ ქვეპუნქტით გათვალისწინებული </w:t>
      </w:r>
      <w:r>
        <w:t xml:space="preserve">საჯარიმო სანქციების გადახდისაგან, </w:t>
      </w:r>
      <w:r w:rsidR="001C6DE4">
        <w:t>რომლებიც მათ დაეკისრათ ან შესაძლოა დაეკის</w:t>
      </w:r>
      <w:r w:rsidR="009531EC">
        <w:t xml:space="preserve">როთ </w:t>
      </w:r>
      <w:r w:rsidR="001C6DE4">
        <w:t xml:space="preserve"> </w:t>
      </w:r>
      <w:r w:rsidR="001C6DE4" w:rsidRPr="005014F1">
        <w:t>2019 წლის 1 თებერვლამდე პერიოდზე კონტროლისა და რევი</w:t>
      </w:r>
      <w:r w:rsidR="00FD52CE" w:rsidRPr="005014F1">
        <w:t>ზი</w:t>
      </w:r>
      <w:r w:rsidR="001C6DE4" w:rsidRPr="005014F1">
        <w:t>ის შედეგად</w:t>
      </w:r>
      <w:r w:rsidR="00FD52CE" w:rsidRPr="005014F1">
        <w:t xml:space="preserve"> მოსარგებლეთა რეგისტრაციის პირობების დარღვევის გამო</w:t>
      </w:r>
      <w:r w:rsidR="001C6DE4" w:rsidRPr="005014F1">
        <w:t>.</w:t>
      </w:r>
      <w:r w:rsidR="001C6DE4">
        <w:t xml:space="preserve"> </w:t>
      </w:r>
      <w:r>
        <w:t xml:space="preserve">თუმცა, </w:t>
      </w:r>
      <w:r w:rsidR="00DD1113" w:rsidRPr="00DD1113">
        <w:t>მათ ეკისრებათ სახელმწიფო ბიუჯეტიდან პროგრამულად ანაზღაურებული თანხის უკან დაბრუნების ვალდებულება</w:t>
      </w:r>
      <w:r w:rsidR="00DD1113">
        <w:t>.</w:t>
      </w:r>
      <w:bookmarkStart w:id="0" w:name="_GoBack"/>
      <w:bookmarkEnd w:id="0"/>
      <w:r w:rsidR="009531EC">
        <w:t xml:space="preserve"> </w:t>
      </w:r>
    </w:p>
    <w:p w14:paraId="2C5FA0CD" w14:textId="7D153BAE" w:rsidR="005E5D65" w:rsidRDefault="00180945" w:rsidP="005E5D65">
      <w:pPr>
        <w:ind w:firstLine="720"/>
        <w:jc w:val="both"/>
      </w:pPr>
      <w:r>
        <w:t>ზემოაღნიშნულის გათვალისწინებით,  შეწყდე</w:t>
      </w:r>
      <w:r w:rsidR="00BB1F8E">
        <w:t>ბა</w:t>
      </w:r>
      <w:r>
        <w:t xml:space="preserve"> ადმინისტრაციული, სასამართლო და სააღსრულებო </w:t>
      </w:r>
      <w:r w:rsidR="00BB1F8E">
        <w:t xml:space="preserve">წარმოებები მოცემულ </w:t>
      </w:r>
      <w:r>
        <w:t>ვალდებულებებთან დაკავშირებული დავების ნაწილში</w:t>
      </w:r>
      <w:r w:rsidR="00BB1F8E">
        <w:t xml:space="preserve">. ამასთანავე, </w:t>
      </w:r>
      <w:r w:rsidR="00F900C5">
        <w:t>ის თანხები, რომლებიც მოცემული აქტი</w:t>
      </w:r>
      <w:r w:rsidR="00FD52CE">
        <w:t>ს</w:t>
      </w:r>
      <w:r w:rsidR="00F900C5">
        <w:t xml:space="preserve"> მიღებამდე იქნა დაკავებული ან სხვა რაიმე ფორმით აღსრულებული</w:t>
      </w:r>
      <w:r w:rsidR="00FD52CE">
        <w:t>,</w:t>
      </w:r>
      <w:r w:rsidR="00F900C5">
        <w:t xml:space="preserve"> უკან დაბრუნებას არ </w:t>
      </w:r>
      <w:r w:rsidR="00251C92">
        <w:t>ექვემდებარებ</w:t>
      </w:r>
      <w:r w:rsidR="00F900C5">
        <w:t>ა</w:t>
      </w:r>
      <w:r w:rsidR="00251C92">
        <w:t>.</w:t>
      </w:r>
      <w:r w:rsidR="00F900C5">
        <w:t xml:space="preserve"> </w:t>
      </w:r>
      <w:r w:rsidR="005E5D65">
        <w:t>შესაბამისად, პროექტით გათვალისწინებული ღონისძიებები შეეხება მხოლოდ 2019 წლის 1 თებერვლის მდგომარეობით შეუსრულებელ (გადაუხდელ) ვალდებულებებს.</w:t>
      </w:r>
    </w:p>
    <w:p w14:paraId="3DDF6600" w14:textId="77777777" w:rsidR="00251C92" w:rsidRPr="00881948" w:rsidRDefault="00251C92" w:rsidP="00251C92">
      <w:pPr>
        <w:spacing w:after="0" w:line="240" w:lineRule="auto"/>
        <w:ind w:firstLine="567"/>
        <w:jc w:val="center"/>
        <w:rPr>
          <w:rFonts w:cs="Calibri"/>
          <w:b/>
        </w:rPr>
      </w:pPr>
      <w:r w:rsidRPr="00881948">
        <w:rPr>
          <w:rFonts w:cs="Calibri"/>
          <w:b/>
        </w:rPr>
        <w:t>ინფორმაცია ევროკავშირის სამართლებრივი აქტის შესახებ</w:t>
      </w:r>
    </w:p>
    <w:p w14:paraId="3E58D7F4" w14:textId="77777777" w:rsidR="00251C92" w:rsidRPr="00881948" w:rsidRDefault="00251C92" w:rsidP="00251C92">
      <w:pPr>
        <w:spacing w:after="0" w:line="240" w:lineRule="auto"/>
        <w:ind w:firstLine="567"/>
        <w:jc w:val="both"/>
        <w:rPr>
          <w:rFonts w:cs="Calibri"/>
        </w:rPr>
      </w:pPr>
    </w:p>
    <w:p w14:paraId="71619031" w14:textId="77777777" w:rsidR="00251C92" w:rsidRPr="00881948" w:rsidRDefault="00251C92" w:rsidP="00251C92">
      <w:pPr>
        <w:spacing w:after="0" w:line="240" w:lineRule="auto"/>
        <w:ind w:firstLine="567"/>
        <w:jc w:val="both"/>
        <w:rPr>
          <w:rFonts w:cs="Calibri"/>
        </w:rPr>
      </w:pPr>
      <w:r w:rsidRPr="00881948">
        <w:rPr>
          <w:rFonts w:cs="Calibri"/>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20C4FE3" w14:textId="77777777" w:rsidR="00251C92" w:rsidRDefault="00251C92" w:rsidP="005E5D65">
      <w:pPr>
        <w:ind w:firstLine="720"/>
        <w:jc w:val="both"/>
      </w:pPr>
    </w:p>
    <w:p w14:paraId="5D619BDE" w14:textId="77777777" w:rsidR="00251C92" w:rsidRPr="00881948" w:rsidRDefault="00251C92" w:rsidP="00251C92">
      <w:pPr>
        <w:spacing w:after="0" w:line="240" w:lineRule="auto"/>
        <w:ind w:firstLine="567"/>
        <w:jc w:val="both"/>
        <w:rPr>
          <w:rFonts w:cs="Sylfaen"/>
          <w:b/>
        </w:rPr>
      </w:pPr>
      <w:r w:rsidRPr="00881948">
        <w:rPr>
          <w:rFonts w:cs="Sylfaen"/>
          <w:b/>
        </w:rPr>
        <w:t>პროექტის მიღებით გამოწვეული საფინანსო-ეკონომიკური შედეგების გაანგარიშება</w:t>
      </w:r>
    </w:p>
    <w:p w14:paraId="04A57CC7" w14:textId="77777777" w:rsidR="00251C92" w:rsidRPr="00881948" w:rsidRDefault="00251C92" w:rsidP="00251C92">
      <w:pPr>
        <w:spacing w:after="0" w:line="240" w:lineRule="auto"/>
        <w:ind w:firstLine="567"/>
        <w:jc w:val="both"/>
        <w:rPr>
          <w:rFonts w:cs="Sylfaen"/>
          <w:b/>
        </w:rPr>
      </w:pPr>
    </w:p>
    <w:p w14:paraId="5BB08BB3" w14:textId="5ECF1F28" w:rsidR="008850F4" w:rsidRDefault="008850F4" w:rsidP="008957A4">
      <w:pPr>
        <w:ind w:firstLine="630"/>
        <w:jc w:val="both"/>
      </w:pPr>
      <w:r>
        <w:t>პროექტით განსაზღვრული ღონისძიებები არ იწვევს საბიუჯეტო</w:t>
      </w:r>
      <w:r w:rsidR="001957EB">
        <w:t xml:space="preserve"> </w:t>
      </w:r>
      <w:r>
        <w:t xml:space="preserve">დანახარჯებს. </w:t>
      </w:r>
    </w:p>
    <w:p w14:paraId="1EEC2EB7" w14:textId="77777777" w:rsidR="00B8381B" w:rsidRDefault="00251C92" w:rsidP="00251C92">
      <w:pPr>
        <w:spacing w:after="0" w:line="240" w:lineRule="auto"/>
        <w:ind w:firstLine="567"/>
        <w:jc w:val="both"/>
        <w:rPr>
          <w:rFonts w:cs="Calibri"/>
        </w:rPr>
      </w:pPr>
      <w:r w:rsidRPr="00881948">
        <w:rPr>
          <w:rFonts w:cs="Calibri"/>
        </w:rPr>
        <w:t>პროექტით წარმოდგენილი ღონისძიებები</w:t>
      </w:r>
      <w:r w:rsidR="001957EB">
        <w:rPr>
          <w:rFonts w:cs="Calibri"/>
        </w:rPr>
        <w:t xml:space="preserve"> მოიცავს </w:t>
      </w:r>
      <w:r w:rsidR="00C10BA3">
        <w:rPr>
          <w:rFonts w:cs="Calibri"/>
        </w:rPr>
        <w:t xml:space="preserve">ერთჯერადი ხასიათის დროებითი და განსაკუთრებული ღონისძიების სახით სამედიცინო მომსახურების მიმწოდებელთა ფინანსური </w:t>
      </w:r>
      <w:r w:rsidR="00C10BA3">
        <w:rPr>
          <w:rFonts w:cs="Calibri"/>
        </w:rPr>
        <w:lastRenderedPageBreak/>
        <w:t>მდგრადობის მხარდაჭერას</w:t>
      </w:r>
      <w:r w:rsidR="00620236">
        <w:rPr>
          <w:rFonts w:cs="Calibri"/>
        </w:rPr>
        <w:t>, მოსახლების შეუფერხებელი, ადექვატური და შესაბამისი სამედიცინო</w:t>
      </w:r>
      <w:r w:rsidR="00C10BA3">
        <w:rPr>
          <w:rFonts w:cs="Calibri"/>
        </w:rPr>
        <w:t xml:space="preserve"> </w:t>
      </w:r>
      <w:r w:rsidR="00620236">
        <w:rPr>
          <w:rFonts w:cs="Calibri"/>
        </w:rPr>
        <w:t xml:space="preserve">მომსახურების უზრუნველსაყოფად. </w:t>
      </w:r>
      <w:r w:rsidR="001957EB">
        <w:rPr>
          <w:rFonts w:cs="Calibri"/>
        </w:rPr>
        <w:t xml:space="preserve"> </w:t>
      </w:r>
    </w:p>
    <w:p w14:paraId="65C8F067" w14:textId="77777777" w:rsidR="00B8381B" w:rsidRDefault="00B8381B" w:rsidP="00251C92">
      <w:pPr>
        <w:spacing w:after="0" w:line="240" w:lineRule="auto"/>
        <w:ind w:firstLine="567"/>
        <w:jc w:val="both"/>
        <w:rPr>
          <w:rFonts w:cs="Calibri"/>
        </w:rPr>
      </w:pPr>
    </w:p>
    <w:p w14:paraId="68BB9C06" w14:textId="77777777" w:rsidR="00B8381B" w:rsidRPr="00881948" w:rsidRDefault="00B8381B" w:rsidP="00251C92">
      <w:pPr>
        <w:spacing w:after="0" w:line="240" w:lineRule="auto"/>
        <w:ind w:firstLine="567"/>
        <w:jc w:val="both"/>
        <w:rPr>
          <w:rFonts w:cs="Calibri"/>
        </w:rPr>
      </w:pPr>
    </w:p>
    <w:p w14:paraId="005D6EA5" w14:textId="77777777" w:rsidR="00251C92" w:rsidRPr="00881948" w:rsidRDefault="00251C92" w:rsidP="00251C92">
      <w:pPr>
        <w:spacing w:after="0" w:line="240" w:lineRule="auto"/>
        <w:ind w:firstLine="567"/>
        <w:jc w:val="center"/>
        <w:rPr>
          <w:rFonts w:cs="Sylfaen"/>
          <w:b/>
        </w:rPr>
      </w:pPr>
      <w:r w:rsidRPr="00881948">
        <w:rPr>
          <w:rFonts w:cs="Sylfaen"/>
          <w:b/>
        </w:rPr>
        <w:t>პროექტის მოსალოდნელი შედეგები</w:t>
      </w:r>
    </w:p>
    <w:p w14:paraId="1B6A68F7" w14:textId="77777777" w:rsidR="00251C92" w:rsidRPr="00881948" w:rsidRDefault="00251C92" w:rsidP="00251C92">
      <w:pPr>
        <w:spacing w:after="0" w:line="240" w:lineRule="auto"/>
        <w:ind w:firstLine="567"/>
        <w:jc w:val="center"/>
        <w:rPr>
          <w:rFonts w:cs="Sylfaen"/>
          <w:b/>
        </w:rPr>
      </w:pPr>
    </w:p>
    <w:p w14:paraId="5C4987F9" w14:textId="77777777" w:rsidR="00251C92" w:rsidRPr="00881948" w:rsidRDefault="00251C92" w:rsidP="00251C92">
      <w:pPr>
        <w:spacing w:after="0" w:line="240" w:lineRule="auto"/>
        <w:ind w:firstLine="567"/>
        <w:jc w:val="both"/>
        <w:rPr>
          <w:rFonts w:cs="Sylfaen"/>
        </w:rPr>
      </w:pPr>
      <w:r w:rsidRPr="00881948">
        <w:rPr>
          <w:rFonts w:cs="Sylfaen"/>
        </w:rPr>
        <w:t>პროგრამების შეუფერხებლად და ეფექტურად განხორციელება.</w:t>
      </w:r>
    </w:p>
    <w:p w14:paraId="0BF2452F" w14:textId="77777777" w:rsidR="00251C92" w:rsidRPr="00881948" w:rsidRDefault="00251C92" w:rsidP="00251C92">
      <w:pPr>
        <w:spacing w:after="0" w:line="240" w:lineRule="auto"/>
        <w:ind w:firstLine="567"/>
        <w:jc w:val="both"/>
        <w:rPr>
          <w:rFonts w:cs="Sylfaen"/>
        </w:rPr>
      </w:pPr>
    </w:p>
    <w:p w14:paraId="6854DADD" w14:textId="77777777" w:rsidR="00620236" w:rsidRDefault="00620236"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p>
    <w:p w14:paraId="1A5D325E"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r w:rsidRPr="00881948">
        <w:rPr>
          <w:rFonts w:cs="Sylfaen"/>
          <w:b/>
        </w:rPr>
        <w:t>პროექტის განხორციელების ვადები</w:t>
      </w:r>
    </w:p>
    <w:p w14:paraId="04621113"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r w:rsidRPr="00881948">
        <w:rPr>
          <w:rFonts w:cs="Calibri"/>
        </w:rPr>
        <w:t>პროექტით გათვალისწინებული ღონისძიებები</w:t>
      </w:r>
      <w:r w:rsidR="00B8381B">
        <w:rPr>
          <w:rFonts w:cs="Calibri"/>
        </w:rPr>
        <w:t xml:space="preserve">ს გატარება </w:t>
      </w:r>
      <w:r w:rsidRPr="00881948">
        <w:rPr>
          <w:rFonts w:cs="Calibri"/>
        </w:rPr>
        <w:t xml:space="preserve">განხორციელდება </w:t>
      </w:r>
      <w:r w:rsidR="00B8381B">
        <w:rPr>
          <w:rFonts w:cs="Calibri"/>
        </w:rPr>
        <w:t xml:space="preserve">მისი მიღებისთანავე და გავრცელდება </w:t>
      </w:r>
      <w:r w:rsidRPr="00881948">
        <w:rPr>
          <w:rFonts w:cs="Calibri"/>
        </w:rPr>
        <w:t xml:space="preserve">2019 წლის </w:t>
      </w:r>
      <w:r w:rsidR="00B8381B">
        <w:rPr>
          <w:rFonts w:cs="Calibri"/>
        </w:rPr>
        <w:t>1 თებერვ</w:t>
      </w:r>
      <w:r w:rsidR="00620236">
        <w:rPr>
          <w:rFonts w:cs="Calibri"/>
        </w:rPr>
        <w:t xml:space="preserve">ლამდე </w:t>
      </w:r>
      <w:r w:rsidR="00B8381B">
        <w:rPr>
          <w:rFonts w:cs="Calibri"/>
        </w:rPr>
        <w:t xml:space="preserve">წარმოშობილ ურთიერთობებზე. </w:t>
      </w:r>
    </w:p>
    <w:p w14:paraId="4135BFF9"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p>
    <w:p w14:paraId="46128488"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r w:rsidRPr="00881948">
        <w:rPr>
          <w:rFonts w:cs="Sylfaen"/>
          <w:b/>
        </w:rPr>
        <w:t>პროექტის ავტორი და წარმდგენი</w:t>
      </w:r>
    </w:p>
    <w:p w14:paraId="4F731D69"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cs="Sylfaen"/>
          <w:b/>
        </w:rPr>
      </w:pPr>
    </w:p>
    <w:p w14:paraId="0E3C3457" w14:textId="77777777" w:rsidR="00B8381B" w:rsidRDefault="00B8381B"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Calibri"/>
        </w:rPr>
      </w:pPr>
      <w:r>
        <w:rPr>
          <w:rFonts w:cs="Calibri"/>
        </w:rPr>
        <w:t xml:space="preserve">საკითხის </w:t>
      </w:r>
      <w:r w:rsidR="008850F4">
        <w:rPr>
          <w:rFonts w:cs="Calibri"/>
        </w:rPr>
        <w:t xml:space="preserve">ინიციატორია </w:t>
      </w:r>
      <w:r>
        <w:rPr>
          <w:rFonts w:cs="Calibri"/>
        </w:rPr>
        <w:t xml:space="preserve">უწყებათაშორისი კომისია. </w:t>
      </w:r>
    </w:p>
    <w:p w14:paraId="36B0B65D" w14:textId="77777777" w:rsidR="00251C92" w:rsidRPr="00881948" w:rsidRDefault="00251C92" w:rsidP="00251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cs="Sylfaen"/>
          <w:b/>
        </w:rPr>
      </w:pPr>
      <w:r w:rsidRPr="00881948">
        <w:rPr>
          <w:rFonts w:cs="Calibri"/>
        </w:rPr>
        <w:t xml:space="preserve">პროექტის </w:t>
      </w:r>
      <w:r w:rsidR="008850F4">
        <w:rPr>
          <w:rFonts w:cs="Calibri"/>
        </w:rPr>
        <w:t xml:space="preserve">ავტორი და </w:t>
      </w:r>
      <w:r w:rsidRPr="00881948">
        <w:rPr>
          <w:rFonts w:cs="Calibri"/>
        </w:rPr>
        <w:t>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450CF93" w14:textId="77777777" w:rsidR="00251C92" w:rsidRDefault="00251C92" w:rsidP="005E5D65">
      <w:pPr>
        <w:ind w:firstLine="720"/>
        <w:jc w:val="both"/>
      </w:pPr>
    </w:p>
    <w:p w14:paraId="57E4BAE0" w14:textId="77777777" w:rsidR="005E5D65" w:rsidRDefault="005E5D65" w:rsidP="005E5D65">
      <w:pPr>
        <w:ind w:firstLine="720"/>
        <w:jc w:val="both"/>
      </w:pPr>
    </w:p>
    <w:p w14:paraId="7CE1FF29" w14:textId="77777777" w:rsidR="005E5D65" w:rsidRDefault="005E5D65" w:rsidP="005E5D65">
      <w:pPr>
        <w:ind w:firstLine="720"/>
        <w:jc w:val="both"/>
      </w:pPr>
    </w:p>
    <w:p w14:paraId="5D52504E" w14:textId="77777777" w:rsidR="00021D3D" w:rsidRPr="004E625D" w:rsidRDefault="00021D3D" w:rsidP="00021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cs="Sylfaen"/>
          <w:bCs/>
          <w:szCs w:val="24"/>
        </w:rPr>
      </w:pPr>
    </w:p>
    <w:p w14:paraId="365D3E72" w14:textId="77777777" w:rsidR="005E5D65" w:rsidRDefault="005E5D65">
      <w:pPr>
        <w:ind w:firstLine="720"/>
        <w:jc w:val="both"/>
      </w:pPr>
    </w:p>
    <w:sectPr w:rsidR="005E5D65" w:rsidSect="00DE4C13">
      <w:pgSz w:w="12240" w:h="15840" w:code="1"/>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718547" w15:done="0"/>
  <w15:commentEx w15:paraId="5225E4FC" w15:done="0"/>
  <w15:commentEx w15:paraId="12CE83BF" w15:done="0"/>
  <w15:commentEx w15:paraId="17A0F4F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4E"/>
    <w:rsid w:val="00020546"/>
    <w:rsid w:val="00021D3D"/>
    <w:rsid w:val="00054C46"/>
    <w:rsid w:val="00090EC4"/>
    <w:rsid w:val="000A6B5D"/>
    <w:rsid w:val="000C088F"/>
    <w:rsid w:val="000E64FB"/>
    <w:rsid w:val="0015435A"/>
    <w:rsid w:val="0015735A"/>
    <w:rsid w:val="00180945"/>
    <w:rsid w:val="001957EB"/>
    <w:rsid w:val="001A2764"/>
    <w:rsid w:val="001C02A4"/>
    <w:rsid w:val="001C38BA"/>
    <w:rsid w:val="001C6DE4"/>
    <w:rsid w:val="001F6087"/>
    <w:rsid w:val="00214256"/>
    <w:rsid w:val="00251C92"/>
    <w:rsid w:val="00274829"/>
    <w:rsid w:val="00315B5E"/>
    <w:rsid w:val="003C503D"/>
    <w:rsid w:val="003E0BA6"/>
    <w:rsid w:val="003E323A"/>
    <w:rsid w:val="00450E1B"/>
    <w:rsid w:val="00481B4E"/>
    <w:rsid w:val="004D2EAA"/>
    <w:rsid w:val="004D7989"/>
    <w:rsid w:val="005014F1"/>
    <w:rsid w:val="00510ED8"/>
    <w:rsid w:val="005E5D65"/>
    <w:rsid w:val="00620236"/>
    <w:rsid w:val="0067490A"/>
    <w:rsid w:val="006A6C99"/>
    <w:rsid w:val="006E021D"/>
    <w:rsid w:val="006E1F4E"/>
    <w:rsid w:val="008850F4"/>
    <w:rsid w:val="0089061D"/>
    <w:rsid w:val="008957A4"/>
    <w:rsid w:val="008B4D33"/>
    <w:rsid w:val="008F2D89"/>
    <w:rsid w:val="008F2DA1"/>
    <w:rsid w:val="008F6CB5"/>
    <w:rsid w:val="009531EC"/>
    <w:rsid w:val="00956CE6"/>
    <w:rsid w:val="00972B79"/>
    <w:rsid w:val="00980F7B"/>
    <w:rsid w:val="009C35FA"/>
    <w:rsid w:val="009E16C5"/>
    <w:rsid w:val="009F7A8D"/>
    <w:rsid w:val="00AC2E89"/>
    <w:rsid w:val="00B80481"/>
    <w:rsid w:val="00B8381B"/>
    <w:rsid w:val="00B83DA7"/>
    <w:rsid w:val="00BB1F8E"/>
    <w:rsid w:val="00BB740B"/>
    <w:rsid w:val="00C10BA3"/>
    <w:rsid w:val="00CC16C2"/>
    <w:rsid w:val="00D32875"/>
    <w:rsid w:val="00D76E14"/>
    <w:rsid w:val="00D775E3"/>
    <w:rsid w:val="00D97F5E"/>
    <w:rsid w:val="00DB5361"/>
    <w:rsid w:val="00DD1113"/>
    <w:rsid w:val="00DE4C13"/>
    <w:rsid w:val="00E45176"/>
    <w:rsid w:val="00EA6D76"/>
    <w:rsid w:val="00EE1717"/>
    <w:rsid w:val="00EF787B"/>
    <w:rsid w:val="00F31357"/>
    <w:rsid w:val="00F900C5"/>
    <w:rsid w:val="00FD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5D65"/>
    <w:rPr>
      <w:sz w:val="16"/>
      <w:szCs w:val="16"/>
    </w:rPr>
  </w:style>
  <w:style w:type="paragraph" w:styleId="CommentText">
    <w:name w:val="annotation text"/>
    <w:basedOn w:val="Normal"/>
    <w:link w:val="CommentTextChar"/>
    <w:uiPriority w:val="99"/>
    <w:semiHidden/>
    <w:unhideWhenUsed/>
    <w:rsid w:val="005E5D65"/>
    <w:pPr>
      <w:spacing w:line="240" w:lineRule="auto"/>
    </w:pPr>
    <w:rPr>
      <w:sz w:val="20"/>
    </w:rPr>
  </w:style>
  <w:style w:type="character" w:customStyle="1" w:styleId="CommentTextChar">
    <w:name w:val="Comment Text Char"/>
    <w:basedOn w:val="DefaultParagraphFont"/>
    <w:link w:val="CommentText"/>
    <w:uiPriority w:val="99"/>
    <w:semiHidden/>
    <w:rsid w:val="005E5D65"/>
    <w:rPr>
      <w:noProof/>
      <w:sz w:val="20"/>
      <w:lang w:val="ka-GE"/>
    </w:rPr>
  </w:style>
  <w:style w:type="paragraph" w:styleId="CommentSubject">
    <w:name w:val="annotation subject"/>
    <w:basedOn w:val="CommentText"/>
    <w:next w:val="CommentText"/>
    <w:link w:val="CommentSubjectChar"/>
    <w:uiPriority w:val="99"/>
    <w:semiHidden/>
    <w:unhideWhenUsed/>
    <w:rsid w:val="005E5D65"/>
    <w:rPr>
      <w:b/>
      <w:bCs/>
    </w:rPr>
  </w:style>
  <w:style w:type="character" w:customStyle="1" w:styleId="CommentSubjectChar">
    <w:name w:val="Comment Subject Char"/>
    <w:basedOn w:val="CommentTextChar"/>
    <w:link w:val="CommentSubject"/>
    <w:uiPriority w:val="99"/>
    <w:semiHidden/>
    <w:rsid w:val="005E5D65"/>
    <w:rPr>
      <w:b/>
      <w:bCs/>
      <w:noProof/>
      <w:sz w:val="20"/>
      <w:lang w:val="ka-GE"/>
    </w:rPr>
  </w:style>
  <w:style w:type="paragraph" w:styleId="BalloonText">
    <w:name w:val="Balloon Text"/>
    <w:basedOn w:val="Normal"/>
    <w:link w:val="BalloonTextChar"/>
    <w:uiPriority w:val="99"/>
    <w:semiHidden/>
    <w:unhideWhenUsed/>
    <w:rsid w:val="005E5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65"/>
    <w:rPr>
      <w:rFonts w:ascii="Tahoma" w:hAnsi="Tahoma" w:cs="Tahoma"/>
      <w:noProof/>
      <w:sz w:val="16"/>
      <w:szCs w:val="16"/>
      <w:lang w:val="ka-GE"/>
    </w:rPr>
  </w:style>
  <w:style w:type="paragraph" w:customStyle="1" w:styleId="abzacixml">
    <w:name w:val="abzacixml"/>
    <w:basedOn w:val="Normal"/>
    <w:rsid w:val="008F2D8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ListParagraph">
    <w:name w:val="List Paragraph"/>
    <w:basedOn w:val="Normal"/>
    <w:uiPriority w:val="34"/>
    <w:qFormat/>
    <w:rsid w:val="00B83DA7"/>
    <w:pPr>
      <w:ind w:left="720"/>
      <w:contextualSpacing/>
    </w:pPr>
    <w:rPr>
      <w:rFonts w:ascii="Calibri" w:eastAsia="Times New Roman" w:hAnsi="Calibri" w:cs="Times New Roman"/>
      <w:noProof w:val="0"/>
      <w:szCs w:val="22"/>
      <w:lang w:val="en-US"/>
    </w:rPr>
  </w:style>
  <w:style w:type="paragraph" w:styleId="NormalWeb">
    <w:name w:val="Normal (Web)"/>
    <w:basedOn w:val="Normal"/>
    <w:uiPriority w:val="99"/>
    <w:semiHidden/>
    <w:unhideWhenUsed/>
    <w:rsid w:val="003E323A"/>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5D65"/>
    <w:rPr>
      <w:sz w:val="16"/>
      <w:szCs w:val="16"/>
    </w:rPr>
  </w:style>
  <w:style w:type="paragraph" w:styleId="CommentText">
    <w:name w:val="annotation text"/>
    <w:basedOn w:val="Normal"/>
    <w:link w:val="CommentTextChar"/>
    <w:uiPriority w:val="99"/>
    <w:semiHidden/>
    <w:unhideWhenUsed/>
    <w:rsid w:val="005E5D65"/>
    <w:pPr>
      <w:spacing w:line="240" w:lineRule="auto"/>
    </w:pPr>
    <w:rPr>
      <w:sz w:val="20"/>
    </w:rPr>
  </w:style>
  <w:style w:type="character" w:customStyle="1" w:styleId="CommentTextChar">
    <w:name w:val="Comment Text Char"/>
    <w:basedOn w:val="DefaultParagraphFont"/>
    <w:link w:val="CommentText"/>
    <w:uiPriority w:val="99"/>
    <w:semiHidden/>
    <w:rsid w:val="005E5D65"/>
    <w:rPr>
      <w:noProof/>
      <w:sz w:val="20"/>
      <w:lang w:val="ka-GE"/>
    </w:rPr>
  </w:style>
  <w:style w:type="paragraph" w:styleId="CommentSubject">
    <w:name w:val="annotation subject"/>
    <w:basedOn w:val="CommentText"/>
    <w:next w:val="CommentText"/>
    <w:link w:val="CommentSubjectChar"/>
    <w:uiPriority w:val="99"/>
    <w:semiHidden/>
    <w:unhideWhenUsed/>
    <w:rsid w:val="005E5D65"/>
    <w:rPr>
      <w:b/>
      <w:bCs/>
    </w:rPr>
  </w:style>
  <w:style w:type="character" w:customStyle="1" w:styleId="CommentSubjectChar">
    <w:name w:val="Comment Subject Char"/>
    <w:basedOn w:val="CommentTextChar"/>
    <w:link w:val="CommentSubject"/>
    <w:uiPriority w:val="99"/>
    <w:semiHidden/>
    <w:rsid w:val="005E5D65"/>
    <w:rPr>
      <w:b/>
      <w:bCs/>
      <w:noProof/>
      <w:sz w:val="20"/>
      <w:lang w:val="ka-GE"/>
    </w:rPr>
  </w:style>
  <w:style w:type="paragraph" w:styleId="BalloonText">
    <w:name w:val="Balloon Text"/>
    <w:basedOn w:val="Normal"/>
    <w:link w:val="BalloonTextChar"/>
    <w:uiPriority w:val="99"/>
    <w:semiHidden/>
    <w:unhideWhenUsed/>
    <w:rsid w:val="005E5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D65"/>
    <w:rPr>
      <w:rFonts w:ascii="Tahoma" w:hAnsi="Tahoma" w:cs="Tahoma"/>
      <w:noProof/>
      <w:sz w:val="16"/>
      <w:szCs w:val="16"/>
      <w:lang w:val="ka-GE"/>
    </w:rPr>
  </w:style>
  <w:style w:type="paragraph" w:customStyle="1" w:styleId="abzacixml">
    <w:name w:val="abzacixml"/>
    <w:basedOn w:val="Normal"/>
    <w:rsid w:val="008F2D8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ListParagraph">
    <w:name w:val="List Paragraph"/>
    <w:basedOn w:val="Normal"/>
    <w:uiPriority w:val="34"/>
    <w:qFormat/>
    <w:rsid w:val="00B83DA7"/>
    <w:pPr>
      <w:ind w:left="720"/>
      <w:contextualSpacing/>
    </w:pPr>
    <w:rPr>
      <w:rFonts w:ascii="Calibri" w:eastAsia="Times New Roman" w:hAnsi="Calibri" w:cs="Times New Roman"/>
      <w:noProof w:val="0"/>
      <w:szCs w:val="22"/>
      <w:lang w:val="en-US"/>
    </w:rPr>
  </w:style>
  <w:style w:type="paragraph" w:styleId="NormalWeb">
    <w:name w:val="Normal (Web)"/>
    <w:basedOn w:val="Normal"/>
    <w:uiPriority w:val="99"/>
    <w:semiHidden/>
    <w:unhideWhenUsed/>
    <w:rsid w:val="003E323A"/>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0066">
      <w:bodyDiv w:val="1"/>
      <w:marLeft w:val="0"/>
      <w:marRight w:val="0"/>
      <w:marTop w:val="0"/>
      <w:marBottom w:val="0"/>
      <w:divBdr>
        <w:top w:val="none" w:sz="0" w:space="0" w:color="auto"/>
        <w:left w:val="none" w:sz="0" w:space="0" w:color="auto"/>
        <w:bottom w:val="none" w:sz="0" w:space="0" w:color="auto"/>
        <w:right w:val="none" w:sz="0" w:space="0" w:color="auto"/>
      </w:divBdr>
    </w:div>
    <w:div w:id="409422409">
      <w:bodyDiv w:val="1"/>
      <w:marLeft w:val="0"/>
      <w:marRight w:val="0"/>
      <w:marTop w:val="0"/>
      <w:marBottom w:val="0"/>
      <w:divBdr>
        <w:top w:val="none" w:sz="0" w:space="0" w:color="auto"/>
        <w:left w:val="none" w:sz="0" w:space="0" w:color="auto"/>
        <w:bottom w:val="none" w:sz="0" w:space="0" w:color="auto"/>
        <w:right w:val="none" w:sz="0" w:space="0" w:color="auto"/>
      </w:divBdr>
    </w:div>
    <w:div w:id="1009334089">
      <w:bodyDiv w:val="1"/>
      <w:marLeft w:val="0"/>
      <w:marRight w:val="0"/>
      <w:marTop w:val="0"/>
      <w:marBottom w:val="0"/>
      <w:divBdr>
        <w:top w:val="none" w:sz="0" w:space="0" w:color="auto"/>
        <w:left w:val="none" w:sz="0" w:space="0" w:color="auto"/>
        <w:bottom w:val="none" w:sz="0" w:space="0" w:color="auto"/>
        <w:right w:val="none" w:sz="0" w:space="0" w:color="auto"/>
      </w:divBdr>
      <w:divsChild>
        <w:div w:id="1308128885">
          <w:marLeft w:val="0"/>
          <w:marRight w:val="0"/>
          <w:marTop w:val="0"/>
          <w:marBottom w:val="0"/>
          <w:divBdr>
            <w:top w:val="none" w:sz="0" w:space="0" w:color="auto"/>
            <w:left w:val="none" w:sz="0" w:space="0" w:color="auto"/>
            <w:bottom w:val="none" w:sz="0" w:space="0" w:color="auto"/>
            <w:right w:val="none" w:sz="0" w:space="0" w:color="auto"/>
          </w:divBdr>
        </w:div>
        <w:div w:id="536744349">
          <w:marLeft w:val="0"/>
          <w:marRight w:val="0"/>
          <w:marTop w:val="0"/>
          <w:marBottom w:val="0"/>
          <w:divBdr>
            <w:top w:val="none" w:sz="0" w:space="0" w:color="auto"/>
            <w:left w:val="none" w:sz="0" w:space="0" w:color="auto"/>
            <w:bottom w:val="none" w:sz="0" w:space="0" w:color="auto"/>
            <w:right w:val="none" w:sz="0" w:space="0" w:color="auto"/>
          </w:divBdr>
        </w:div>
      </w:divsChild>
    </w:div>
    <w:div w:id="10363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6A0A-79C3-422F-81DE-C9DA791E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shavshishvili</dc:creator>
  <cp:lastModifiedBy>maia shavshishvili</cp:lastModifiedBy>
  <cp:revision>9</cp:revision>
  <cp:lastPrinted>2019-01-15T06:46:00Z</cp:lastPrinted>
  <dcterms:created xsi:type="dcterms:W3CDTF">2019-01-15T07:43:00Z</dcterms:created>
  <dcterms:modified xsi:type="dcterms:W3CDTF">2019-01-16T09:14:00Z</dcterms:modified>
</cp:coreProperties>
</file>