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5F11E" w14:textId="77777777" w:rsidR="009313A1" w:rsidRPr="00CC1C25" w:rsidRDefault="009313A1" w:rsidP="002C7719">
      <w:pPr>
        <w:pStyle w:val="Heading1"/>
        <w:spacing w:after="240" w:line="276" w:lineRule="auto"/>
        <w:jc w:val="both"/>
        <w:rPr>
          <w:rFonts w:ascii="Sylfaen" w:hAnsi="Sylfaen"/>
          <w:b/>
          <w:sz w:val="22"/>
          <w:szCs w:val="22"/>
          <w:lang w:val="ka-GE"/>
        </w:rPr>
      </w:pPr>
      <w:r w:rsidRPr="00CC1C25">
        <w:rPr>
          <w:rFonts w:ascii="Sylfaen" w:hAnsi="Sylfaen" w:cs="Sylfaen"/>
          <w:b/>
          <w:sz w:val="22"/>
          <w:szCs w:val="22"/>
          <w:lang w:val="ka-GE"/>
        </w:rPr>
        <w:t>საგანგებო</w:t>
      </w:r>
      <w:r w:rsidRPr="00CC1C25">
        <w:rPr>
          <w:rFonts w:ascii="Sylfaen" w:hAnsi="Sylfaen"/>
          <w:b/>
          <w:sz w:val="22"/>
          <w:szCs w:val="22"/>
          <w:lang w:val="ka-GE"/>
        </w:rPr>
        <w:t xml:space="preserve"> </w:t>
      </w:r>
      <w:r w:rsidRPr="00CC1C25">
        <w:rPr>
          <w:rFonts w:ascii="Sylfaen" w:hAnsi="Sylfaen" w:cs="Sylfaen"/>
          <w:b/>
          <w:sz w:val="22"/>
          <w:szCs w:val="22"/>
          <w:lang w:val="ka-GE"/>
        </w:rPr>
        <w:t>მდგომარეობის</w:t>
      </w:r>
      <w:r w:rsidRPr="00CC1C25">
        <w:rPr>
          <w:rFonts w:ascii="Sylfaen" w:hAnsi="Sylfaen"/>
          <w:b/>
          <w:sz w:val="22"/>
          <w:szCs w:val="22"/>
          <w:lang w:val="ka-GE"/>
        </w:rPr>
        <w:t xml:space="preserve"> </w:t>
      </w:r>
      <w:r w:rsidRPr="00CC1C25">
        <w:rPr>
          <w:rFonts w:ascii="Sylfaen" w:hAnsi="Sylfaen" w:cs="Sylfaen"/>
          <w:b/>
          <w:sz w:val="22"/>
          <w:szCs w:val="22"/>
          <w:lang w:val="ka-GE"/>
        </w:rPr>
        <w:t>აღსრულების</w:t>
      </w:r>
      <w:r w:rsidRPr="00CC1C25">
        <w:rPr>
          <w:rFonts w:ascii="Sylfaen" w:hAnsi="Sylfaen"/>
          <w:b/>
          <w:sz w:val="22"/>
          <w:szCs w:val="22"/>
          <w:lang w:val="ka-GE"/>
        </w:rPr>
        <w:t xml:space="preserve"> </w:t>
      </w:r>
      <w:r w:rsidRPr="00CC1C25">
        <w:rPr>
          <w:rFonts w:ascii="Sylfaen" w:hAnsi="Sylfaen" w:cs="Sylfaen"/>
          <w:b/>
          <w:sz w:val="22"/>
          <w:szCs w:val="22"/>
          <w:lang w:val="ka-GE"/>
        </w:rPr>
        <w:t>რეჟიმი/უწყებების მიერ გაწეული საქმიანობის ანგარიში</w:t>
      </w:r>
    </w:p>
    <w:p w14:paraId="0D5E50FF" w14:textId="1C1E414E" w:rsidR="009313A1" w:rsidRPr="00CC1C25" w:rsidRDefault="009313A1" w:rsidP="002C7719">
      <w:pPr>
        <w:pStyle w:val="Heading1"/>
        <w:spacing w:after="240" w:line="276" w:lineRule="auto"/>
        <w:jc w:val="both"/>
        <w:rPr>
          <w:rFonts w:ascii="Sylfaen" w:hAnsi="Sylfaen"/>
          <w:b/>
          <w:sz w:val="22"/>
          <w:szCs w:val="22"/>
          <w:lang w:val="ka-GE"/>
        </w:rPr>
      </w:pPr>
      <w:r w:rsidRPr="00CC1C25">
        <w:rPr>
          <w:rFonts w:ascii="Sylfaen" w:hAnsi="Sylfaen"/>
          <w:b/>
          <w:sz w:val="22"/>
          <w:szCs w:val="22"/>
          <w:lang w:val="ka-GE"/>
        </w:rPr>
        <w:t>(</w:t>
      </w:r>
      <w:r w:rsidRPr="00CC1C25">
        <w:rPr>
          <w:rFonts w:ascii="Sylfaen" w:hAnsi="Sylfaen" w:cs="Sylfaen"/>
          <w:b/>
          <w:sz w:val="22"/>
          <w:szCs w:val="22"/>
          <w:lang w:val="ka-GE"/>
        </w:rPr>
        <w:t>უწყებების</w:t>
      </w:r>
      <w:r w:rsidRPr="00CC1C25">
        <w:rPr>
          <w:rFonts w:ascii="Sylfaen" w:hAnsi="Sylfaen"/>
          <w:b/>
          <w:sz w:val="22"/>
          <w:szCs w:val="22"/>
          <w:lang w:val="ka-GE"/>
        </w:rPr>
        <w:t xml:space="preserve"> </w:t>
      </w:r>
      <w:r w:rsidRPr="00CC1C25">
        <w:rPr>
          <w:rFonts w:ascii="Sylfaen" w:hAnsi="Sylfaen" w:cs="Sylfaen"/>
          <w:b/>
          <w:sz w:val="22"/>
          <w:szCs w:val="22"/>
          <w:lang w:val="ka-GE"/>
        </w:rPr>
        <w:t>მიხედვით</w:t>
      </w:r>
      <w:r w:rsidRPr="00CC1C25">
        <w:rPr>
          <w:rFonts w:ascii="Sylfaen" w:hAnsi="Sylfaen"/>
          <w:b/>
          <w:sz w:val="22"/>
          <w:szCs w:val="22"/>
          <w:lang w:val="ka-GE"/>
        </w:rPr>
        <w:t>)</w:t>
      </w:r>
    </w:p>
    <w:p w14:paraId="480298D3" w14:textId="4FBC0A07" w:rsidR="009313A1" w:rsidRPr="00CC1C25" w:rsidRDefault="009313A1" w:rsidP="002C7719">
      <w:pPr>
        <w:pStyle w:val="ListParagraph"/>
        <w:numPr>
          <w:ilvl w:val="0"/>
          <w:numId w:val="1"/>
        </w:numPr>
        <w:spacing w:after="240" w:line="276" w:lineRule="auto"/>
        <w:jc w:val="both"/>
        <w:rPr>
          <w:rFonts w:ascii="Sylfaen" w:hAnsi="Sylfaen"/>
          <w:b/>
          <w:lang w:val="ka-GE"/>
        </w:rPr>
      </w:pPr>
      <w:r w:rsidRPr="00CC1C25">
        <w:rPr>
          <w:rFonts w:ascii="Sylfaen" w:hAnsi="Sylfaen" w:cs="Sylfaen"/>
          <w:b/>
          <w:lang w:val="ka-GE"/>
        </w:rPr>
        <w:t>საქართველოს</w:t>
      </w:r>
      <w:r w:rsidRPr="00CC1C25">
        <w:rPr>
          <w:rFonts w:ascii="Sylfaen" w:hAnsi="Sylfaen"/>
          <w:b/>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0" w:type="auto"/>
        <w:tblLook w:val="04A0" w:firstRow="1" w:lastRow="0" w:firstColumn="1" w:lastColumn="0" w:noHBand="0" w:noVBand="1"/>
      </w:tblPr>
      <w:tblGrid>
        <w:gridCol w:w="5949"/>
        <w:gridCol w:w="3396"/>
      </w:tblGrid>
      <w:tr w:rsidR="004D70A9" w:rsidRPr="00CC1C25" w14:paraId="725EEABA" w14:textId="77777777" w:rsidTr="004D70A9">
        <w:tc>
          <w:tcPr>
            <w:tcW w:w="5949" w:type="dxa"/>
          </w:tcPr>
          <w:p w14:paraId="29450B25" w14:textId="77777777" w:rsidR="004D70A9" w:rsidRPr="00CC1C25" w:rsidRDefault="004D70A9" w:rsidP="002C7719">
            <w:pPr>
              <w:spacing w:after="240" w:line="276" w:lineRule="auto"/>
              <w:jc w:val="both"/>
              <w:rPr>
                <w:lang w:val="ka-GE"/>
              </w:rPr>
            </w:pPr>
            <w:r w:rsidRPr="00CC1C25">
              <w:rPr>
                <w:lang w:val="ka-GE"/>
              </w:rPr>
              <w:t>პაციენტები:</w:t>
            </w:r>
          </w:p>
          <w:p w14:paraId="58C941AA" w14:textId="77777777" w:rsidR="004D70A9" w:rsidRPr="00CC1C25" w:rsidRDefault="004D70A9" w:rsidP="002C7719">
            <w:pPr>
              <w:pStyle w:val="ListParagraph"/>
              <w:numPr>
                <w:ilvl w:val="0"/>
                <w:numId w:val="3"/>
              </w:numPr>
              <w:spacing w:after="240" w:line="276" w:lineRule="auto"/>
              <w:ind w:left="1134"/>
              <w:jc w:val="both"/>
              <w:rPr>
                <w:rFonts w:ascii="Sylfaen" w:hAnsi="Sylfaen"/>
                <w:lang w:val="ka-GE"/>
              </w:rPr>
            </w:pPr>
            <w:r w:rsidRPr="00CC1C25">
              <w:rPr>
                <w:rFonts w:ascii="Sylfaen" w:hAnsi="Sylfaen"/>
                <w:lang w:val="ka-GE"/>
              </w:rPr>
              <w:t>საერთო რაოდენობა (ქალი; კაცი, ასაკი და კატეგორიები:მსუბუქი, საშუალო, მძიმე);</w:t>
            </w:r>
          </w:p>
          <w:p w14:paraId="3BE8EB94" w14:textId="77777777" w:rsidR="004D70A9" w:rsidRPr="00CC1C25" w:rsidRDefault="004D70A9" w:rsidP="002C7719">
            <w:pPr>
              <w:pStyle w:val="ListParagraph"/>
              <w:numPr>
                <w:ilvl w:val="0"/>
                <w:numId w:val="3"/>
              </w:numPr>
              <w:spacing w:after="240" w:line="276" w:lineRule="auto"/>
              <w:ind w:left="1134"/>
              <w:jc w:val="both"/>
              <w:rPr>
                <w:rFonts w:ascii="Sylfaen" w:hAnsi="Sylfaen"/>
                <w:lang w:val="ka-GE"/>
              </w:rPr>
            </w:pPr>
            <w:r w:rsidRPr="00CC1C25">
              <w:rPr>
                <w:rFonts w:ascii="Sylfaen" w:hAnsi="Sylfaen"/>
                <w:lang w:val="ka-GE"/>
              </w:rPr>
              <w:t>გამოჯანმრთელებულები (ქალი; კაცი,ასაკი) ;</w:t>
            </w:r>
          </w:p>
          <w:p w14:paraId="71A257EA" w14:textId="77777777" w:rsidR="004D70A9" w:rsidRPr="00CC1C25" w:rsidRDefault="004D70A9" w:rsidP="002C7719">
            <w:pPr>
              <w:pStyle w:val="ListParagraph"/>
              <w:numPr>
                <w:ilvl w:val="0"/>
                <w:numId w:val="3"/>
              </w:numPr>
              <w:spacing w:after="240" w:line="276" w:lineRule="auto"/>
              <w:ind w:left="1134"/>
              <w:jc w:val="both"/>
              <w:rPr>
                <w:rFonts w:ascii="Sylfaen" w:hAnsi="Sylfaen"/>
                <w:lang w:val="ka-GE"/>
              </w:rPr>
            </w:pPr>
            <w:r w:rsidRPr="00CC1C25">
              <w:rPr>
                <w:rFonts w:ascii="Sylfaen" w:hAnsi="Sylfaen"/>
                <w:lang w:val="ka-GE"/>
              </w:rPr>
              <w:t>მძიმე ავადმყოფები (ქალი; კაცი, ასაკი);</w:t>
            </w:r>
          </w:p>
          <w:p w14:paraId="7C13B353" w14:textId="77777777" w:rsidR="004D70A9" w:rsidRPr="00CC1C25" w:rsidRDefault="004D70A9" w:rsidP="002C7719">
            <w:pPr>
              <w:pStyle w:val="ListParagraph"/>
              <w:numPr>
                <w:ilvl w:val="0"/>
                <w:numId w:val="3"/>
              </w:numPr>
              <w:spacing w:after="240" w:line="276" w:lineRule="auto"/>
              <w:ind w:left="1134"/>
              <w:jc w:val="both"/>
              <w:rPr>
                <w:rFonts w:ascii="Sylfaen" w:hAnsi="Sylfaen"/>
                <w:lang w:val="ka-GE"/>
              </w:rPr>
            </w:pPr>
            <w:r w:rsidRPr="00CC1C25">
              <w:rPr>
                <w:rFonts w:ascii="Sylfaen" w:hAnsi="Sylfaen"/>
                <w:lang w:val="ka-GE"/>
              </w:rPr>
              <w:t>გარდაცვლილები (ქალი; კაცი, ასაკი);</w:t>
            </w:r>
          </w:p>
          <w:p w14:paraId="00F1BB3F" w14:textId="1815FA65" w:rsidR="004D70A9" w:rsidRPr="00CC1C25" w:rsidRDefault="004D70A9" w:rsidP="002C7719">
            <w:pPr>
              <w:pStyle w:val="ListParagraph"/>
              <w:numPr>
                <w:ilvl w:val="0"/>
                <w:numId w:val="3"/>
              </w:numPr>
              <w:spacing w:after="240" w:line="276" w:lineRule="auto"/>
              <w:ind w:left="1134"/>
              <w:jc w:val="both"/>
              <w:rPr>
                <w:rFonts w:ascii="Sylfaen" w:hAnsi="Sylfaen"/>
                <w:lang w:val="ka-GE"/>
              </w:rPr>
            </w:pPr>
            <w:r w:rsidRPr="00CC1C25">
              <w:rPr>
                <w:rFonts w:ascii="Sylfaen" w:hAnsi="Sylfaen"/>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tc>
        <w:tc>
          <w:tcPr>
            <w:tcW w:w="3396" w:type="dxa"/>
          </w:tcPr>
          <w:p w14:paraId="54A8FF81" w14:textId="627D1B4B" w:rsidR="004D70A9" w:rsidRPr="00CC1C25" w:rsidRDefault="004D70A9" w:rsidP="002C7719">
            <w:pPr>
              <w:spacing w:after="240" w:line="276" w:lineRule="auto"/>
              <w:jc w:val="both"/>
              <w:rPr>
                <w:b/>
                <w:lang w:val="ka-GE"/>
              </w:rPr>
            </w:pPr>
            <w:r w:rsidRPr="00CC1C25">
              <w:rPr>
                <w:b/>
                <w:lang w:val="ka-GE"/>
              </w:rPr>
              <w:t>დაავადებათა კონტროლისა და საზოგადობერივი ჯანმრთელობის დაცვის ეროვნული ცენტრი</w:t>
            </w:r>
          </w:p>
        </w:tc>
      </w:tr>
      <w:tr w:rsidR="004D70A9" w:rsidRPr="00CC1C25" w14:paraId="22E0C0FC" w14:textId="77777777" w:rsidTr="004D70A9">
        <w:tc>
          <w:tcPr>
            <w:tcW w:w="5949" w:type="dxa"/>
          </w:tcPr>
          <w:p w14:paraId="267A58FE" w14:textId="77777777" w:rsidR="004D70A9" w:rsidRPr="00CC1C25" w:rsidRDefault="004D70A9"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კოვიდ კლინიკები;</w:t>
            </w:r>
          </w:p>
          <w:p w14:paraId="3EB4DA2C" w14:textId="77777777" w:rsidR="004D70A9" w:rsidRPr="00CC1C25" w:rsidRDefault="004D70A9"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ცხელების ცენტრები;</w:t>
            </w:r>
          </w:p>
          <w:p w14:paraId="3B2291EB" w14:textId="77777777" w:rsidR="004D70A9" w:rsidRPr="00CC1C25" w:rsidRDefault="004D70A9"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საერთო საწოლფონდის რაოდენობა;</w:t>
            </w:r>
          </w:p>
          <w:p w14:paraId="3E5FD855" w14:textId="1BAE4A85" w:rsidR="004D70A9" w:rsidRPr="00CC1C25" w:rsidRDefault="004D70A9"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მართვითი სუნთქვის აპარატები;</w:t>
            </w:r>
          </w:p>
        </w:tc>
        <w:tc>
          <w:tcPr>
            <w:tcW w:w="3396" w:type="dxa"/>
          </w:tcPr>
          <w:p w14:paraId="4AAB3620" w14:textId="77777777" w:rsidR="004D70A9" w:rsidRPr="00CC1C25" w:rsidRDefault="004D70A9" w:rsidP="002C7719">
            <w:pPr>
              <w:spacing w:after="240" w:line="276" w:lineRule="auto"/>
              <w:jc w:val="both"/>
              <w:rPr>
                <w:b/>
                <w:lang w:val="ka-GE"/>
              </w:rPr>
            </w:pPr>
            <w:r w:rsidRPr="00CC1C25">
              <w:rPr>
                <w:b/>
                <w:lang w:val="ka-GE"/>
              </w:rPr>
              <w:t>პოლიტიკის დეპარტამენტი და სოციალური მომსახურების სააგენტო</w:t>
            </w:r>
          </w:p>
          <w:p w14:paraId="7DFB0AF8" w14:textId="30B0A81B" w:rsidR="004D70A9" w:rsidRPr="00CC1C25" w:rsidRDefault="004D70A9" w:rsidP="002C7719">
            <w:pPr>
              <w:spacing w:after="240" w:line="276" w:lineRule="auto"/>
              <w:jc w:val="both"/>
              <w:rPr>
                <w:b/>
                <w:lang w:val="ka-GE"/>
              </w:rPr>
            </w:pPr>
            <w:r w:rsidRPr="00CC1C25">
              <w:rPr>
                <w:b/>
                <w:lang w:val="ka-GE"/>
              </w:rPr>
              <w:t>ეკა ადამია და თამარ მელიქიძე</w:t>
            </w:r>
          </w:p>
        </w:tc>
      </w:tr>
      <w:tr w:rsidR="004D70A9" w:rsidRPr="00CC1C25" w14:paraId="24CD4A78" w14:textId="77777777" w:rsidTr="004D70A9">
        <w:tc>
          <w:tcPr>
            <w:tcW w:w="5949" w:type="dxa"/>
          </w:tcPr>
          <w:p w14:paraId="27ED2927" w14:textId="77777777" w:rsidR="004D70A9" w:rsidRPr="00CC1C25" w:rsidRDefault="004D70A9"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უკვე ჩამოსული და შეკვეთილი ტესტები (სახეობა, რაოდენობა);</w:t>
            </w:r>
          </w:p>
          <w:p w14:paraId="235844D0" w14:textId="25D462C5" w:rsidR="004D70A9" w:rsidRPr="00CC1C25" w:rsidRDefault="004D70A9"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tc>
        <w:tc>
          <w:tcPr>
            <w:tcW w:w="3396" w:type="dxa"/>
          </w:tcPr>
          <w:p w14:paraId="0C549B0F" w14:textId="77777777" w:rsidR="004D70A9" w:rsidRPr="00CC1C25" w:rsidRDefault="004D70A9" w:rsidP="002C7719">
            <w:pPr>
              <w:spacing w:after="240" w:line="276" w:lineRule="auto"/>
              <w:jc w:val="both"/>
              <w:rPr>
                <w:b/>
                <w:lang w:val="ka-GE"/>
              </w:rPr>
            </w:pPr>
          </w:p>
        </w:tc>
      </w:tr>
      <w:tr w:rsidR="004D70A9" w:rsidRPr="00CC1C25" w14:paraId="5403646B" w14:textId="77777777" w:rsidTr="004D70A9">
        <w:tc>
          <w:tcPr>
            <w:tcW w:w="5949" w:type="dxa"/>
          </w:tcPr>
          <w:p w14:paraId="40644EB9" w14:textId="77777777" w:rsidR="004D70A9" w:rsidRPr="00CC1C25" w:rsidRDefault="004D70A9" w:rsidP="002C7719">
            <w:pPr>
              <w:spacing w:after="240" w:line="276" w:lineRule="auto"/>
              <w:jc w:val="both"/>
              <w:rPr>
                <w:b/>
                <w:lang w:val="ka-GE"/>
              </w:rPr>
            </w:pPr>
          </w:p>
          <w:p w14:paraId="72AEA406" w14:textId="7E5D645A" w:rsidR="004D70A9" w:rsidRPr="00CC1C25" w:rsidRDefault="004D70A9"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ოჯახის ექიმების სატელეფონო მომსახურება (112-ის სერვისი) და შედეგები;</w:t>
            </w:r>
          </w:p>
        </w:tc>
        <w:tc>
          <w:tcPr>
            <w:tcW w:w="3396" w:type="dxa"/>
          </w:tcPr>
          <w:p w14:paraId="30D7707E" w14:textId="39015FF1" w:rsidR="004D70A9" w:rsidRPr="00CC1C25" w:rsidRDefault="004D70A9" w:rsidP="002C7719">
            <w:pPr>
              <w:spacing w:after="240" w:line="276" w:lineRule="auto"/>
              <w:jc w:val="both"/>
              <w:rPr>
                <w:b/>
                <w:lang w:val="ka-GE"/>
              </w:rPr>
            </w:pPr>
            <w:r w:rsidRPr="00CC1C25">
              <w:rPr>
                <w:b/>
                <w:lang w:val="ka-GE"/>
              </w:rPr>
              <w:t>ლელა წოწორია</w:t>
            </w:r>
          </w:p>
        </w:tc>
      </w:tr>
      <w:tr w:rsidR="004D70A9" w:rsidRPr="00CC1C25" w14:paraId="7819EA33" w14:textId="77777777" w:rsidTr="004D70A9">
        <w:tc>
          <w:tcPr>
            <w:tcW w:w="5949" w:type="dxa"/>
          </w:tcPr>
          <w:p w14:paraId="21304420" w14:textId="3DC070E0" w:rsidR="004D70A9" w:rsidRPr="00820F2F" w:rsidRDefault="004D70A9"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lang w:val="ka-GE"/>
              </w:rPr>
              <w:t>სოციალური მომსახურების სააგენტოს საქმიანობა ანტიკრიზისული გეგმის ფარგლებში.</w:t>
            </w:r>
          </w:p>
        </w:tc>
        <w:tc>
          <w:tcPr>
            <w:tcW w:w="3396" w:type="dxa"/>
          </w:tcPr>
          <w:p w14:paraId="53B23EA4" w14:textId="5064EB73" w:rsidR="004D70A9" w:rsidRPr="00CC1C25" w:rsidRDefault="004D70A9" w:rsidP="002C7719">
            <w:pPr>
              <w:spacing w:after="240" w:line="276" w:lineRule="auto"/>
              <w:jc w:val="both"/>
              <w:rPr>
                <w:b/>
                <w:lang w:val="ka-GE"/>
              </w:rPr>
            </w:pPr>
            <w:r w:rsidRPr="00CC1C25">
              <w:rPr>
                <w:b/>
                <w:lang w:val="ka-GE"/>
              </w:rPr>
              <w:t>გიორგი წოწკოლაური/თამარ მელიქიძე</w:t>
            </w:r>
          </w:p>
        </w:tc>
      </w:tr>
      <w:tr w:rsidR="004D70A9" w:rsidRPr="00CC1C25" w14:paraId="0463EBA0" w14:textId="77777777" w:rsidTr="004D70A9">
        <w:tc>
          <w:tcPr>
            <w:tcW w:w="5949" w:type="dxa"/>
          </w:tcPr>
          <w:p w14:paraId="153A9174" w14:textId="45967485" w:rsidR="004D70A9" w:rsidRPr="00820F2F" w:rsidRDefault="004D70A9"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lang w:val="ka-GE"/>
              </w:rPr>
              <w:t xml:space="preserve">რეგულარული მომსახურების,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w:t>
            </w:r>
            <w:r w:rsidRPr="00820F2F">
              <w:rPr>
                <w:rFonts w:ascii="Sylfaen" w:hAnsi="Sylfaen"/>
                <w:lang w:val="ka-GE"/>
              </w:rPr>
              <w:lastRenderedPageBreak/>
              <w:t>მოსახლეობას);</w:t>
            </w:r>
          </w:p>
        </w:tc>
        <w:tc>
          <w:tcPr>
            <w:tcW w:w="3396" w:type="dxa"/>
          </w:tcPr>
          <w:p w14:paraId="02EACA6A" w14:textId="32E4BA3B" w:rsidR="004D70A9" w:rsidRPr="00CC1C25" w:rsidRDefault="004D70A9" w:rsidP="002C7719">
            <w:pPr>
              <w:spacing w:after="240" w:line="276" w:lineRule="auto"/>
              <w:jc w:val="both"/>
              <w:rPr>
                <w:b/>
                <w:lang w:val="ka-GE"/>
              </w:rPr>
            </w:pPr>
            <w:r w:rsidRPr="00CC1C25">
              <w:rPr>
                <w:b/>
                <w:lang w:val="ka-GE"/>
              </w:rPr>
              <w:lastRenderedPageBreak/>
              <w:t>გიორგი წოწკოლაური/ თამარ მელიქიძე</w:t>
            </w:r>
          </w:p>
        </w:tc>
      </w:tr>
      <w:tr w:rsidR="004D70A9" w:rsidRPr="00CC1C25" w14:paraId="1DD45E62" w14:textId="77777777" w:rsidTr="004D70A9">
        <w:tc>
          <w:tcPr>
            <w:tcW w:w="5949" w:type="dxa"/>
          </w:tcPr>
          <w:p w14:paraId="032380BF" w14:textId="77777777" w:rsidR="004D70A9" w:rsidRPr="00820F2F" w:rsidRDefault="004D70A9"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lang w:val="ka-GE"/>
              </w:rPr>
              <w:lastRenderedPageBreak/>
              <w:t>ფინანსური დანახარჯები.</w:t>
            </w:r>
          </w:p>
          <w:p w14:paraId="040ED138" w14:textId="77777777" w:rsidR="004D70A9" w:rsidRPr="00820F2F" w:rsidRDefault="004D70A9"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cs="Sylfaen"/>
                <w:lang w:val="ka-GE"/>
              </w:rPr>
              <w:t>უკვე</w:t>
            </w:r>
            <w:r w:rsidRPr="00820F2F">
              <w:rPr>
                <w:rFonts w:ascii="Sylfaen" w:hAnsi="Sylfaen"/>
                <w:lang w:val="ka-GE"/>
              </w:rPr>
              <w:t xml:space="preserve"> ჩატარებული ტესტების რაოდენობა;</w:t>
            </w:r>
          </w:p>
          <w:p w14:paraId="477CFCCE" w14:textId="77777777" w:rsidR="004D70A9" w:rsidRPr="00820F2F" w:rsidRDefault="004D70A9"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cs="Sylfaen"/>
                <w:lang w:val="ka-GE"/>
              </w:rPr>
              <w:t>სამედიცინო</w:t>
            </w:r>
            <w:r w:rsidRPr="00820F2F">
              <w:rPr>
                <w:rFonts w:ascii="Sylfaen" w:hAnsi="Sylfaen"/>
                <w:lang w:val="ka-GE"/>
              </w:rPr>
              <w:t xml:space="preserve"> მარაგები;</w:t>
            </w:r>
          </w:p>
          <w:p w14:paraId="08530590" w14:textId="524F5C52" w:rsidR="004D70A9" w:rsidRPr="00820F2F" w:rsidRDefault="004D70A9"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cs="Sylfaen"/>
                <w:lang w:val="ka-GE"/>
              </w:rPr>
              <w:t>რამდენმა</w:t>
            </w:r>
            <w:r w:rsidRPr="00820F2F">
              <w:rPr>
                <w:rFonts w:ascii="Sylfaen" w:hAnsi="Sylfaen"/>
                <w:lang w:val="ka-GE"/>
              </w:rPr>
              <w:t xml:space="preserve">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შესასრულებლად;</w:t>
            </w:r>
          </w:p>
        </w:tc>
        <w:tc>
          <w:tcPr>
            <w:tcW w:w="3396" w:type="dxa"/>
          </w:tcPr>
          <w:p w14:paraId="71EA08E8" w14:textId="77777777" w:rsidR="004D70A9" w:rsidRPr="00CC1C25" w:rsidRDefault="004D70A9" w:rsidP="002C7719">
            <w:pPr>
              <w:spacing w:after="240" w:line="276" w:lineRule="auto"/>
              <w:jc w:val="both"/>
              <w:rPr>
                <w:b/>
                <w:lang w:val="ka-GE"/>
              </w:rPr>
            </w:pPr>
            <w:r w:rsidRPr="00CC1C25">
              <w:rPr>
                <w:b/>
                <w:lang w:val="ka-GE"/>
              </w:rPr>
              <w:t xml:space="preserve">გიორგი წოწკოლაური/ბექა ჯაყელი/თინათინ ხარძიანი </w:t>
            </w:r>
          </w:p>
          <w:p w14:paraId="740924C4" w14:textId="5AA9A55C" w:rsidR="00B70B84" w:rsidRPr="00CC1C25" w:rsidRDefault="00B70B84" w:rsidP="002C7719">
            <w:pPr>
              <w:spacing w:after="240" w:line="276" w:lineRule="auto"/>
              <w:jc w:val="both"/>
              <w:rPr>
                <w:b/>
                <w:lang w:val="ka-GE"/>
              </w:rPr>
            </w:pPr>
            <w:r w:rsidRPr="00CC1C25">
              <w:rPr>
                <w:b/>
                <w:lang w:val="ka-GE"/>
              </w:rPr>
              <w:t>ბექა ფერაძე</w:t>
            </w:r>
          </w:p>
        </w:tc>
      </w:tr>
      <w:tr w:rsidR="004D70A9" w:rsidRPr="00820F2F" w14:paraId="32BC88DC" w14:textId="77777777" w:rsidTr="002778EE">
        <w:trPr>
          <w:trHeight w:val="977"/>
        </w:trPr>
        <w:tc>
          <w:tcPr>
            <w:tcW w:w="5949" w:type="dxa"/>
          </w:tcPr>
          <w:p w14:paraId="773586D4" w14:textId="5402BDCE" w:rsidR="004D70A9" w:rsidRPr="002778EE" w:rsidRDefault="004D70A9"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cs="Sylfaen"/>
                <w:lang w:val="ka-GE"/>
              </w:rPr>
              <w:t>უწყების</w:t>
            </w:r>
            <w:r w:rsidRPr="00820F2F">
              <w:rPr>
                <w:rFonts w:ascii="Sylfaen" w:hAnsi="Sylfaen"/>
                <w:lang w:val="ka-GE"/>
              </w:rPr>
              <w:t xml:space="preserve"> ცხელ ხაზზე შესული ზარები (შემოსული, პასუხგაცემული ზარების რაოდენობა);</w:t>
            </w:r>
          </w:p>
        </w:tc>
        <w:tc>
          <w:tcPr>
            <w:tcW w:w="3396" w:type="dxa"/>
          </w:tcPr>
          <w:p w14:paraId="5B8259D1" w14:textId="5D5BA1E0" w:rsidR="004D70A9" w:rsidRPr="00820F2F" w:rsidRDefault="00B70B84" w:rsidP="002C7719">
            <w:pPr>
              <w:spacing w:after="240" w:line="276" w:lineRule="auto"/>
              <w:jc w:val="both"/>
              <w:rPr>
                <w:b/>
                <w:lang w:val="ka-GE"/>
              </w:rPr>
            </w:pPr>
            <w:r w:rsidRPr="00820F2F">
              <w:rPr>
                <w:b/>
                <w:lang w:val="ka-GE"/>
              </w:rPr>
              <w:t>ანა დარახველიძე</w:t>
            </w:r>
          </w:p>
        </w:tc>
      </w:tr>
      <w:tr w:rsidR="004D70A9" w:rsidRPr="00820F2F" w14:paraId="12775A6F" w14:textId="77777777" w:rsidTr="004D70A9">
        <w:tc>
          <w:tcPr>
            <w:tcW w:w="5949" w:type="dxa"/>
          </w:tcPr>
          <w:p w14:paraId="7407F0BB" w14:textId="00E79C83" w:rsidR="004D70A9" w:rsidRPr="00820F2F" w:rsidRDefault="00B70B84"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cs="Sylfaen"/>
                <w:lang w:val="ka-GE"/>
              </w:rPr>
              <w:t>ინფორმაცია</w:t>
            </w:r>
            <w:r w:rsidRPr="00820F2F">
              <w:rPr>
                <w:rFonts w:ascii="Sylfaen" w:hAnsi="Sylfaen"/>
                <w:lang w:val="ka-GE"/>
              </w:rPr>
              <w:t xml:space="preserve"> კლასტერების შესახებ;</w:t>
            </w:r>
          </w:p>
        </w:tc>
        <w:tc>
          <w:tcPr>
            <w:tcW w:w="3396" w:type="dxa"/>
          </w:tcPr>
          <w:p w14:paraId="6FAB1CA8" w14:textId="5038FEDD" w:rsidR="004D70A9" w:rsidRPr="00820F2F" w:rsidRDefault="00B70B84" w:rsidP="002C7719">
            <w:pPr>
              <w:spacing w:after="240" w:line="276" w:lineRule="auto"/>
              <w:jc w:val="both"/>
              <w:rPr>
                <w:b/>
                <w:lang w:val="ka-GE"/>
              </w:rPr>
            </w:pPr>
            <w:r w:rsidRPr="00820F2F">
              <w:rPr>
                <w:b/>
                <w:lang w:val="ka-GE"/>
              </w:rPr>
              <w:t>დაავადებათა კონტროლის ცენტრი</w:t>
            </w:r>
          </w:p>
        </w:tc>
      </w:tr>
      <w:tr w:rsidR="00B70B84" w:rsidRPr="00820F2F" w14:paraId="07E6EBE5" w14:textId="77777777" w:rsidTr="004D70A9">
        <w:tc>
          <w:tcPr>
            <w:tcW w:w="5949" w:type="dxa"/>
          </w:tcPr>
          <w:p w14:paraId="079211D3" w14:textId="57BED623" w:rsidR="00B70B84" w:rsidRPr="00820F2F" w:rsidRDefault="00B70B84"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lang w:val="ka-GE"/>
              </w:rPr>
              <w:t>Сovid 19 - ის დადასტურებული შემთხვევები, რომელთა დადგენა, პრევენციული ღონისძიებების შედეგად მოხერხდა: საკარანტინე სივრციდან/საზღვრიდან.</w:t>
            </w:r>
          </w:p>
        </w:tc>
        <w:tc>
          <w:tcPr>
            <w:tcW w:w="3396" w:type="dxa"/>
          </w:tcPr>
          <w:p w14:paraId="09C28EA4" w14:textId="77EF069F" w:rsidR="00B70B84" w:rsidRPr="00820F2F" w:rsidRDefault="00B70B84" w:rsidP="002C7719">
            <w:pPr>
              <w:spacing w:after="240" w:line="276" w:lineRule="auto"/>
              <w:jc w:val="both"/>
              <w:rPr>
                <w:b/>
                <w:lang w:val="ka-GE"/>
              </w:rPr>
            </w:pPr>
            <w:r w:rsidRPr="00820F2F">
              <w:rPr>
                <w:b/>
                <w:lang w:val="ka-GE"/>
              </w:rPr>
              <w:t>დაავადებათა კონტროლის ცენტრი</w:t>
            </w:r>
          </w:p>
        </w:tc>
      </w:tr>
      <w:tr w:rsidR="00B70B84" w:rsidRPr="00CC1C25" w14:paraId="7F704B8A" w14:textId="77777777" w:rsidTr="004D70A9">
        <w:tc>
          <w:tcPr>
            <w:tcW w:w="5949" w:type="dxa"/>
          </w:tcPr>
          <w:p w14:paraId="0A6ACDD1" w14:textId="4D3CA565" w:rsidR="00B70B84" w:rsidRPr="00820F2F" w:rsidRDefault="00B70B84" w:rsidP="002C7719">
            <w:pPr>
              <w:pStyle w:val="ListParagraph"/>
              <w:numPr>
                <w:ilvl w:val="0"/>
                <w:numId w:val="2"/>
              </w:numPr>
              <w:spacing w:after="240" w:line="276" w:lineRule="auto"/>
              <w:ind w:left="851"/>
              <w:jc w:val="both"/>
              <w:rPr>
                <w:rFonts w:ascii="Sylfaen" w:hAnsi="Sylfaen"/>
                <w:lang w:val="ka-GE"/>
              </w:rPr>
            </w:pPr>
            <w:r w:rsidRPr="00820F2F">
              <w:rPr>
                <w:rFonts w:ascii="Sylfaen" w:hAnsi="Sylfaen"/>
                <w:lang w:val="ka-GE"/>
              </w:rPr>
              <w:t>მოცემულ პერიოდში გარდაცვალების რაოდენობის შედარება წლინა წლის მაჩვენებელთან.</w:t>
            </w:r>
          </w:p>
        </w:tc>
        <w:tc>
          <w:tcPr>
            <w:tcW w:w="3396" w:type="dxa"/>
          </w:tcPr>
          <w:p w14:paraId="3E668E5D" w14:textId="37320FA4" w:rsidR="00B70B84" w:rsidRPr="00CC1C25" w:rsidRDefault="00B70B84" w:rsidP="002C7719">
            <w:pPr>
              <w:spacing w:after="240" w:line="276" w:lineRule="auto"/>
              <w:jc w:val="both"/>
              <w:rPr>
                <w:b/>
                <w:lang w:val="ka-GE"/>
              </w:rPr>
            </w:pPr>
            <w:r w:rsidRPr="00820F2F">
              <w:rPr>
                <w:b/>
                <w:lang w:val="ka-GE"/>
              </w:rPr>
              <w:t>დაავადებათა კონტროლის ცენტრი</w:t>
            </w:r>
          </w:p>
        </w:tc>
      </w:tr>
      <w:tr w:rsidR="00B70B84" w:rsidRPr="00CC1C25" w14:paraId="072B6502" w14:textId="77777777" w:rsidTr="004D70A9">
        <w:tc>
          <w:tcPr>
            <w:tcW w:w="5949" w:type="dxa"/>
          </w:tcPr>
          <w:p w14:paraId="00BA0F04" w14:textId="5F4F79DF" w:rsidR="00B70B84" w:rsidRPr="00CC1C25" w:rsidRDefault="00B70B84" w:rsidP="002C7719">
            <w:pPr>
              <w:pStyle w:val="ListParagraph"/>
              <w:numPr>
                <w:ilvl w:val="0"/>
                <w:numId w:val="2"/>
              </w:numPr>
              <w:spacing w:after="240" w:line="276" w:lineRule="auto"/>
              <w:ind w:left="851"/>
              <w:jc w:val="both"/>
              <w:rPr>
                <w:rFonts w:ascii="Sylfaen" w:hAnsi="Sylfaen"/>
                <w:lang w:val="ka-GE"/>
              </w:rPr>
            </w:pPr>
            <w:r w:rsidRPr="00CC1C25">
              <w:rPr>
                <w:rFonts w:ascii="Sylfaen" w:hAnsi="Sylfaen"/>
                <w:lang w:val="ka-GE"/>
              </w:rPr>
              <w:t>არსებობს თუ არა ჯანდაცვის სამინისტროს მოდელირების სქემა, რომელზე დაყრდნობითაც ქვეყანაში ეპიდ ვითარების გართულების პარარელურად მკაცრდება შეზღუდვები</w:t>
            </w:r>
          </w:p>
        </w:tc>
        <w:tc>
          <w:tcPr>
            <w:tcW w:w="3396" w:type="dxa"/>
          </w:tcPr>
          <w:p w14:paraId="7CDEB750" w14:textId="65F61A96" w:rsidR="00B70B84" w:rsidRPr="00CC1C25" w:rsidRDefault="00B70B84" w:rsidP="002C7719">
            <w:pPr>
              <w:spacing w:after="240" w:line="276" w:lineRule="auto"/>
              <w:jc w:val="both"/>
              <w:rPr>
                <w:b/>
                <w:lang w:val="ka-GE"/>
              </w:rPr>
            </w:pPr>
            <w:r w:rsidRPr="00CC1C25">
              <w:rPr>
                <w:b/>
                <w:lang w:val="ka-GE"/>
              </w:rPr>
              <w:t>დაავადებათა კონტროლის ცენტრი</w:t>
            </w:r>
          </w:p>
        </w:tc>
      </w:tr>
    </w:tbl>
    <w:p w14:paraId="25809154" w14:textId="77777777" w:rsidR="00441F2C" w:rsidRPr="00CC1C25" w:rsidRDefault="00441F2C" w:rsidP="002C7719">
      <w:pPr>
        <w:spacing w:after="240" w:line="276" w:lineRule="auto"/>
        <w:jc w:val="both"/>
        <w:rPr>
          <w:lang w:val="ka-GE"/>
        </w:rPr>
      </w:pPr>
    </w:p>
    <w:p w14:paraId="3F24E36F" w14:textId="1203592B" w:rsidR="00441F2C" w:rsidRPr="00CC1C25" w:rsidRDefault="00441F2C" w:rsidP="002C7719">
      <w:pPr>
        <w:spacing w:after="240" w:line="276" w:lineRule="auto"/>
        <w:jc w:val="both"/>
        <w:rPr>
          <w:b/>
          <w:lang w:val="ka-GE"/>
        </w:rPr>
      </w:pPr>
      <w:r w:rsidRPr="00CC1C25">
        <w:rPr>
          <w:b/>
          <w:lang w:val="ka-GE"/>
        </w:rPr>
        <w:t xml:space="preserve">კოვიდ 19-ის გავრცელება საქართველოში </w:t>
      </w:r>
    </w:p>
    <w:p w14:paraId="123A0746" w14:textId="185F1703" w:rsidR="00441F2C" w:rsidRPr="00CC1C25" w:rsidRDefault="00441F2C" w:rsidP="002C7719">
      <w:pPr>
        <w:spacing w:line="276" w:lineRule="auto"/>
        <w:jc w:val="both"/>
        <w:rPr>
          <w:b/>
          <w:lang w:val="ka-GE"/>
        </w:rPr>
      </w:pPr>
      <w:r w:rsidRPr="00CC1C25">
        <w:rPr>
          <w:lang w:val="ka-GE"/>
        </w:rPr>
        <w:t xml:space="preserve">კოვიდ 19-ის პირველი შემთხვევა საქართველოში 2020 წლის 26 თებერვალს დაფიქსირდა. </w:t>
      </w:r>
      <w:r w:rsidR="00CF621C" w:rsidRPr="00CC1C25">
        <w:rPr>
          <w:lang w:val="ka-GE"/>
        </w:rPr>
        <w:t>18</w:t>
      </w:r>
      <w:r w:rsidRPr="00CC1C25">
        <w:rPr>
          <w:lang w:val="ka-GE"/>
        </w:rPr>
        <w:t xml:space="preserve"> მაისის მდგომარეობით ქვეყანაში რეგისტრირებულია კოვიდ 19-ის </w:t>
      </w:r>
      <w:r w:rsidR="00CF621C" w:rsidRPr="00CC1C25">
        <w:rPr>
          <w:lang w:val="ka-GE"/>
        </w:rPr>
        <w:t>701</w:t>
      </w:r>
      <w:r w:rsidRPr="00CC1C25">
        <w:rPr>
          <w:lang w:val="ka-GE"/>
        </w:rPr>
        <w:t xml:space="preserve"> შემთხვევა. გამოჯანმრთელდა </w:t>
      </w:r>
      <w:r w:rsidR="00CF621C" w:rsidRPr="00CC1C25">
        <w:rPr>
          <w:lang w:val="ka-GE"/>
        </w:rPr>
        <w:t>432</w:t>
      </w:r>
      <w:r w:rsidRPr="00CC1C25">
        <w:rPr>
          <w:lang w:val="ka-GE"/>
        </w:rPr>
        <w:t xml:space="preserve">, ხოლო გარდაიცვალა 12 </w:t>
      </w:r>
      <w:r w:rsidRPr="00932B47">
        <w:rPr>
          <w:lang w:val="ka-GE"/>
        </w:rPr>
        <w:t>(ლეტალობის მაჩვენებელი 1.73%)</w:t>
      </w:r>
    </w:p>
    <w:p w14:paraId="664A3057" w14:textId="3FD8FAEC" w:rsidR="00441F2C" w:rsidRPr="00CC1C25" w:rsidRDefault="00441F2C" w:rsidP="002C7719">
      <w:pPr>
        <w:spacing w:line="276" w:lineRule="auto"/>
        <w:jc w:val="both"/>
        <w:rPr>
          <w:lang w:val="ka-GE"/>
        </w:rPr>
      </w:pPr>
      <w:r w:rsidRPr="00CC1C25">
        <w:rPr>
          <w:lang w:val="ka-GE"/>
        </w:rPr>
        <w:t>სულ ჯამში 30.01.2020</w:t>
      </w:r>
      <w:r w:rsidRPr="00CC1C25">
        <w:t>-</w:t>
      </w:r>
      <w:r w:rsidRPr="00CC1C25">
        <w:rPr>
          <w:lang w:val="ka-GE"/>
        </w:rPr>
        <w:t xml:space="preserve">დან დღემდე გამოკვლეულია </w:t>
      </w:r>
      <w:r w:rsidRPr="00CC1C25">
        <w:rPr>
          <w:bCs/>
        </w:rPr>
        <w:t>38961</w:t>
      </w:r>
      <w:r w:rsidRPr="00CC1C25">
        <w:rPr>
          <w:bCs/>
          <w:lang w:val="ka-GE"/>
        </w:rPr>
        <w:t xml:space="preserve"> </w:t>
      </w:r>
      <w:r w:rsidRPr="00CC1C25">
        <w:rPr>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CC1C25">
        <w:rPr>
          <w:lang w:val="en-US"/>
        </w:rPr>
        <w:t xml:space="preserve"> </w:t>
      </w:r>
      <w:r w:rsidRPr="00CC1C25">
        <w:rPr>
          <w:lang w:val="ka-GE"/>
        </w:rPr>
        <w:t>რომ ქვეყანაში შემთხვევების გამოვლენის ხარისხი საკმაოდ მაღალია</w:t>
      </w:r>
      <w:r w:rsidR="000E0C7D" w:rsidRPr="00CC1C25">
        <w:rPr>
          <w:lang w:val="ka-GE"/>
        </w:rPr>
        <w:t xml:space="preserve"> და იმის ალბათობა, რომ შემთხვევების დროული გამოვლენა ვერ ხდება დაბალია. </w:t>
      </w:r>
    </w:p>
    <w:p w14:paraId="021F0DA0" w14:textId="7EFCD63B" w:rsidR="00BA064D" w:rsidRPr="00CC1C25" w:rsidRDefault="00BA064D" w:rsidP="002C7719">
      <w:pPr>
        <w:spacing w:line="276" w:lineRule="auto"/>
        <w:jc w:val="both"/>
        <w:rPr>
          <w:lang w:val="ka-GE"/>
        </w:rPr>
      </w:pPr>
      <w:r w:rsidRPr="00CC1C25">
        <w:rPr>
          <w:lang w:val="ka-GE"/>
        </w:rPr>
        <w:t>იხილეთ ცხრილი 1 კოვიდ 19-ის შემთხვევების ზოგადი სტატისტიკური მაჩვენებლებისთვის</w:t>
      </w:r>
      <w:r w:rsidR="00CF621C" w:rsidRPr="00CC1C25">
        <w:rPr>
          <w:lang w:val="ka-GE"/>
        </w:rPr>
        <w:t xml:space="preserve"> </w:t>
      </w:r>
    </w:p>
    <w:p w14:paraId="392CD834" w14:textId="77777777" w:rsidR="00CF621C" w:rsidRPr="00CC1C25" w:rsidRDefault="00CF621C" w:rsidP="002C7719">
      <w:pPr>
        <w:pStyle w:val="ListParagraph"/>
        <w:numPr>
          <w:ilvl w:val="0"/>
          <w:numId w:val="7"/>
        </w:numPr>
        <w:spacing w:after="240" w:line="276" w:lineRule="auto"/>
        <w:jc w:val="both"/>
        <w:rPr>
          <w:rFonts w:ascii="Sylfaen" w:hAnsi="Sylfaen"/>
          <w:lang w:val="ka-GE"/>
        </w:rPr>
      </w:pPr>
      <w:r w:rsidRPr="00CC1C25">
        <w:rPr>
          <w:rFonts w:ascii="Sylfaen" w:hAnsi="Sylfaen"/>
          <w:lang w:val="ka-GE"/>
        </w:rPr>
        <w:lastRenderedPageBreak/>
        <w:t>გაანალიზებული 500 შემთხვევიდან 257 (51%) იყო ქალი და 243 (49%) კაცი, შემდეგი ასაკობრივი გადანაწილებით:</w:t>
      </w:r>
    </w:p>
    <w:tbl>
      <w:tblPr>
        <w:tblStyle w:val="TableGrid"/>
        <w:tblW w:w="0" w:type="auto"/>
        <w:jc w:val="center"/>
        <w:tblLook w:val="04E0" w:firstRow="1" w:lastRow="1" w:firstColumn="1" w:lastColumn="0" w:noHBand="0" w:noVBand="1"/>
      </w:tblPr>
      <w:tblGrid>
        <w:gridCol w:w="3424"/>
        <w:gridCol w:w="2520"/>
        <w:gridCol w:w="1701"/>
      </w:tblGrid>
      <w:tr w:rsidR="00CF621C" w:rsidRPr="00CC1C25" w14:paraId="6FE3B6A9" w14:textId="77777777" w:rsidTr="0002616D">
        <w:trPr>
          <w:trHeight w:val="350"/>
          <w:jc w:val="center"/>
        </w:trPr>
        <w:tc>
          <w:tcPr>
            <w:tcW w:w="3424" w:type="dxa"/>
            <w:shd w:val="clear" w:color="auto" w:fill="auto"/>
            <w:vAlign w:val="center"/>
          </w:tcPr>
          <w:p w14:paraId="086F122B" w14:textId="77777777" w:rsidR="00CF621C" w:rsidRPr="00CC1C25" w:rsidRDefault="00CF621C" w:rsidP="002C7719">
            <w:pPr>
              <w:spacing w:line="276" w:lineRule="auto"/>
              <w:jc w:val="center"/>
              <w:rPr>
                <w:rStyle w:val="tlid-translation"/>
                <w:rFonts w:cstheme="minorHAnsi"/>
                <w:b/>
                <w:lang w:val="ka-GE"/>
              </w:rPr>
            </w:pPr>
            <w:r w:rsidRPr="00CC1C25">
              <w:rPr>
                <w:rStyle w:val="tlid-translation"/>
                <w:rFonts w:cs="Sylfaen"/>
                <w:b/>
                <w:lang w:val="ka-GE"/>
              </w:rPr>
              <w:t>ასაკობრივი</w:t>
            </w:r>
            <w:r w:rsidRPr="00CC1C25">
              <w:rPr>
                <w:rStyle w:val="tlid-translation"/>
                <w:rFonts w:cstheme="minorHAnsi"/>
                <w:b/>
                <w:lang w:val="ka-GE"/>
              </w:rPr>
              <w:t xml:space="preserve"> </w:t>
            </w:r>
            <w:r w:rsidRPr="00CC1C25">
              <w:rPr>
                <w:rStyle w:val="tlid-translation"/>
                <w:rFonts w:cs="Sylfaen"/>
                <w:b/>
                <w:lang w:val="ka-GE"/>
              </w:rPr>
              <w:t>ჯგუფები</w:t>
            </w:r>
          </w:p>
        </w:tc>
        <w:tc>
          <w:tcPr>
            <w:tcW w:w="2520" w:type="dxa"/>
            <w:shd w:val="clear" w:color="auto" w:fill="auto"/>
          </w:tcPr>
          <w:p w14:paraId="2818B5D8" w14:textId="77777777" w:rsidR="00CF621C" w:rsidRPr="00CC1C25" w:rsidRDefault="00CF621C" w:rsidP="002C7719">
            <w:pPr>
              <w:spacing w:line="276" w:lineRule="auto"/>
              <w:jc w:val="center"/>
              <w:rPr>
                <w:rStyle w:val="tlid-translation"/>
                <w:rFonts w:cstheme="minorHAnsi"/>
                <w:b/>
                <w:lang w:val="ka-GE"/>
              </w:rPr>
            </w:pPr>
            <w:r w:rsidRPr="00CC1C25">
              <w:rPr>
                <w:rStyle w:val="tlid-translation"/>
                <w:rFonts w:cs="Sylfaen"/>
                <w:b/>
                <w:lang w:val="ka-GE"/>
              </w:rPr>
              <w:t>რაოდენობა</w:t>
            </w:r>
            <w:r w:rsidRPr="00CC1C25">
              <w:rPr>
                <w:rStyle w:val="tlid-translation"/>
                <w:rFonts w:cstheme="minorHAnsi"/>
                <w:b/>
                <w:lang w:val="ka-GE"/>
              </w:rPr>
              <w:t xml:space="preserve"> </w:t>
            </w:r>
          </w:p>
        </w:tc>
        <w:tc>
          <w:tcPr>
            <w:tcW w:w="1701" w:type="dxa"/>
            <w:shd w:val="clear" w:color="auto" w:fill="auto"/>
          </w:tcPr>
          <w:p w14:paraId="5704D81D" w14:textId="77777777" w:rsidR="00CF621C" w:rsidRPr="00CC1C25" w:rsidRDefault="00CF621C" w:rsidP="002C7719">
            <w:pPr>
              <w:spacing w:line="276" w:lineRule="auto"/>
              <w:jc w:val="center"/>
              <w:rPr>
                <w:rStyle w:val="tlid-translation"/>
                <w:rFonts w:cstheme="minorHAnsi"/>
                <w:b/>
                <w:lang w:val="ka-GE"/>
              </w:rPr>
            </w:pPr>
            <w:r w:rsidRPr="00CC1C25">
              <w:rPr>
                <w:rStyle w:val="tlid-translation"/>
                <w:rFonts w:cstheme="minorHAnsi"/>
                <w:b/>
                <w:lang w:val="ka-GE"/>
              </w:rPr>
              <w:t>%</w:t>
            </w:r>
          </w:p>
        </w:tc>
      </w:tr>
      <w:tr w:rsidR="00CF621C" w:rsidRPr="00CC1C25" w14:paraId="2A55D35F" w14:textId="77777777" w:rsidTr="0002616D">
        <w:trPr>
          <w:jc w:val="center"/>
        </w:trPr>
        <w:tc>
          <w:tcPr>
            <w:tcW w:w="3424" w:type="dxa"/>
            <w:shd w:val="clear" w:color="auto" w:fill="auto"/>
            <w:vAlign w:val="center"/>
          </w:tcPr>
          <w:p w14:paraId="0DE36157" w14:textId="77777777" w:rsidR="00CF621C" w:rsidRPr="00CC1C25" w:rsidRDefault="00CF621C" w:rsidP="002C7719">
            <w:pPr>
              <w:spacing w:line="276" w:lineRule="auto"/>
              <w:jc w:val="center"/>
              <w:rPr>
                <w:rFonts w:cs="Calibri"/>
                <w:color w:val="000000"/>
              </w:rPr>
            </w:pPr>
            <w:r w:rsidRPr="00CC1C25">
              <w:rPr>
                <w:rFonts w:cs="Calibri"/>
                <w:color w:val="000000"/>
              </w:rPr>
              <w:t>0-14</w:t>
            </w:r>
          </w:p>
        </w:tc>
        <w:tc>
          <w:tcPr>
            <w:tcW w:w="2520" w:type="dxa"/>
            <w:vAlign w:val="center"/>
          </w:tcPr>
          <w:p w14:paraId="671A0877" w14:textId="77777777" w:rsidR="00CF621C" w:rsidRPr="00CC1C25" w:rsidRDefault="00CF621C" w:rsidP="002C7719">
            <w:pPr>
              <w:spacing w:line="276" w:lineRule="auto"/>
              <w:jc w:val="center"/>
              <w:rPr>
                <w:rFonts w:cs="Calibri"/>
                <w:color w:val="000000"/>
              </w:rPr>
            </w:pPr>
            <w:r w:rsidRPr="00CC1C25">
              <w:rPr>
                <w:rFonts w:cs="Calibri"/>
                <w:color w:val="000000"/>
              </w:rPr>
              <w:t>43</w:t>
            </w:r>
            <w:r w:rsidRPr="00CC1C25">
              <w:rPr>
                <w:rFonts w:cs="Calibri"/>
                <w:color w:val="000000"/>
                <w:lang w:val="ka-GE"/>
              </w:rPr>
              <w:t xml:space="preserve"> </w:t>
            </w:r>
          </w:p>
        </w:tc>
        <w:tc>
          <w:tcPr>
            <w:tcW w:w="1701" w:type="dxa"/>
          </w:tcPr>
          <w:p w14:paraId="6CC3B078" w14:textId="77777777" w:rsidR="00CF621C" w:rsidRPr="00CC1C25" w:rsidRDefault="00CF621C" w:rsidP="002C7719">
            <w:pPr>
              <w:spacing w:line="276" w:lineRule="auto"/>
              <w:jc w:val="center"/>
              <w:rPr>
                <w:rFonts w:cs="Calibri"/>
                <w:color w:val="000000"/>
              </w:rPr>
            </w:pPr>
            <w:r w:rsidRPr="00CC1C25">
              <w:rPr>
                <w:rFonts w:cs="Calibri"/>
                <w:color w:val="000000"/>
                <w:lang w:val="ka-GE"/>
              </w:rPr>
              <w:t>9%</w:t>
            </w:r>
          </w:p>
        </w:tc>
      </w:tr>
      <w:tr w:rsidR="00CF621C" w:rsidRPr="00CC1C25" w14:paraId="5452F23B" w14:textId="77777777" w:rsidTr="0002616D">
        <w:trPr>
          <w:jc w:val="center"/>
        </w:trPr>
        <w:tc>
          <w:tcPr>
            <w:tcW w:w="3424" w:type="dxa"/>
            <w:shd w:val="clear" w:color="auto" w:fill="auto"/>
            <w:vAlign w:val="center"/>
          </w:tcPr>
          <w:p w14:paraId="399AAD04" w14:textId="77777777" w:rsidR="00CF621C" w:rsidRPr="00CC1C25" w:rsidRDefault="00CF621C" w:rsidP="002C7719">
            <w:pPr>
              <w:spacing w:line="276" w:lineRule="auto"/>
              <w:jc w:val="center"/>
              <w:rPr>
                <w:rStyle w:val="tlid-translation"/>
                <w:rFonts w:cstheme="minorHAnsi"/>
                <w:highlight w:val="yellow"/>
                <w:lang w:val="ka-GE"/>
              </w:rPr>
            </w:pPr>
            <w:r w:rsidRPr="00CC1C25">
              <w:rPr>
                <w:rFonts w:cs="Calibri"/>
                <w:color w:val="000000"/>
              </w:rPr>
              <w:t>15-19</w:t>
            </w:r>
          </w:p>
        </w:tc>
        <w:tc>
          <w:tcPr>
            <w:tcW w:w="2520" w:type="dxa"/>
            <w:vAlign w:val="center"/>
          </w:tcPr>
          <w:p w14:paraId="7DEC538F" w14:textId="77777777" w:rsidR="00CF621C" w:rsidRPr="00CC1C25" w:rsidRDefault="00CF621C" w:rsidP="002C7719">
            <w:pPr>
              <w:spacing w:line="276" w:lineRule="auto"/>
              <w:jc w:val="center"/>
              <w:rPr>
                <w:rStyle w:val="tlid-translation"/>
                <w:rFonts w:cstheme="minorHAnsi"/>
                <w:lang w:val="ka-GE"/>
              </w:rPr>
            </w:pPr>
            <w:r w:rsidRPr="00CC1C25">
              <w:rPr>
                <w:rFonts w:cs="Calibri"/>
                <w:color w:val="000000"/>
              </w:rPr>
              <w:t>27</w:t>
            </w:r>
            <w:r w:rsidRPr="00CC1C25">
              <w:rPr>
                <w:rFonts w:cs="Calibri"/>
                <w:color w:val="000000"/>
                <w:lang w:val="ka-GE"/>
              </w:rPr>
              <w:t xml:space="preserve"> </w:t>
            </w:r>
          </w:p>
        </w:tc>
        <w:tc>
          <w:tcPr>
            <w:tcW w:w="1701" w:type="dxa"/>
          </w:tcPr>
          <w:p w14:paraId="6E4E7E5F" w14:textId="77777777" w:rsidR="00CF621C" w:rsidRPr="00CC1C25" w:rsidRDefault="00CF621C" w:rsidP="002C7719">
            <w:pPr>
              <w:spacing w:line="276" w:lineRule="auto"/>
              <w:jc w:val="center"/>
              <w:rPr>
                <w:rFonts w:cs="Calibri"/>
                <w:color w:val="000000"/>
              </w:rPr>
            </w:pPr>
            <w:r w:rsidRPr="00CC1C25">
              <w:rPr>
                <w:rFonts w:cs="Calibri"/>
                <w:color w:val="000000"/>
                <w:lang w:val="ka-GE"/>
              </w:rPr>
              <w:t>5%</w:t>
            </w:r>
          </w:p>
        </w:tc>
      </w:tr>
      <w:tr w:rsidR="00CF621C" w:rsidRPr="00CC1C25" w14:paraId="09A46221" w14:textId="77777777" w:rsidTr="0002616D">
        <w:trPr>
          <w:jc w:val="center"/>
        </w:trPr>
        <w:tc>
          <w:tcPr>
            <w:tcW w:w="3424" w:type="dxa"/>
            <w:shd w:val="clear" w:color="auto" w:fill="auto"/>
            <w:vAlign w:val="center"/>
          </w:tcPr>
          <w:p w14:paraId="0D2394AF" w14:textId="77777777" w:rsidR="00CF621C" w:rsidRPr="00CC1C25" w:rsidRDefault="00CF621C" w:rsidP="002C7719">
            <w:pPr>
              <w:spacing w:line="276" w:lineRule="auto"/>
              <w:jc w:val="center"/>
              <w:rPr>
                <w:rStyle w:val="tlid-translation"/>
                <w:rFonts w:cstheme="minorHAnsi"/>
                <w:highlight w:val="yellow"/>
                <w:lang w:val="ka-GE"/>
              </w:rPr>
            </w:pPr>
            <w:r w:rsidRPr="00CC1C25">
              <w:rPr>
                <w:rFonts w:cs="Calibri"/>
                <w:color w:val="000000"/>
              </w:rPr>
              <w:t>20-29</w:t>
            </w:r>
          </w:p>
        </w:tc>
        <w:tc>
          <w:tcPr>
            <w:tcW w:w="2520" w:type="dxa"/>
            <w:vAlign w:val="center"/>
          </w:tcPr>
          <w:p w14:paraId="290BA97C" w14:textId="77777777" w:rsidR="00CF621C" w:rsidRPr="00CC1C25" w:rsidRDefault="00CF621C" w:rsidP="002C7719">
            <w:pPr>
              <w:spacing w:line="276" w:lineRule="auto"/>
              <w:jc w:val="center"/>
              <w:rPr>
                <w:rStyle w:val="tlid-translation"/>
                <w:rFonts w:cstheme="minorHAnsi"/>
                <w:lang w:val="ka-GE"/>
              </w:rPr>
            </w:pPr>
            <w:r w:rsidRPr="00CC1C25">
              <w:rPr>
                <w:rFonts w:cs="Calibri"/>
                <w:color w:val="000000"/>
              </w:rPr>
              <w:t>70</w:t>
            </w:r>
            <w:r w:rsidRPr="00CC1C25">
              <w:rPr>
                <w:rFonts w:cs="Calibri"/>
                <w:color w:val="000000"/>
                <w:lang w:val="ka-GE"/>
              </w:rPr>
              <w:t xml:space="preserve"> </w:t>
            </w:r>
          </w:p>
        </w:tc>
        <w:tc>
          <w:tcPr>
            <w:tcW w:w="1701" w:type="dxa"/>
          </w:tcPr>
          <w:p w14:paraId="3F71BE75" w14:textId="77777777" w:rsidR="00CF621C" w:rsidRPr="00CC1C25" w:rsidRDefault="00CF621C" w:rsidP="002C7719">
            <w:pPr>
              <w:spacing w:line="276" w:lineRule="auto"/>
              <w:jc w:val="center"/>
              <w:rPr>
                <w:rFonts w:cs="Calibri"/>
                <w:color w:val="000000"/>
              </w:rPr>
            </w:pPr>
            <w:r w:rsidRPr="00CC1C25">
              <w:rPr>
                <w:rFonts w:cs="Calibri"/>
                <w:color w:val="000000"/>
                <w:lang w:val="ka-GE"/>
              </w:rPr>
              <w:t>14%</w:t>
            </w:r>
          </w:p>
        </w:tc>
      </w:tr>
      <w:tr w:rsidR="00CF621C" w:rsidRPr="00CC1C25" w14:paraId="766329EA" w14:textId="77777777" w:rsidTr="0002616D">
        <w:trPr>
          <w:jc w:val="center"/>
        </w:trPr>
        <w:tc>
          <w:tcPr>
            <w:tcW w:w="3424" w:type="dxa"/>
            <w:shd w:val="clear" w:color="auto" w:fill="auto"/>
            <w:vAlign w:val="center"/>
          </w:tcPr>
          <w:p w14:paraId="02553461" w14:textId="77777777" w:rsidR="00CF621C" w:rsidRPr="00CC1C25" w:rsidRDefault="00CF621C" w:rsidP="002C7719">
            <w:pPr>
              <w:spacing w:line="276" w:lineRule="auto"/>
              <w:jc w:val="center"/>
              <w:rPr>
                <w:rStyle w:val="tlid-translation"/>
                <w:rFonts w:cstheme="minorHAnsi"/>
                <w:highlight w:val="yellow"/>
                <w:lang w:val="ka-GE"/>
              </w:rPr>
            </w:pPr>
            <w:r w:rsidRPr="00CC1C25">
              <w:rPr>
                <w:rFonts w:cs="Calibri"/>
                <w:color w:val="000000"/>
              </w:rPr>
              <w:t>30-69</w:t>
            </w:r>
          </w:p>
        </w:tc>
        <w:tc>
          <w:tcPr>
            <w:tcW w:w="2520" w:type="dxa"/>
            <w:vAlign w:val="center"/>
          </w:tcPr>
          <w:p w14:paraId="19C71D0C" w14:textId="77777777" w:rsidR="00CF621C" w:rsidRPr="00CC1C25" w:rsidRDefault="00CF621C" w:rsidP="002C7719">
            <w:pPr>
              <w:spacing w:line="276" w:lineRule="auto"/>
              <w:jc w:val="center"/>
              <w:rPr>
                <w:rStyle w:val="tlid-translation"/>
                <w:rFonts w:cstheme="minorHAnsi"/>
                <w:lang w:val="ka-GE"/>
              </w:rPr>
            </w:pPr>
            <w:r w:rsidRPr="00CC1C25">
              <w:rPr>
                <w:rFonts w:cs="Calibri"/>
                <w:color w:val="000000"/>
              </w:rPr>
              <w:t>318</w:t>
            </w:r>
            <w:r w:rsidRPr="00CC1C25">
              <w:rPr>
                <w:rFonts w:cs="Calibri"/>
                <w:color w:val="000000"/>
                <w:lang w:val="ka-GE"/>
              </w:rPr>
              <w:t xml:space="preserve"> </w:t>
            </w:r>
          </w:p>
        </w:tc>
        <w:tc>
          <w:tcPr>
            <w:tcW w:w="1701" w:type="dxa"/>
          </w:tcPr>
          <w:p w14:paraId="06B2047F" w14:textId="77777777" w:rsidR="00CF621C" w:rsidRPr="00CC1C25" w:rsidRDefault="00CF621C" w:rsidP="002C7719">
            <w:pPr>
              <w:spacing w:line="276" w:lineRule="auto"/>
              <w:jc w:val="center"/>
              <w:rPr>
                <w:rFonts w:cs="Calibri"/>
                <w:color w:val="000000"/>
              </w:rPr>
            </w:pPr>
            <w:r w:rsidRPr="00CC1C25">
              <w:rPr>
                <w:rFonts w:cs="Calibri"/>
                <w:color w:val="000000"/>
                <w:lang w:val="ka-GE"/>
              </w:rPr>
              <w:t>64%</w:t>
            </w:r>
          </w:p>
        </w:tc>
      </w:tr>
      <w:tr w:rsidR="00CF621C" w:rsidRPr="00CC1C25" w14:paraId="0E633C9D" w14:textId="77777777" w:rsidTr="0002616D">
        <w:trPr>
          <w:jc w:val="center"/>
        </w:trPr>
        <w:tc>
          <w:tcPr>
            <w:tcW w:w="3424" w:type="dxa"/>
            <w:shd w:val="clear" w:color="auto" w:fill="auto"/>
            <w:vAlign w:val="center"/>
          </w:tcPr>
          <w:p w14:paraId="554BF589" w14:textId="77777777" w:rsidR="00CF621C" w:rsidRPr="00CC1C25" w:rsidRDefault="00CF621C" w:rsidP="002C7719">
            <w:pPr>
              <w:spacing w:line="276" w:lineRule="auto"/>
              <w:jc w:val="center"/>
              <w:rPr>
                <w:rStyle w:val="tlid-translation"/>
                <w:rFonts w:cstheme="minorHAnsi"/>
                <w:highlight w:val="yellow"/>
                <w:lang w:val="ka-GE"/>
              </w:rPr>
            </w:pPr>
            <w:r w:rsidRPr="00CC1C25">
              <w:rPr>
                <w:rFonts w:cs="Calibri"/>
                <w:color w:val="000000"/>
              </w:rPr>
              <w:t>70+</w:t>
            </w:r>
          </w:p>
        </w:tc>
        <w:tc>
          <w:tcPr>
            <w:tcW w:w="2520" w:type="dxa"/>
            <w:vAlign w:val="center"/>
          </w:tcPr>
          <w:p w14:paraId="5E17689A" w14:textId="77777777" w:rsidR="00CF621C" w:rsidRPr="00CC1C25" w:rsidRDefault="00CF621C" w:rsidP="002C7719">
            <w:pPr>
              <w:spacing w:line="276" w:lineRule="auto"/>
              <w:jc w:val="center"/>
              <w:rPr>
                <w:rStyle w:val="tlid-translation"/>
                <w:rFonts w:cstheme="minorHAnsi"/>
                <w:lang w:val="ka-GE"/>
              </w:rPr>
            </w:pPr>
            <w:r w:rsidRPr="00CC1C25">
              <w:rPr>
                <w:rFonts w:cs="Calibri"/>
                <w:color w:val="000000"/>
              </w:rPr>
              <w:t>42</w:t>
            </w:r>
            <w:r w:rsidRPr="00CC1C25">
              <w:rPr>
                <w:rFonts w:cs="Calibri"/>
                <w:color w:val="000000"/>
                <w:lang w:val="ka-GE"/>
              </w:rPr>
              <w:t xml:space="preserve"> </w:t>
            </w:r>
          </w:p>
        </w:tc>
        <w:tc>
          <w:tcPr>
            <w:tcW w:w="1701" w:type="dxa"/>
          </w:tcPr>
          <w:p w14:paraId="4314C1FF" w14:textId="77777777" w:rsidR="00CF621C" w:rsidRPr="00CC1C25" w:rsidRDefault="00CF621C" w:rsidP="002C7719">
            <w:pPr>
              <w:spacing w:line="276" w:lineRule="auto"/>
              <w:jc w:val="center"/>
              <w:rPr>
                <w:rFonts w:cs="Calibri"/>
                <w:color w:val="000000"/>
              </w:rPr>
            </w:pPr>
            <w:r w:rsidRPr="00CC1C25">
              <w:rPr>
                <w:rFonts w:cs="Calibri"/>
                <w:color w:val="000000"/>
                <w:lang w:val="ka-GE"/>
              </w:rPr>
              <w:t>8%</w:t>
            </w:r>
          </w:p>
        </w:tc>
      </w:tr>
      <w:tr w:rsidR="00CF621C" w:rsidRPr="00CC1C25" w14:paraId="5DC275D6" w14:textId="77777777" w:rsidTr="0002616D">
        <w:trPr>
          <w:jc w:val="center"/>
        </w:trPr>
        <w:tc>
          <w:tcPr>
            <w:tcW w:w="3424" w:type="dxa"/>
            <w:shd w:val="clear" w:color="auto" w:fill="auto"/>
            <w:vAlign w:val="center"/>
          </w:tcPr>
          <w:p w14:paraId="101918DF" w14:textId="77777777" w:rsidR="00CF621C" w:rsidRPr="00CC1C25" w:rsidRDefault="00CF621C" w:rsidP="002C7719">
            <w:pPr>
              <w:spacing w:line="276" w:lineRule="auto"/>
              <w:jc w:val="center"/>
              <w:rPr>
                <w:rStyle w:val="tlid-translation"/>
                <w:rFonts w:cstheme="minorHAnsi"/>
                <w:b/>
                <w:highlight w:val="lightGray"/>
                <w:lang w:val="ka-GE"/>
              </w:rPr>
            </w:pPr>
            <w:r w:rsidRPr="00CC1C25">
              <w:rPr>
                <w:rStyle w:val="tlid-translation"/>
                <w:rFonts w:cs="Sylfaen"/>
                <w:b/>
                <w:lang w:val="ka-GE"/>
              </w:rPr>
              <w:t>სულ</w:t>
            </w:r>
          </w:p>
        </w:tc>
        <w:tc>
          <w:tcPr>
            <w:tcW w:w="2520" w:type="dxa"/>
            <w:vAlign w:val="center"/>
          </w:tcPr>
          <w:p w14:paraId="2DDBE194" w14:textId="77777777" w:rsidR="00CF621C" w:rsidRPr="00CC1C25" w:rsidRDefault="00CF621C" w:rsidP="002C7719">
            <w:pPr>
              <w:spacing w:line="276" w:lineRule="auto"/>
              <w:jc w:val="center"/>
              <w:rPr>
                <w:rStyle w:val="tlid-translation"/>
                <w:rFonts w:cstheme="minorHAnsi"/>
                <w:b/>
                <w:highlight w:val="lightGray"/>
                <w:lang w:val="ka-GE"/>
              </w:rPr>
            </w:pPr>
            <w:r w:rsidRPr="00CC1C25">
              <w:rPr>
                <w:rFonts w:cs="Calibri"/>
                <w:b/>
                <w:color w:val="000000"/>
              </w:rPr>
              <w:t>500</w:t>
            </w:r>
            <w:r w:rsidRPr="00CC1C25">
              <w:rPr>
                <w:rFonts w:cs="Calibri"/>
                <w:b/>
                <w:color w:val="000000"/>
                <w:lang w:val="ka-GE"/>
              </w:rPr>
              <w:t xml:space="preserve"> </w:t>
            </w:r>
          </w:p>
        </w:tc>
        <w:tc>
          <w:tcPr>
            <w:tcW w:w="1701" w:type="dxa"/>
          </w:tcPr>
          <w:p w14:paraId="6769B7F1" w14:textId="77777777" w:rsidR="00CF621C" w:rsidRPr="00CC1C25" w:rsidRDefault="00CF621C" w:rsidP="002C7719">
            <w:pPr>
              <w:spacing w:line="276" w:lineRule="auto"/>
              <w:jc w:val="center"/>
              <w:rPr>
                <w:rFonts w:cs="Calibri"/>
                <w:b/>
                <w:color w:val="000000"/>
              </w:rPr>
            </w:pPr>
            <w:r w:rsidRPr="00CC1C25">
              <w:rPr>
                <w:rFonts w:cs="Calibri"/>
                <w:b/>
                <w:color w:val="000000"/>
                <w:lang w:val="ka-GE"/>
              </w:rPr>
              <w:t>100%</w:t>
            </w:r>
          </w:p>
        </w:tc>
      </w:tr>
    </w:tbl>
    <w:p w14:paraId="082F720E" w14:textId="77777777" w:rsidR="00CF621C" w:rsidRPr="00CC1C25" w:rsidRDefault="00CF621C" w:rsidP="002C7719">
      <w:pPr>
        <w:pStyle w:val="ListParagraph"/>
        <w:spacing w:after="240" w:line="276" w:lineRule="auto"/>
        <w:ind w:left="1440"/>
        <w:jc w:val="both"/>
        <w:rPr>
          <w:rFonts w:ascii="Sylfaen" w:hAnsi="Sylfaen"/>
        </w:rPr>
      </w:pPr>
    </w:p>
    <w:p w14:paraId="1F37385D" w14:textId="77777777" w:rsidR="00CF621C" w:rsidRPr="00CC1C25" w:rsidRDefault="00CF621C" w:rsidP="002C7719">
      <w:pPr>
        <w:pStyle w:val="ListParagraph"/>
        <w:numPr>
          <w:ilvl w:val="0"/>
          <w:numId w:val="9"/>
        </w:numPr>
        <w:spacing w:after="240" w:line="276" w:lineRule="auto"/>
        <w:jc w:val="both"/>
        <w:rPr>
          <w:rFonts w:ascii="Sylfaen" w:hAnsi="Sylfaen"/>
          <w:lang w:val="ka-GE"/>
        </w:rPr>
      </w:pPr>
      <w:r w:rsidRPr="00CC1C25">
        <w:rPr>
          <w:rFonts w:ascii="Sylfaen" w:hAnsi="Sylfaen"/>
          <w:lang w:val="ka-GE"/>
        </w:rPr>
        <w:t xml:space="preserve">შემთხვევებიდან </w:t>
      </w:r>
      <w:r w:rsidRPr="00CC1C25">
        <w:rPr>
          <w:rFonts w:ascii="Sylfaen" w:hAnsi="Sylfaen"/>
        </w:rPr>
        <w:t>89 (13%) იყო მძიმე და 26 (4%) კრიტიკული, სადაც</w:t>
      </w:r>
      <w:r w:rsidRPr="00CC1C25">
        <w:rPr>
          <w:rFonts w:ascii="Sylfaen" w:hAnsi="Sylfaen"/>
          <w:lang w:val="ka-GE"/>
        </w:rPr>
        <w:t xml:space="preserve"> </w:t>
      </w:r>
      <w:r w:rsidRPr="00CC1C25">
        <w:rPr>
          <w:rFonts w:ascii="Sylfaen" w:hAnsi="Sylfaen"/>
        </w:rPr>
        <w:t>მძიმე შემთხვევებიდან 39 (44%) იყო კაცი, ხოლო 50 (56%) ქალი. კრიტიკული შემთხვევები</w:t>
      </w:r>
      <w:r w:rsidRPr="00CC1C25">
        <w:rPr>
          <w:rFonts w:ascii="Sylfaen" w:hAnsi="Sylfaen"/>
          <w:lang w:val="ka-GE"/>
        </w:rPr>
        <w:t>დან</w:t>
      </w:r>
      <w:r w:rsidRPr="00CC1C25">
        <w:rPr>
          <w:rFonts w:ascii="Sylfaen" w:hAnsi="Sylfaen"/>
        </w:rPr>
        <w:t xml:space="preserve"> 11 (42%)</w:t>
      </w:r>
      <w:r w:rsidRPr="00CC1C25">
        <w:rPr>
          <w:rFonts w:ascii="Sylfaen" w:hAnsi="Sylfaen"/>
          <w:lang w:val="ka-GE"/>
        </w:rPr>
        <w:t xml:space="preserve"> იყო კაცი</w:t>
      </w:r>
      <w:r w:rsidRPr="00CC1C25">
        <w:rPr>
          <w:rFonts w:ascii="Sylfaen" w:hAnsi="Sylfaen"/>
        </w:rPr>
        <w:t xml:space="preserve"> და 15 (58%)</w:t>
      </w:r>
      <w:r w:rsidRPr="00CC1C25">
        <w:rPr>
          <w:rFonts w:ascii="Sylfaen" w:hAnsi="Sylfaen"/>
          <w:lang w:val="ka-GE"/>
        </w:rPr>
        <w:t xml:space="preserve"> ქალი</w:t>
      </w:r>
    </w:p>
    <w:p w14:paraId="247A00E2" w14:textId="77777777" w:rsidR="00CF621C" w:rsidRPr="00CC1C25" w:rsidRDefault="00CF621C" w:rsidP="002C7719">
      <w:pPr>
        <w:pStyle w:val="ListParagraph"/>
        <w:numPr>
          <w:ilvl w:val="0"/>
          <w:numId w:val="9"/>
        </w:numPr>
        <w:spacing w:after="0" w:line="276" w:lineRule="auto"/>
        <w:rPr>
          <w:rFonts w:ascii="Sylfaen" w:hAnsi="Sylfaen"/>
        </w:rPr>
      </w:pPr>
      <w:r w:rsidRPr="00CC1C25">
        <w:rPr>
          <w:rFonts w:ascii="Sylfaen" w:hAnsi="Sylfaen"/>
        </w:rPr>
        <w:t xml:space="preserve">გაანალიზებული </w:t>
      </w:r>
      <w:r w:rsidRPr="00CC1C25">
        <w:rPr>
          <w:rFonts w:ascii="Sylfaen" w:hAnsi="Sylfaen"/>
          <w:lang w:val="ka-GE"/>
        </w:rPr>
        <w:t xml:space="preserve">243 </w:t>
      </w:r>
      <w:r w:rsidRPr="00CC1C25">
        <w:rPr>
          <w:rFonts w:ascii="Sylfaen" w:hAnsi="Sylfaen"/>
        </w:rPr>
        <w:t>გამოჯანმრთელებულთა (გაწერილთა) რაოდენობ</w:t>
      </w:r>
      <w:r w:rsidRPr="00CC1C25">
        <w:rPr>
          <w:rFonts w:ascii="Sylfaen" w:hAnsi="Sylfaen"/>
          <w:lang w:val="ka-GE"/>
        </w:rPr>
        <w:t>იდან</w:t>
      </w:r>
      <w:r w:rsidRPr="00CC1C25">
        <w:rPr>
          <w:rFonts w:ascii="Sylfaen" w:hAnsi="Sylfaen"/>
        </w:rPr>
        <w:t xml:space="preserve"> 119 (49.0%) იყო კაცი</w:t>
      </w:r>
      <w:r w:rsidRPr="00CC1C25">
        <w:rPr>
          <w:rFonts w:ascii="Sylfaen" w:hAnsi="Sylfaen"/>
          <w:lang w:val="ka-GE"/>
        </w:rPr>
        <w:t xml:space="preserve"> და</w:t>
      </w:r>
      <w:r w:rsidRPr="00CC1C25">
        <w:rPr>
          <w:rFonts w:ascii="Sylfaen" w:hAnsi="Sylfaen"/>
        </w:rPr>
        <w:t xml:space="preserve"> 124 (51.0%) ქალი</w:t>
      </w:r>
    </w:p>
    <w:p w14:paraId="7780A14F" w14:textId="77777777" w:rsidR="00CF621C" w:rsidRPr="00CC1C25" w:rsidRDefault="00CF621C" w:rsidP="002C7719">
      <w:pPr>
        <w:spacing w:after="0" w:line="276" w:lineRule="auto"/>
        <w:rPr>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CF621C" w:rsidRPr="00CC1C25" w14:paraId="374E6004" w14:textId="77777777" w:rsidTr="0002616D">
        <w:trPr>
          <w:trHeight w:val="332"/>
        </w:trPr>
        <w:tc>
          <w:tcPr>
            <w:tcW w:w="2560" w:type="dxa"/>
            <w:shd w:val="clear" w:color="auto" w:fill="auto"/>
            <w:vAlign w:val="center"/>
            <w:hideMark/>
          </w:tcPr>
          <w:p w14:paraId="1CB95148" w14:textId="77777777" w:rsidR="00CF621C" w:rsidRPr="00CC1C25" w:rsidRDefault="00CF621C" w:rsidP="002C7719">
            <w:pPr>
              <w:spacing w:after="0" w:line="276" w:lineRule="auto"/>
              <w:jc w:val="center"/>
              <w:rPr>
                <w:rFonts w:eastAsia="Times New Roman" w:cstheme="minorHAnsi"/>
                <w:b/>
                <w:bCs/>
                <w:color w:val="000000"/>
              </w:rPr>
            </w:pPr>
            <w:r w:rsidRPr="00CC1C25">
              <w:rPr>
                <w:rFonts w:eastAsia="Times New Roman" w:cstheme="minorHAnsi"/>
                <w:b/>
                <w:bCs/>
                <w:color w:val="000000"/>
                <w:lang w:val="ka-GE"/>
              </w:rPr>
              <w:t>ასაკობრივი ჯგუფები</w:t>
            </w:r>
          </w:p>
        </w:tc>
        <w:tc>
          <w:tcPr>
            <w:tcW w:w="2040" w:type="dxa"/>
            <w:shd w:val="clear" w:color="auto" w:fill="auto"/>
            <w:vAlign w:val="center"/>
            <w:hideMark/>
          </w:tcPr>
          <w:p w14:paraId="0C6FFB1F" w14:textId="77777777" w:rsidR="00CF621C" w:rsidRPr="00CC1C25" w:rsidRDefault="00CF621C" w:rsidP="002C7719">
            <w:pPr>
              <w:spacing w:after="0" w:line="276" w:lineRule="auto"/>
              <w:jc w:val="center"/>
              <w:rPr>
                <w:rFonts w:eastAsia="Times New Roman" w:cstheme="minorHAnsi"/>
                <w:b/>
                <w:bCs/>
                <w:color w:val="000000"/>
              </w:rPr>
            </w:pPr>
            <w:r w:rsidRPr="00CC1C25">
              <w:rPr>
                <w:rFonts w:eastAsia="Times New Roman" w:cstheme="minorHAnsi"/>
                <w:b/>
                <w:bCs/>
                <w:color w:val="000000"/>
                <w:lang w:val="ka-GE"/>
              </w:rPr>
              <w:t xml:space="preserve">რაოდენობა </w:t>
            </w:r>
          </w:p>
        </w:tc>
        <w:tc>
          <w:tcPr>
            <w:tcW w:w="2040" w:type="dxa"/>
            <w:vAlign w:val="center"/>
          </w:tcPr>
          <w:p w14:paraId="3F017E12" w14:textId="77777777" w:rsidR="00CF621C" w:rsidRPr="00CC1C25" w:rsidRDefault="00CF621C" w:rsidP="002C7719">
            <w:pPr>
              <w:spacing w:after="0" w:line="276" w:lineRule="auto"/>
              <w:jc w:val="center"/>
              <w:rPr>
                <w:rFonts w:eastAsia="Times New Roman" w:cstheme="minorHAnsi"/>
                <w:b/>
                <w:bCs/>
                <w:color w:val="000000"/>
                <w:lang w:val="ka-GE"/>
              </w:rPr>
            </w:pPr>
            <w:r w:rsidRPr="00CC1C25">
              <w:rPr>
                <w:rFonts w:eastAsia="Times New Roman" w:cstheme="minorHAnsi"/>
                <w:b/>
                <w:bCs/>
                <w:color w:val="000000"/>
                <w:lang w:val="ka-GE"/>
              </w:rPr>
              <w:t>%</w:t>
            </w:r>
          </w:p>
        </w:tc>
      </w:tr>
      <w:tr w:rsidR="00CF621C" w:rsidRPr="00CC1C25" w14:paraId="1563B40D" w14:textId="77777777" w:rsidTr="0002616D">
        <w:trPr>
          <w:trHeight w:val="152"/>
        </w:trPr>
        <w:tc>
          <w:tcPr>
            <w:tcW w:w="2560" w:type="dxa"/>
            <w:shd w:val="clear" w:color="auto" w:fill="auto"/>
            <w:vAlign w:val="center"/>
            <w:hideMark/>
          </w:tcPr>
          <w:p w14:paraId="54C64D5F"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0-14</w:t>
            </w:r>
          </w:p>
        </w:tc>
        <w:tc>
          <w:tcPr>
            <w:tcW w:w="2040" w:type="dxa"/>
            <w:shd w:val="clear" w:color="auto" w:fill="auto"/>
            <w:vAlign w:val="center"/>
            <w:hideMark/>
          </w:tcPr>
          <w:p w14:paraId="56932022"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13</w:t>
            </w:r>
          </w:p>
        </w:tc>
        <w:tc>
          <w:tcPr>
            <w:tcW w:w="2040" w:type="dxa"/>
            <w:vAlign w:val="bottom"/>
          </w:tcPr>
          <w:p w14:paraId="6544A465" w14:textId="77777777" w:rsidR="00CF621C" w:rsidRPr="00CC1C25" w:rsidRDefault="00CF621C" w:rsidP="002C7719">
            <w:pPr>
              <w:spacing w:after="0" w:line="276" w:lineRule="auto"/>
              <w:jc w:val="center"/>
              <w:rPr>
                <w:rFonts w:cs="Calibri"/>
                <w:color w:val="000000"/>
              </w:rPr>
            </w:pPr>
            <w:r w:rsidRPr="00CC1C25">
              <w:rPr>
                <w:rFonts w:cs="Calibri"/>
                <w:color w:val="000000"/>
              </w:rPr>
              <w:t>5.3</w:t>
            </w:r>
          </w:p>
        </w:tc>
      </w:tr>
      <w:tr w:rsidR="00CF621C" w:rsidRPr="00CC1C25" w14:paraId="0092CAA3" w14:textId="77777777" w:rsidTr="0002616D">
        <w:trPr>
          <w:trHeight w:val="125"/>
        </w:trPr>
        <w:tc>
          <w:tcPr>
            <w:tcW w:w="2560" w:type="dxa"/>
            <w:shd w:val="clear" w:color="auto" w:fill="auto"/>
            <w:vAlign w:val="center"/>
            <w:hideMark/>
          </w:tcPr>
          <w:p w14:paraId="2CFF05C7"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15-19</w:t>
            </w:r>
          </w:p>
        </w:tc>
        <w:tc>
          <w:tcPr>
            <w:tcW w:w="2040" w:type="dxa"/>
            <w:shd w:val="clear" w:color="auto" w:fill="auto"/>
            <w:vAlign w:val="center"/>
            <w:hideMark/>
          </w:tcPr>
          <w:p w14:paraId="4E8D7FD4"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17</w:t>
            </w:r>
          </w:p>
        </w:tc>
        <w:tc>
          <w:tcPr>
            <w:tcW w:w="2040" w:type="dxa"/>
            <w:vAlign w:val="bottom"/>
          </w:tcPr>
          <w:p w14:paraId="256DCE5F" w14:textId="77777777" w:rsidR="00CF621C" w:rsidRPr="00CC1C25" w:rsidRDefault="00CF621C" w:rsidP="002C7719">
            <w:pPr>
              <w:spacing w:after="0" w:line="276" w:lineRule="auto"/>
              <w:jc w:val="center"/>
              <w:rPr>
                <w:rFonts w:cs="Calibri"/>
                <w:color w:val="000000"/>
              </w:rPr>
            </w:pPr>
            <w:r w:rsidRPr="00CC1C25">
              <w:rPr>
                <w:rFonts w:cs="Calibri"/>
                <w:color w:val="000000"/>
              </w:rPr>
              <w:t>7.0</w:t>
            </w:r>
          </w:p>
        </w:tc>
      </w:tr>
      <w:tr w:rsidR="00CF621C" w:rsidRPr="00CC1C25" w14:paraId="389E2247" w14:textId="77777777" w:rsidTr="0002616D">
        <w:trPr>
          <w:trHeight w:val="179"/>
        </w:trPr>
        <w:tc>
          <w:tcPr>
            <w:tcW w:w="2560" w:type="dxa"/>
            <w:shd w:val="clear" w:color="auto" w:fill="auto"/>
            <w:vAlign w:val="center"/>
            <w:hideMark/>
          </w:tcPr>
          <w:p w14:paraId="1A748491"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20-29</w:t>
            </w:r>
          </w:p>
        </w:tc>
        <w:tc>
          <w:tcPr>
            <w:tcW w:w="2040" w:type="dxa"/>
            <w:shd w:val="clear" w:color="auto" w:fill="auto"/>
            <w:vAlign w:val="center"/>
            <w:hideMark/>
          </w:tcPr>
          <w:p w14:paraId="030E6EBF"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39</w:t>
            </w:r>
          </w:p>
        </w:tc>
        <w:tc>
          <w:tcPr>
            <w:tcW w:w="2040" w:type="dxa"/>
            <w:vAlign w:val="bottom"/>
          </w:tcPr>
          <w:p w14:paraId="5BBB399D" w14:textId="77777777" w:rsidR="00CF621C" w:rsidRPr="00CC1C25" w:rsidRDefault="00CF621C" w:rsidP="002C7719">
            <w:pPr>
              <w:spacing w:after="0" w:line="276" w:lineRule="auto"/>
              <w:jc w:val="center"/>
              <w:rPr>
                <w:rFonts w:cs="Calibri"/>
                <w:color w:val="000000"/>
              </w:rPr>
            </w:pPr>
            <w:r w:rsidRPr="00CC1C25">
              <w:rPr>
                <w:rFonts w:cs="Calibri"/>
                <w:color w:val="000000"/>
              </w:rPr>
              <w:t>16.0</w:t>
            </w:r>
          </w:p>
        </w:tc>
      </w:tr>
      <w:tr w:rsidR="00CF621C" w:rsidRPr="00CC1C25" w14:paraId="1C0A8C4B" w14:textId="77777777" w:rsidTr="0002616D">
        <w:trPr>
          <w:trHeight w:val="242"/>
        </w:trPr>
        <w:tc>
          <w:tcPr>
            <w:tcW w:w="2560" w:type="dxa"/>
            <w:shd w:val="clear" w:color="auto" w:fill="auto"/>
            <w:vAlign w:val="center"/>
            <w:hideMark/>
          </w:tcPr>
          <w:p w14:paraId="2595D59C"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30-69</w:t>
            </w:r>
          </w:p>
        </w:tc>
        <w:tc>
          <w:tcPr>
            <w:tcW w:w="2040" w:type="dxa"/>
            <w:shd w:val="clear" w:color="auto" w:fill="auto"/>
            <w:vAlign w:val="center"/>
            <w:hideMark/>
          </w:tcPr>
          <w:p w14:paraId="00309705"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152</w:t>
            </w:r>
          </w:p>
        </w:tc>
        <w:tc>
          <w:tcPr>
            <w:tcW w:w="2040" w:type="dxa"/>
            <w:vAlign w:val="bottom"/>
          </w:tcPr>
          <w:p w14:paraId="631E4A05" w14:textId="77777777" w:rsidR="00CF621C" w:rsidRPr="00CC1C25" w:rsidRDefault="00CF621C" w:rsidP="002C7719">
            <w:pPr>
              <w:spacing w:after="0" w:line="276" w:lineRule="auto"/>
              <w:jc w:val="center"/>
              <w:rPr>
                <w:rFonts w:cs="Calibri"/>
                <w:color w:val="000000"/>
              </w:rPr>
            </w:pPr>
            <w:r w:rsidRPr="00CC1C25">
              <w:rPr>
                <w:rFonts w:cs="Calibri"/>
                <w:color w:val="000000"/>
              </w:rPr>
              <w:t>62.6</w:t>
            </w:r>
          </w:p>
        </w:tc>
      </w:tr>
      <w:tr w:rsidR="00CF621C" w:rsidRPr="00CC1C25" w14:paraId="7E5AC5B3" w14:textId="77777777" w:rsidTr="0002616D">
        <w:trPr>
          <w:trHeight w:val="215"/>
        </w:trPr>
        <w:tc>
          <w:tcPr>
            <w:tcW w:w="2560" w:type="dxa"/>
            <w:shd w:val="clear" w:color="auto" w:fill="auto"/>
            <w:vAlign w:val="center"/>
            <w:hideMark/>
          </w:tcPr>
          <w:p w14:paraId="5BB4DF61"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70+</w:t>
            </w:r>
          </w:p>
        </w:tc>
        <w:tc>
          <w:tcPr>
            <w:tcW w:w="2040" w:type="dxa"/>
            <w:shd w:val="clear" w:color="auto" w:fill="auto"/>
            <w:vAlign w:val="center"/>
            <w:hideMark/>
          </w:tcPr>
          <w:p w14:paraId="44EA66AD" w14:textId="77777777" w:rsidR="00CF621C" w:rsidRPr="00CC1C25" w:rsidRDefault="00CF621C" w:rsidP="002C7719">
            <w:pPr>
              <w:spacing w:after="0" w:line="276" w:lineRule="auto"/>
              <w:jc w:val="center"/>
              <w:rPr>
                <w:rFonts w:eastAsia="Times New Roman" w:cstheme="minorHAnsi"/>
                <w:color w:val="000000"/>
              </w:rPr>
            </w:pPr>
            <w:r w:rsidRPr="00CC1C25">
              <w:rPr>
                <w:rFonts w:eastAsia="Times New Roman" w:cstheme="minorHAnsi"/>
                <w:color w:val="000000"/>
              </w:rPr>
              <w:t>22</w:t>
            </w:r>
          </w:p>
        </w:tc>
        <w:tc>
          <w:tcPr>
            <w:tcW w:w="2040" w:type="dxa"/>
            <w:vAlign w:val="bottom"/>
          </w:tcPr>
          <w:p w14:paraId="6F71DDE6" w14:textId="77777777" w:rsidR="00CF621C" w:rsidRPr="00CC1C25" w:rsidRDefault="00CF621C" w:rsidP="002C7719">
            <w:pPr>
              <w:spacing w:after="0" w:line="276" w:lineRule="auto"/>
              <w:jc w:val="center"/>
              <w:rPr>
                <w:rFonts w:cs="Calibri"/>
                <w:color w:val="000000"/>
              </w:rPr>
            </w:pPr>
            <w:r w:rsidRPr="00CC1C25">
              <w:rPr>
                <w:rFonts w:cs="Calibri"/>
                <w:color w:val="000000"/>
              </w:rPr>
              <w:t>9.1</w:t>
            </w:r>
          </w:p>
        </w:tc>
      </w:tr>
      <w:tr w:rsidR="00CF621C" w:rsidRPr="00CC1C25" w14:paraId="1C46DB67" w14:textId="77777777" w:rsidTr="0002616D">
        <w:trPr>
          <w:trHeight w:val="326"/>
        </w:trPr>
        <w:tc>
          <w:tcPr>
            <w:tcW w:w="2560" w:type="dxa"/>
            <w:shd w:val="clear" w:color="auto" w:fill="auto"/>
            <w:vAlign w:val="center"/>
            <w:hideMark/>
          </w:tcPr>
          <w:p w14:paraId="7B5F5BAF" w14:textId="77777777" w:rsidR="00CF621C" w:rsidRPr="00CC1C25" w:rsidRDefault="00CF621C" w:rsidP="002C7719">
            <w:pPr>
              <w:spacing w:after="0" w:line="276" w:lineRule="auto"/>
              <w:jc w:val="center"/>
              <w:rPr>
                <w:rFonts w:eastAsia="Times New Roman" w:cstheme="minorHAnsi"/>
                <w:b/>
                <w:bCs/>
                <w:color w:val="000000"/>
              </w:rPr>
            </w:pPr>
            <w:r w:rsidRPr="00CC1C25">
              <w:rPr>
                <w:rFonts w:eastAsia="Times New Roman" w:cstheme="minorHAnsi"/>
                <w:b/>
                <w:bCs/>
                <w:color w:val="000000"/>
                <w:lang w:val="ka-GE"/>
              </w:rPr>
              <w:t>სულ</w:t>
            </w:r>
          </w:p>
        </w:tc>
        <w:tc>
          <w:tcPr>
            <w:tcW w:w="2040" w:type="dxa"/>
            <w:shd w:val="clear" w:color="auto" w:fill="auto"/>
            <w:vAlign w:val="center"/>
            <w:hideMark/>
          </w:tcPr>
          <w:p w14:paraId="144D4BED" w14:textId="77777777" w:rsidR="00CF621C" w:rsidRPr="00CC1C25" w:rsidRDefault="00CF621C" w:rsidP="002C7719">
            <w:pPr>
              <w:spacing w:after="0" w:line="276" w:lineRule="auto"/>
              <w:jc w:val="center"/>
              <w:rPr>
                <w:rFonts w:eastAsia="Times New Roman" w:cstheme="minorHAnsi"/>
                <w:b/>
                <w:bCs/>
                <w:color w:val="000000"/>
              </w:rPr>
            </w:pPr>
            <w:r w:rsidRPr="00CC1C25">
              <w:rPr>
                <w:rFonts w:eastAsia="Times New Roman" w:cstheme="minorHAnsi"/>
                <w:b/>
                <w:bCs/>
                <w:color w:val="000000"/>
              </w:rPr>
              <w:t>243</w:t>
            </w:r>
          </w:p>
        </w:tc>
        <w:tc>
          <w:tcPr>
            <w:tcW w:w="2040" w:type="dxa"/>
            <w:vAlign w:val="center"/>
          </w:tcPr>
          <w:p w14:paraId="7466869B" w14:textId="77777777" w:rsidR="00CF621C" w:rsidRPr="00CC1C25" w:rsidRDefault="00CF621C" w:rsidP="002C7719">
            <w:pPr>
              <w:spacing w:after="0" w:line="276" w:lineRule="auto"/>
              <w:jc w:val="center"/>
              <w:rPr>
                <w:rFonts w:cs="Calibri"/>
                <w:b/>
                <w:color w:val="000000"/>
              </w:rPr>
            </w:pPr>
            <w:r w:rsidRPr="00CC1C25">
              <w:rPr>
                <w:rFonts w:cs="Calibri"/>
                <w:b/>
                <w:color w:val="000000"/>
              </w:rPr>
              <w:t>100</w:t>
            </w:r>
          </w:p>
        </w:tc>
      </w:tr>
    </w:tbl>
    <w:p w14:paraId="655BB1E4" w14:textId="77777777" w:rsidR="00CF621C" w:rsidRPr="00CC1C25" w:rsidRDefault="00CF621C" w:rsidP="002C7719">
      <w:pPr>
        <w:spacing w:after="0" w:line="276" w:lineRule="auto"/>
        <w:rPr>
          <w:lang w:val="ka-GE"/>
        </w:rPr>
      </w:pPr>
    </w:p>
    <w:p w14:paraId="09C46FDE" w14:textId="77777777" w:rsidR="00CF621C" w:rsidRPr="00CC1C25" w:rsidRDefault="00CF621C" w:rsidP="002C7719">
      <w:pPr>
        <w:pStyle w:val="ListParagraph"/>
        <w:numPr>
          <w:ilvl w:val="0"/>
          <w:numId w:val="9"/>
        </w:numPr>
        <w:spacing w:after="240" w:line="276" w:lineRule="auto"/>
        <w:jc w:val="both"/>
        <w:rPr>
          <w:rFonts w:ascii="Sylfaen" w:hAnsi="Sylfaen"/>
        </w:rPr>
      </w:pPr>
      <w:r w:rsidRPr="00CC1C25">
        <w:rPr>
          <w:rFonts w:ascii="Sylfaen" w:hAnsi="Sylfaen"/>
        </w:rPr>
        <w:t>გარდაცვლილთა საერთო რაოდენობაა 12 (</w:t>
      </w:r>
      <w:r w:rsidRPr="00CC1C25">
        <w:rPr>
          <w:rFonts w:ascii="Sylfaen" w:hAnsi="Sylfaen"/>
          <w:i/>
        </w:rPr>
        <w:t>1</w:t>
      </w:r>
      <w:r w:rsidRPr="00CC1C25">
        <w:rPr>
          <w:rFonts w:ascii="Sylfaen" w:hAnsi="Sylfaen"/>
          <w:i/>
          <w:lang w:val="ka-GE"/>
        </w:rPr>
        <w:t>8</w:t>
      </w:r>
      <w:r w:rsidRPr="00CC1C25">
        <w:rPr>
          <w:rFonts w:ascii="Sylfaen" w:hAnsi="Sylfaen"/>
          <w:i/>
        </w:rPr>
        <w:t>.05.2020</w:t>
      </w:r>
      <w:r w:rsidRPr="00CC1C25">
        <w:rPr>
          <w:rFonts w:ascii="Sylfaen" w:hAnsi="Sylfaen"/>
        </w:rPr>
        <w:t>); მათ შორის 8 (67%)  არის ქალი, 4 (33%) - კაცი.</w:t>
      </w:r>
      <w:r w:rsidRPr="00CC1C25">
        <w:rPr>
          <w:rFonts w:ascii="Sylfaen" w:hAnsi="Sylfaen"/>
          <w:lang w:val="ka-GE"/>
        </w:rPr>
        <w:t xml:space="preserve"> </w:t>
      </w:r>
      <w:r w:rsidRPr="00CC1C25">
        <w:rPr>
          <w:rFonts w:ascii="Sylfaen" w:hAnsi="Sylfaen"/>
        </w:rPr>
        <w:t xml:space="preserve">გარდაცვლილთა საშუალო ასაკია 74 წელი, მაქსიმალური 86, ხოლო მინიმალური </w:t>
      </w:r>
      <w:r w:rsidRPr="00CC1C25">
        <w:rPr>
          <w:rFonts w:ascii="Sylfaen" w:hAnsi="Sylfaen"/>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CF621C" w:rsidRPr="00CC1C25" w14:paraId="7A4A77C1" w14:textId="77777777" w:rsidTr="0002616D">
        <w:trPr>
          <w:trHeight w:val="260"/>
        </w:trPr>
        <w:tc>
          <w:tcPr>
            <w:tcW w:w="2965" w:type="dxa"/>
            <w:shd w:val="clear" w:color="auto" w:fill="auto"/>
            <w:vAlign w:val="bottom"/>
            <w:hideMark/>
          </w:tcPr>
          <w:p w14:paraId="50044AAD" w14:textId="77777777" w:rsidR="00CF621C" w:rsidRPr="00CC1C25" w:rsidRDefault="00CF621C" w:rsidP="002C7719">
            <w:pPr>
              <w:spacing w:after="0" w:line="276" w:lineRule="auto"/>
              <w:rPr>
                <w:rFonts w:eastAsia="Times New Roman" w:cs="Calibri"/>
                <w:b/>
                <w:color w:val="000000"/>
              </w:rPr>
            </w:pPr>
            <w:r w:rsidRPr="00CC1C25">
              <w:rPr>
                <w:rFonts w:eastAsia="Times New Roman" w:cs="Calibri"/>
                <w:b/>
                <w:color w:val="000000"/>
              </w:rPr>
              <w:t>ასაკობრივი კატეგორია</w:t>
            </w:r>
          </w:p>
        </w:tc>
        <w:tc>
          <w:tcPr>
            <w:tcW w:w="1530" w:type="dxa"/>
            <w:shd w:val="clear" w:color="auto" w:fill="auto"/>
            <w:noWrap/>
            <w:vAlign w:val="bottom"/>
            <w:hideMark/>
          </w:tcPr>
          <w:p w14:paraId="4FB19D12" w14:textId="77777777" w:rsidR="00CF621C" w:rsidRPr="00CC1C25" w:rsidRDefault="00CF621C" w:rsidP="002C7719">
            <w:pPr>
              <w:spacing w:after="0" w:line="276" w:lineRule="auto"/>
              <w:jc w:val="center"/>
              <w:rPr>
                <w:rFonts w:eastAsia="Times New Roman" w:cs="Calibri"/>
                <w:b/>
                <w:color w:val="000000"/>
                <w:lang w:val="ka-GE"/>
              </w:rPr>
            </w:pPr>
            <w:r w:rsidRPr="00CC1C25">
              <w:rPr>
                <w:rFonts w:eastAsia="Times New Roman" w:cs="Calibri"/>
                <w:b/>
                <w:color w:val="000000"/>
                <w:lang w:val="ka-GE"/>
              </w:rPr>
              <w:t>კაცი</w:t>
            </w:r>
          </w:p>
        </w:tc>
        <w:tc>
          <w:tcPr>
            <w:tcW w:w="1196" w:type="dxa"/>
            <w:shd w:val="clear" w:color="auto" w:fill="auto"/>
            <w:noWrap/>
            <w:vAlign w:val="bottom"/>
            <w:hideMark/>
          </w:tcPr>
          <w:p w14:paraId="6BE3ADA7" w14:textId="77777777" w:rsidR="00CF621C" w:rsidRPr="00CC1C25" w:rsidRDefault="00CF621C" w:rsidP="002C7719">
            <w:pPr>
              <w:spacing w:after="0" w:line="276" w:lineRule="auto"/>
              <w:jc w:val="center"/>
              <w:rPr>
                <w:rFonts w:eastAsia="Times New Roman" w:cs="Calibri"/>
                <w:b/>
                <w:color w:val="000000"/>
                <w:lang w:val="ka-GE"/>
              </w:rPr>
            </w:pPr>
            <w:r w:rsidRPr="00CC1C25">
              <w:rPr>
                <w:rFonts w:eastAsia="Times New Roman" w:cs="Calibri"/>
                <w:b/>
                <w:color w:val="000000"/>
                <w:lang w:val="ka-GE"/>
              </w:rPr>
              <w:t>ქალი</w:t>
            </w:r>
          </w:p>
        </w:tc>
        <w:tc>
          <w:tcPr>
            <w:tcW w:w="1054" w:type="dxa"/>
            <w:shd w:val="clear" w:color="auto" w:fill="auto"/>
            <w:noWrap/>
            <w:vAlign w:val="bottom"/>
            <w:hideMark/>
          </w:tcPr>
          <w:p w14:paraId="1889D203"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სულ</w:t>
            </w:r>
          </w:p>
        </w:tc>
      </w:tr>
      <w:tr w:rsidR="00CF621C" w:rsidRPr="00CC1C25" w14:paraId="3F761E69" w14:textId="77777777" w:rsidTr="0002616D">
        <w:trPr>
          <w:trHeight w:val="292"/>
        </w:trPr>
        <w:tc>
          <w:tcPr>
            <w:tcW w:w="2965" w:type="dxa"/>
            <w:shd w:val="clear" w:color="auto" w:fill="auto"/>
            <w:noWrap/>
            <w:vAlign w:val="bottom"/>
            <w:hideMark/>
          </w:tcPr>
          <w:p w14:paraId="15E12FEF" w14:textId="77777777" w:rsidR="00CF621C" w:rsidRPr="00CC1C25" w:rsidRDefault="00CF621C" w:rsidP="002C7719">
            <w:pPr>
              <w:spacing w:after="0" w:line="276" w:lineRule="auto"/>
              <w:rPr>
                <w:rFonts w:eastAsia="Times New Roman" w:cs="Calibri"/>
                <w:color w:val="000000"/>
              </w:rPr>
            </w:pPr>
            <w:r w:rsidRPr="00CC1C25">
              <w:rPr>
                <w:rFonts w:eastAsia="Times New Roman" w:cs="Calibri"/>
                <w:color w:val="000000"/>
              </w:rPr>
              <w:t>45-49</w:t>
            </w:r>
          </w:p>
        </w:tc>
        <w:tc>
          <w:tcPr>
            <w:tcW w:w="1530" w:type="dxa"/>
            <w:shd w:val="clear" w:color="auto" w:fill="auto"/>
            <w:noWrap/>
            <w:vAlign w:val="bottom"/>
            <w:hideMark/>
          </w:tcPr>
          <w:p w14:paraId="7AF8B15F"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31B989A4"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1</w:t>
            </w:r>
          </w:p>
        </w:tc>
        <w:tc>
          <w:tcPr>
            <w:tcW w:w="1054" w:type="dxa"/>
            <w:shd w:val="clear" w:color="auto" w:fill="auto"/>
            <w:noWrap/>
            <w:vAlign w:val="bottom"/>
            <w:hideMark/>
          </w:tcPr>
          <w:p w14:paraId="35E2236F"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0541C5F5" w14:textId="77777777" w:rsidTr="0002616D">
        <w:trPr>
          <w:trHeight w:val="292"/>
        </w:trPr>
        <w:tc>
          <w:tcPr>
            <w:tcW w:w="2965" w:type="dxa"/>
            <w:shd w:val="clear" w:color="auto" w:fill="auto"/>
            <w:noWrap/>
            <w:vAlign w:val="bottom"/>
            <w:hideMark/>
          </w:tcPr>
          <w:p w14:paraId="317967C1" w14:textId="77777777" w:rsidR="00CF621C" w:rsidRPr="00CC1C25" w:rsidRDefault="00CF621C" w:rsidP="002C7719">
            <w:pPr>
              <w:spacing w:after="0" w:line="276" w:lineRule="auto"/>
              <w:rPr>
                <w:rFonts w:eastAsia="Times New Roman" w:cs="Calibri"/>
                <w:color w:val="000000"/>
              </w:rPr>
            </w:pPr>
            <w:r w:rsidRPr="00CC1C25">
              <w:rPr>
                <w:rFonts w:eastAsia="Times New Roman" w:cs="Calibri"/>
                <w:color w:val="000000"/>
              </w:rPr>
              <w:t>55-59</w:t>
            </w:r>
          </w:p>
        </w:tc>
        <w:tc>
          <w:tcPr>
            <w:tcW w:w="1530" w:type="dxa"/>
            <w:shd w:val="clear" w:color="auto" w:fill="auto"/>
            <w:noWrap/>
            <w:vAlign w:val="bottom"/>
            <w:hideMark/>
          </w:tcPr>
          <w:p w14:paraId="198E2724"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7D804340"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1</w:t>
            </w:r>
          </w:p>
        </w:tc>
        <w:tc>
          <w:tcPr>
            <w:tcW w:w="1054" w:type="dxa"/>
            <w:shd w:val="clear" w:color="auto" w:fill="auto"/>
            <w:noWrap/>
            <w:vAlign w:val="bottom"/>
            <w:hideMark/>
          </w:tcPr>
          <w:p w14:paraId="3CA0F0C7"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23DC5C2D" w14:textId="77777777" w:rsidTr="0002616D">
        <w:trPr>
          <w:trHeight w:val="292"/>
        </w:trPr>
        <w:tc>
          <w:tcPr>
            <w:tcW w:w="2965" w:type="dxa"/>
            <w:shd w:val="clear" w:color="auto" w:fill="auto"/>
            <w:noWrap/>
            <w:vAlign w:val="bottom"/>
            <w:hideMark/>
          </w:tcPr>
          <w:p w14:paraId="4753FC4E" w14:textId="77777777" w:rsidR="00CF621C" w:rsidRPr="00CC1C25" w:rsidRDefault="00CF621C" w:rsidP="002C7719">
            <w:pPr>
              <w:spacing w:after="0" w:line="276" w:lineRule="auto"/>
              <w:rPr>
                <w:rFonts w:eastAsia="Times New Roman" w:cs="Calibri"/>
                <w:color w:val="000000"/>
              </w:rPr>
            </w:pPr>
            <w:r w:rsidRPr="00CC1C25">
              <w:rPr>
                <w:rFonts w:eastAsia="Times New Roman" w:cs="Calibri"/>
                <w:color w:val="000000"/>
              </w:rPr>
              <w:t>65-69</w:t>
            </w:r>
          </w:p>
        </w:tc>
        <w:tc>
          <w:tcPr>
            <w:tcW w:w="1530" w:type="dxa"/>
            <w:shd w:val="clear" w:color="auto" w:fill="auto"/>
            <w:noWrap/>
            <w:vAlign w:val="bottom"/>
            <w:hideMark/>
          </w:tcPr>
          <w:p w14:paraId="7C030DEE"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1</w:t>
            </w:r>
          </w:p>
        </w:tc>
        <w:tc>
          <w:tcPr>
            <w:tcW w:w="1196" w:type="dxa"/>
            <w:shd w:val="clear" w:color="auto" w:fill="auto"/>
            <w:noWrap/>
            <w:vAlign w:val="bottom"/>
            <w:hideMark/>
          </w:tcPr>
          <w:p w14:paraId="1C3A5C3F"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0</w:t>
            </w:r>
          </w:p>
        </w:tc>
        <w:tc>
          <w:tcPr>
            <w:tcW w:w="1054" w:type="dxa"/>
            <w:shd w:val="clear" w:color="auto" w:fill="auto"/>
            <w:noWrap/>
            <w:vAlign w:val="bottom"/>
            <w:hideMark/>
          </w:tcPr>
          <w:p w14:paraId="05F1AF3D"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376BF0F7" w14:textId="77777777" w:rsidTr="0002616D">
        <w:trPr>
          <w:trHeight w:val="292"/>
        </w:trPr>
        <w:tc>
          <w:tcPr>
            <w:tcW w:w="2965" w:type="dxa"/>
            <w:shd w:val="clear" w:color="auto" w:fill="auto"/>
            <w:noWrap/>
            <w:vAlign w:val="bottom"/>
            <w:hideMark/>
          </w:tcPr>
          <w:p w14:paraId="57C8F9D8" w14:textId="77777777" w:rsidR="00CF621C" w:rsidRPr="00CC1C25" w:rsidRDefault="00CF621C" w:rsidP="002C7719">
            <w:pPr>
              <w:spacing w:after="0" w:line="276" w:lineRule="auto"/>
              <w:rPr>
                <w:rFonts w:eastAsia="Times New Roman" w:cs="Calibri"/>
                <w:color w:val="000000"/>
              </w:rPr>
            </w:pPr>
            <w:r w:rsidRPr="00CC1C25">
              <w:rPr>
                <w:rFonts w:eastAsia="Times New Roman" w:cs="Calibri"/>
                <w:color w:val="000000"/>
              </w:rPr>
              <w:t>70-74</w:t>
            </w:r>
          </w:p>
        </w:tc>
        <w:tc>
          <w:tcPr>
            <w:tcW w:w="1530" w:type="dxa"/>
            <w:shd w:val="clear" w:color="auto" w:fill="auto"/>
            <w:noWrap/>
            <w:vAlign w:val="bottom"/>
            <w:hideMark/>
          </w:tcPr>
          <w:p w14:paraId="5425C8F5"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489B31A6"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2</w:t>
            </w:r>
          </w:p>
        </w:tc>
        <w:tc>
          <w:tcPr>
            <w:tcW w:w="1054" w:type="dxa"/>
            <w:shd w:val="clear" w:color="auto" w:fill="auto"/>
            <w:noWrap/>
            <w:vAlign w:val="bottom"/>
            <w:hideMark/>
          </w:tcPr>
          <w:p w14:paraId="04CC948F"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2</w:t>
            </w:r>
          </w:p>
        </w:tc>
      </w:tr>
      <w:tr w:rsidR="00CF621C" w:rsidRPr="00CC1C25" w14:paraId="1355A682" w14:textId="77777777" w:rsidTr="0002616D">
        <w:trPr>
          <w:trHeight w:val="292"/>
        </w:trPr>
        <w:tc>
          <w:tcPr>
            <w:tcW w:w="2965" w:type="dxa"/>
            <w:shd w:val="clear" w:color="auto" w:fill="auto"/>
            <w:noWrap/>
            <w:vAlign w:val="bottom"/>
            <w:hideMark/>
          </w:tcPr>
          <w:p w14:paraId="4308045A" w14:textId="77777777" w:rsidR="00CF621C" w:rsidRPr="00CC1C25" w:rsidRDefault="00CF621C" w:rsidP="002C7719">
            <w:pPr>
              <w:spacing w:after="0" w:line="276" w:lineRule="auto"/>
              <w:rPr>
                <w:rFonts w:eastAsia="Times New Roman" w:cs="Calibri"/>
                <w:color w:val="000000"/>
              </w:rPr>
            </w:pPr>
            <w:r w:rsidRPr="00CC1C25">
              <w:rPr>
                <w:rFonts w:eastAsia="Times New Roman" w:cs="Calibri"/>
                <w:color w:val="000000"/>
              </w:rPr>
              <w:t>80-84</w:t>
            </w:r>
          </w:p>
        </w:tc>
        <w:tc>
          <w:tcPr>
            <w:tcW w:w="1530" w:type="dxa"/>
            <w:shd w:val="clear" w:color="auto" w:fill="auto"/>
            <w:noWrap/>
            <w:vAlign w:val="bottom"/>
            <w:hideMark/>
          </w:tcPr>
          <w:p w14:paraId="259BDB9F"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3</w:t>
            </w:r>
          </w:p>
        </w:tc>
        <w:tc>
          <w:tcPr>
            <w:tcW w:w="1196" w:type="dxa"/>
            <w:shd w:val="clear" w:color="auto" w:fill="auto"/>
            <w:noWrap/>
            <w:vAlign w:val="bottom"/>
            <w:hideMark/>
          </w:tcPr>
          <w:p w14:paraId="67451DF4"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3</w:t>
            </w:r>
          </w:p>
        </w:tc>
        <w:tc>
          <w:tcPr>
            <w:tcW w:w="1054" w:type="dxa"/>
            <w:shd w:val="clear" w:color="auto" w:fill="auto"/>
            <w:noWrap/>
            <w:vAlign w:val="bottom"/>
            <w:hideMark/>
          </w:tcPr>
          <w:p w14:paraId="619B0682"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6</w:t>
            </w:r>
          </w:p>
        </w:tc>
      </w:tr>
      <w:tr w:rsidR="00CF621C" w:rsidRPr="00CC1C25" w14:paraId="3B46667D" w14:textId="77777777" w:rsidTr="0002616D">
        <w:trPr>
          <w:trHeight w:val="292"/>
        </w:trPr>
        <w:tc>
          <w:tcPr>
            <w:tcW w:w="2965" w:type="dxa"/>
            <w:shd w:val="clear" w:color="auto" w:fill="auto"/>
            <w:noWrap/>
            <w:vAlign w:val="bottom"/>
            <w:hideMark/>
          </w:tcPr>
          <w:p w14:paraId="57E197AD" w14:textId="77777777" w:rsidR="00CF621C" w:rsidRPr="00CC1C25" w:rsidRDefault="00CF621C" w:rsidP="002C7719">
            <w:pPr>
              <w:spacing w:after="0" w:line="276" w:lineRule="auto"/>
              <w:rPr>
                <w:rFonts w:eastAsia="Times New Roman" w:cs="Calibri"/>
                <w:color w:val="000000"/>
              </w:rPr>
            </w:pPr>
            <w:r w:rsidRPr="00CC1C25">
              <w:rPr>
                <w:rFonts w:eastAsia="Times New Roman" w:cs="Calibri"/>
                <w:color w:val="000000"/>
              </w:rPr>
              <w:t>85-89</w:t>
            </w:r>
          </w:p>
        </w:tc>
        <w:tc>
          <w:tcPr>
            <w:tcW w:w="1530" w:type="dxa"/>
            <w:shd w:val="clear" w:color="auto" w:fill="auto"/>
            <w:noWrap/>
            <w:vAlign w:val="bottom"/>
            <w:hideMark/>
          </w:tcPr>
          <w:p w14:paraId="0484A882"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704142D7" w14:textId="77777777" w:rsidR="00CF621C" w:rsidRPr="00CC1C25" w:rsidRDefault="00CF621C" w:rsidP="002C7719">
            <w:pPr>
              <w:spacing w:after="0" w:line="276" w:lineRule="auto"/>
              <w:jc w:val="center"/>
              <w:rPr>
                <w:rFonts w:eastAsia="Times New Roman" w:cs="Calibri"/>
                <w:color w:val="000000"/>
              </w:rPr>
            </w:pPr>
            <w:r w:rsidRPr="00CC1C25">
              <w:rPr>
                <w:rFonts w:eastAsia="Times New Roman" w:cs="Calibri"/>
                <w:color w:val="000000"/>
              </w:rPr>
              <w:t>1</w:t>
            </w:r>
          </w:p>
        </w:tc>
        <w:tc>
          <w:tcPr>
            <w:tcW w:w="1054" w:type="dxa"/>
            <w:shd w:val="clear" w:color="auto" w:fill="auto"/>
            <w:noWrap/>
            <w:vAlign w:val="bottom"/>
            <w:hideMark/>
          </w:tcPr>
          <w:p w14:paraId="12AE141D"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5D16A3B6" w14:textId="77777777" w:rsidTr="0002616D">
        <w:trPr>
          <w:trHeight w:val="292"/>
        </w:trPr>
        <w:tc>
          <w:tcPr>
            <w:tcW w:w="2965" w:type="dxa"/>
            <w:shd w:val="clear" w:color="auto" w:fill="auto"/>
            <w:noWrap/>
            <w:vAlign w:val="bottom"/>
            <w:hideMark/>
          </w:tcPr>
          <w:p w14:paraId="16D6ADF7" w14:textId="77777777" w:rsidR="00CF621C" w:rsidRPr="00CC1C25" w:rsidRDefault="00CF621C" w:rsidP="002C7719">
            <w:pPr>
              <w:spacing w:after="0" w:line="276" w:lineRule="auto"/>
              <w:rPr>
                <w:rFonts w:eastAsia="Times New Roman" w:cs="Calibri"/>
                <w:b/>
                <w:bCs/>
                <w:color w:val="000000"/>
              </w:rPr>
            </w:pPr>
            <w:r w:rsidRPr="00CC1C25">
              <w:rPr>
                <w:rFonts w:eastAsia="Times New Roman" w:cs="Calibri"/>
                <w:b/>
                <w:bCs/>
                <w:color w:val="000000"/>
              </w:rPr>
              <w:t>სულ</w:t>
            </w:r>
          </w:p>
        </w:tc>
        <w:tc>
          <w:tcPr>
            <w:tcW w:w="1530" w:type="dxa"/>
            <w:shd w:val="clear" w:color="auto" w:fill="auto"/>
            <w:noWrap/>
            <w:vAlign w:val="bottom"/>
            <w:hideMark/>
          </w:tcPr>
          <w:p w14:paraId="44DCAD6E"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4</w:t>
            </w:r>
          </w:p>
        </w:tc>
        <w:tc>
          <w:tcPr>
            <w:tcW w:w="1196" w:type="dxa"/>
            <w:shd w:val="clear" w:color="auto" w:fill="auto"/>
            <w:noWrap/>
            <w:vAlign w:val="bottom"/>
            <w:hideMark/>
          </w:tcPr>
          <w:p w14:paraId="60F6207D"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8</w:t>
            </w:r>
          </w:p>
        </w:tc>
        <w:tc>
          <w:tcPr>
            <w:tcW w:w="1054" w:type="dxa"/>
            <w:shd w:val="clear" w:color="auto" w:fill="auto"/>
            <w:noWrap/>
            <w:vAlign w:val="bottom"/>
            <w:hideMark/>
          </w:tcPr>
          <w:p w14:paraId="5D4938D8" w14:textId="77777777" w:rsidR="00CF621C" w:rsidRPr="00CC1C25" w:rsidRDefault="00CF621C" w:rsidP="002C7719">
            <w:pPr>
              <w:spacing w:after="0" w:line="276" w:lineRule="auto"/>
              <w:jc w:val="center"/>
              <w:rPr>
                <w:rFonts w:eastAsia="Times New Roman" w:cs="Calibri"/>
                <w:b/>
                <w:bCs/>
                <w:color w:val="000000"/>
              </w:rPr>
            </w:pPr>
            <w:r w:rsidRPr="00CC1C25">
              <w:rPr>
                <w:rFonts w:eastAsia="Times New Roman" w:cs="Calibri"/>
                <w:b/>
                <w:bCs/>
                <w:color w:val="000000"/>
              </w:rPr>
              <w:t>12</w:t>
            </w:r>
          </w:p>
        </w:tc>
      </w:tr>
    </w:tbl>
    <w:p w14:paraId="489376E0" w14:textId="77777777" w:rsidR="00CF621C" w:rsidRPr="00CC1C25" w:rsidRDefault="00CF621C" w:rsidP="002C7719">
      <w:pPr>
        <w:pStyle w:val="ListParagraph"/>
        <w:spacing w:after="240" w:line="276" w:lineRule="auto"/>
        <w:ind w:left="1440"/>
        <w:jc w:val="both"/>
        <w:rPr>
          <w:rFonts w:ascii="Sylfaen" w:hAnsi="Sylfaen"/>
        </w:rPr>
      </w:pPr>
    </w:p>
    <w:p w14:paraId="5C444F95" w14:textId="77777777" w:rsidR="00CF621C" w:rsidRPr="00CC1C25" w:rsidRDefault="00CF621C" w:rsidP="002C7719">
      <w:pPr>
        <w:pStyle w:val="ListParagraph"/>
        <w:spacing w:after="240" w:line="276" w:lineRule="auto"/>
        <w:ind w:left="630"/>
        <w:jc w:val="both"/>
        <w:rPr>
          <w:rFonts w:ascii="Sylfaen" w:hAnsi="Sylfaen"/>
          <w:i/>
          <w:lang w:val="ka-GE"/>
        </w:rPr>
      </w:pPr>
    </w:p>
    <w:p w14:paraId="43ADE9A9" w14:textId="77777777" w:rsidR="00CF621C" w:rsidRPr="00932B47" w:rsidRDefault="00CF621C" w:rsidP="002C7719">
      <w:pPr>
        <w:pStyle w:val="ListParagraph"/>
        <w:numPr>
          <w:ilvl w:val="0"/>
          <w:numId w:val="7"/>
        </w:numPr>
        <w:spacing w:after="240" w:line="276" w:lineRule="auto"/>
        <w:jc w:val="both"/>
        <w:rPr>
          <w:rFonts w:ascii="Sylfaen" w:hAnsi="Sylfaen"/>
          <w:lang w:val="ka-GE"/>
        </w:rPr>
      </w:pPr>
      <w:r w:rsidRPr="00932B47">
        <w:rPr>
          <w:rFonts w:ascii="Sylfaen" w:hAnsi="Sylfaen"/>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1E9CCC5" w14:textId="77777777" w:rsidR="00CF621C" w:rsidRPr="00CC1C25" w:rsidRDefault="00CF621C" w:rsidP="002C7719">
      <w:pPr>
        <w:spacing w:after="0" w:line="276" w:lineRule="auto"/>
        <w:rPr>
          <w:lang w:val="ka-GE"/>
        </w:rPr>
      </w:pPr>
      <w:r w:rsidRPr="00CC1C25">
        <w:rPr>
          <w:rFonts w:eastAsia="Times New Roman" w:cs="Calibri"/>
          <w:bCs/>
          <w:lang w:val="ka-GE"/>
        </w:rPr>
        <w:lastRenderedPageBreak/>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CF621C" w:rsidRPr="00CC1C25" w14:paraId="0AAA1A10" w14:textId="77777777" w:rsidTr="0002616D">
        <w:trPr>
          <w:trHeight w:val="359"/>
        </w:trPr>
        <w:tc>
          <w:tcPr>
            <w:tcW w:w="2340" w:type="dxa"/>
            <w:shd w:val="clear" w:color="auto" w:fill="auto"/>
            <w:vAlign w:val="center"/>
            <w:hideMark/>
          </w:tcPr>
          <w:p w14:paraId="016142EA" w14:textId="77777777" w:rsidR="00CF621C" w:rsidRPr="00CC1C25" w:rsidRDefault="00CF621C" w:rsidP="002C7719">
            <w:pPr>
              <w:spacing w:after="0" w:line="276" w:lineRule="auto"/>
              <w:rPr>
                <w:rFonts w:eastAsia="Times New Roman" w:cs="Calibri"/>
                <w:b/>
                <w:bCs/>
                <w:iCs/>
              </w:rPr>
            </w:pPr>
          </w:p>
        </w:tc>
        <w:tc>
          <w:tcPr>
            <w:tcW w:w="1890" w:type="dxa"/>
            <w:shd w:val="clear" w:color="auto" w:fill="auto"/>
            <w:vAlign w:val="center"/>
          </w:tcPr>
          <w:p w14:paraId="0B50B7F8" w14:textId="77777777" w:rsidR="00CF621C" w:rsidRPr="00CC1C25" w:rsidRDefault="00CF621C" w:rsidP="002C7719">
            <w:pPr>
              <w:spacing w:after="0" w:line="276" w:lineRule="auto"/>
              <w:jc w:val="center"/>
              <w:rPr>
                <w:rFonts w:eastAsia="Times New Roman" w:cs="Calibri"/>
                <w:b/>
                <w:bCs/>
              </w:rPr>
            </w:pPr>
            <w:r w:rsidRPr="00CC1C25">
              <w:rPr>
                <w:rFonts w:eastAsia="Times New Roman" w:cs="Calibri"/>
                <w:b/>
                <w:bCs/>
              </w:rPr>
              <w:t>2018</w:t>
            </w:r>
          </w:p>
        </w:tc>
        <w:tc>
          <w:tcPr>
            <w:tcW w:w="1980" w:type="dxa"/>
            <w:shd w:val="clear" w:color="auto" w:fill="auto"/>
            <w:vAlign w:val="center"/>
          </w:tcPr>
          <w:p w14:paraId="32AE6EF8" w14:textId="77777777" w:rsidR="00CF621C" w:rsidRPr="00CC1C25" w:rsidRDefault="00CF621C" w:rsidP="002C7719">
            <w:pPr>
              <w:spacing w:after="0" w:line="276" w:lineRule="auto"/>
              <w:jc w:val="center"/>
              <w:rPr>
                <w:rFonts w:eastAsia="Times New Roman" w:cs="Calibri"/>
                <w:b/>
                <w:bCs/>
              </w:rPr>
            </w:pPr>
            <w:r w:rsidRPr="00CC1C25">
              <w:rPr>
                <w:rFonts w:eastAsia="Times New Roman" w:cs="Calibri"/>
                <w:b/>
                <w:bCs/>
              </w:rPr>
              <w:t>2019</w:t>
            </w:r>
          </w:p>
        </w:tc>
        <w:tc>
          <w:tcPr>
            <w:tcW w:w="1980" w:type="dxa"/>
            <w:shd w:val="clear" w:color="auto" w:fill="auto"/>
            <w:vAlign w:val="center"/>
          </w:tcPr>
          <w:p w14:paraId="68E3EA8D" w14:textId="77777777" w:rsidR="00CF621C" w:rsidRPr="00CC1C25" w:rsidRDefault="00CF621C" w:rsidP="002C7719">
            <w:pPr>
              <w:spacing w:after="0" w:line="276" w:lineRule="auto"/>
              <w:jc w:val="center"/>
              <w:rPr>
                <w:rFonts w:eastAsia="Times New Roman" w:cs="Calibri"/>
                <w:b/>
                <w:bCs/>
              </w:rPr>
            </w:pPr>
            <w:r w:rsidRPr="00CC1C25">
              <w:rPr>
                <w:rFonts w:eastAsia="Times New Roman" w:cs="Calibri"/>
                <w:b/>
                <w:bCs/>
              </w:rPr>
              <w:t>2020</w:t>
            </w:r>
          </w:p>
        </w:tc>
      </w:tr>
      <w:tr w:rsidR="00CF621C" w:rsidRPr="00CC1C25" w14:paraId="160A219D" w14:textId="77777777" w:rsidTr="0002616D">
        <w:trPr>
          <w:trHeight w:val="292"/>
        </w:trPr>
        <w:tc>
          <w:tcPr>
            <w:tcW w:w="2340" w:type="dxa"/>
            <w:shd w:val="clear" w:color="auto" w:fill="auto"/>
            <w:vAlign w:val="center"/>
            <w:hideMark/>
          </w:tcPr>
          <w:p w14:paraId="3AB68E70" w14:textId="77777777" w:rsidR="00CF621C" w:rsidRPr="00CC1C25" w:rsidRDefault="00CF621C" w:rsidP="002C7719">
            <w:pPr>
              <w:spacing w:after="0" w:line="276" w:lineRule="auto"/>
              <w:rPr>
                <w:rFonts w:eastAsia="Times New Roman" w:cs="Calibri"/>
                <w:bCs/>
                <w:lang w:val="ka-GE"/>
              </w:rPr>
            </w:pPr>
            <w:r w:rsidRPr="00CC1C25">
              <w:rPr>
                <w:rFonts w:eastAsia="Times New Roman" w:cs="Calibri"/>
                <w:bCs/>
                <w:lang w:val="ka-GE"/>
              </w:rPr>
              <w:t>იანვარი</w:t>
            </w:r>
          </w:p>
        </w:tc>
        <w:tc>
          <w:tcPr>
            <w:tcW w:w="1890" w:type="dxa"/>
            <w:shd w:val="clear" w:color="auto" w:fill="auto"/>
            <w:noWrap/>
            <w:vAlign w:val="center"/>
          </w:tcPr>
          <w:p w14:paraId="08832220"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3 681</w:t>
            </w:r>
          </w:p>
        </w:tc>
        <w:tc>
          <w:tcPr>
            <w:tcW w:w="1980" w:type="dxa"/>
            <w:shd w:val="clear" w:color="auto" w:fill="auto"/>
            <w:noWrap/>
            <w:vAlign w:val="center"/>
          </w:tcPr>
          <w:p w14:paraId="29C0EB63"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8 365</w:t>
            </w:r>
          </w:p>
        </w:tc>
        <w:tc>
          <w:tcPr>
            <w:tcW w:w="1980" w:type="dxa"/>
            <w:shd w:val="clear" w:color="auto" w:fill="auto"/>
            <w:noWrap/>
            <w:vAlign w:val="center"/>
          </w:tcPr>
          <w:p w14:paraId="6912EC8F"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6 963</w:t>
            </w:r>
          </w:p>
        </w:tc>
      </w:tr>
      <w:tr w:rsidR="00CF621C" w:rsidRPr="00CC1C25" w14:paraId="0BB1D3C8" w14:textId="77777777" w:rsidTr="0002616D">
        <w:trPr>
          <w:trHeight w:val="292"/>
        </w:trPr>
        <w:tc>
          <w:tcPr>
            <w:tcW w:w="2340" w:type="dxa"/>
            <w:shd w:val="clear" w:color="auto" w:fill="auto"/>
            <w:vAlign w:val="center"/>
          </w:tcPr>
          <w:p w14:paraId="1DB83A96" w14:textId="77777777" w:rsidR="00CF621C" w:rsidRPr="00CC1C25" w:rsidRDefault="00CF621C" w:rsidP="002C7719">
            <w:pPr>
              <w:spacing w:after="0" w:line="276" w:lineRule="auto"/>
              <w:rPr>
                <w:rFonts w:eastAsia="Times New Roman" w:cs="Calibri"/>
                <w:bCs/>
                <w:lang w:val="ka-GE"/>
              </w:rPr>
            </w:pPr>
            <w:r w:rsidRPr="00CC1C25">
              <w:rPr>
                <w:rFonts w:eastAsia="Times New Roman" w:cs="Calibri"/>
                <w:bCs/>
                <w:lang w:val="ka-GE"/>
              </w:rPr>
              <w:t>თებერვალი</w:t>
            </w:r>
          </w:p>
        </w:tc>
        <w:tc>
          <w:tcPr>
            <w:tcW w:w="1890" w:type="dxa"/>
            <w:shd w:val="clear" w:color="auto" w:fill="auto"/>
            <w:noWrap/>
            <w:vAlign w:val="center"/>
          </w:tcPr>
          <w:p w14:paraId="3FAC48F6"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3 604</w:t>
            </w:r>
          </w:p>
        </w:tc>
        <w:tc>
          <w:tcPr>
            <w:tcW w:w="1980" w:type="dxa"/>
            <w:shd w:val="clear" w:color="auto" w:fill="auto"/>
            <w:noWrap/>
            <w:vAlign w:val="center"/>
          </w:tcPr>
          <w:p w14:paraId="4F77CF3F"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4 236</w:t>
            </w:r>
          </w:p>
        </w:tc>
        <w:tc>
          <w:tcPr>
            <w:tcW w:w="1980" w:type="dxa"/>
            <w:shd w:val="clear" w:color="auto" w:fill="auto"/>
            <w:noWrap/>
            <w:vAlign w:val="center"/>
          </w:tcPr>
          <w:p w14:paraId="42568179"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4 461</w:t>
            </w:r>
          </w:p>
        </w:tc>
      </w:tr>
      <w:tr w:rsidR="00CF621C" w:rsidRPr="00CC1C25" w14:paraId="001BF723" w14:textId="77777777" w:rsidTr="0002616D">
        <w:trPr>
          <w:trHeight w:val="292"/>
        </w:trPr>
        <w:tc>
          <w:tcPr>
            <w:tcW w:w="2340" w:type="dxa"/>
            <w:shd w:val="clear" w:color="auto" w:fill="auto"/>
            <w:vAlign w:val="center"/>
          </w:tcPr>
          <w:p w14:paraId="40164472" w14:textId="77777777" w:rsidR="00CF621C" w:rsidRPr="00CC1C25" w:rsidRDefault="00CF621C" w:rsidP="002C7719">
            <w:pPr>
              <w:spacing w:after="0" w:line="276" w:lineRule="auto"/>
              <w:rPr>
                <w:rFonts w:eastAsia="Times New Roman" w:cs="Calibri"/>
                <w:bCs/>
                <w:lang w:val="ka-GE"/>
              </w:rPr>
            </w:pPr>
            <w:r w:rsidRPr="00CC1C25">
              <w:rPr>
                <w:rFonts w:eastAsia="Times New Roman" w:cs="Calibri"/>
                <w:bCs/>
                <w:lang w:val="ka-GE"/>
              </w:rPr>
              <w:t>მარტი</w:t>
            </w:r>
          </w:p>
        </w:tc>
        <w:tc>
          <w:tcPr>
            <w:tcW w:w="1890" w:type="dxa"/>
            <w:shd w:val="clear" w:color="auto" w:fill="auto"/>
            <w:noWrap/>
            <w:vAlign w:val="center"/>
          </w:tcPr>
          <w:p w14:paraId="314CAA5F"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3 834</w:t>
            </w:r>
          </w:p>
        </w:tc>
        <w:tc>
          <w:tcPr>
            <w:tcW w:w="1980" w:type="dxa"/>
            <w:shd w:val="clear" w:color="auto" w:fill="auto"/>
            <w:noWrap/>
            <w:vAlign w:val="center"/>
          </w:tcPr>
          <w:p w14:paraId="6530D9FF"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5 143</w:t>
            </w:r>
          </w:p>
        </w:tc>
        <w:tc>
          <w:tcPr>
            <w:tcW w:w="1980" w:type="dxa"/>
            <w:shd w:val="clear" w:color="auto" w:fill="auto"/>
            <w:noWrap/>
            <w:vAlign w:val="center"/>
          </w:tcPr>
          <w:p w14:paraId="1E280386" w14:textId="77777777" w:rsidR="00CF621C" w:rsidRPr="00CC1C25" w:rsidRDefault="00CF621C" w:rsidP="002C7719">
            <w:pPr>
              <w:spacing w:after="0" w:line="276" w:lineRule="auto"/>
              <w:jc w:val="center"/>
              <w:rPr>
                <w:rFonts w:eastAsia="Times New Roman" w:cs="Calibri"/>
                <w:bCs/>
                <w:lang w:val="ka-GE"/>
              </w:rPr>
            </w:pPr>
            <w:r w:rsidRPr="00CC1C25">
              <w:rPr>
                <w:rFonts w:eastAsia="Times New Roman" w:cs="Calibri"/>
                <w:bCs/>
                <w:lang w:val="ka-GE"/>
              </w:rPr>
              <w:t>2 762</w:t>
            </w:r>
          </w:p>
        </w:tc>
      </w:tr>
      <w:tr w:rsidR="00CF621C" w:rsidRPr="00CC1C25" w14:paraId="78DDFA1A" w14:textId="77777777" w:rsidTr="0002616D">
        <w:trPr>
          <w:trHeight w:val="292"/>
        </w:trPr>
        <w:tc>
          <w:tcPr>
            <w:tcW w:w="2340" w:type="dxa"/>
            <w:shd w:val="clear" w:color="auto" w:fill="auto"/>
            <w:vAlign w:val="center"/>
          </w:tcPr>
          <w:p w14:paraId="4BE4A9D2" w14:textId="77777777" w:rsidR="00CF621C" w:rsidRPr="00CC1C25" w:rsidRDefault="00CF621C" w:rsidP="002C7719">
            <w:pPr>
              <w:spacing w:after="0" w:line="276" w:lineRule="auto"/>
              <w:rPr>
                <w:rFonts w:eastAsia="Times New Roman" w:cs="Calibri"/>
                <w:bCs/>
                <w:lang w:val="ka-GE"/>
              </w:rPr>
            </w:pPr>
            <w:r w:rsidRPr="00CC1C25">
              <w:rPr>
                <w:rFonts w:eastAsia="Times New Roman" w:cstheme="minorHAnsi"/>
                <w:b/>
                <w:bCs/>
                <w:color w:val="000000"/>
                <w:lang w:val="ka-GE"/>
              </w:rPr>
              <w:t>სულ</w:t>
            </w:r>
          </w:p>
        </w:tc>
        <w:tc>
          <w:tcPr>
            <w:tcW w:w="1890" w:type="dxa"/>
            <w:shd w:val="clear" w:color="auto" w:fill="auto"/>
            <w:noWrap/>
            <w:vAlign w:val="center"/>
          </w:tcPr>
          <w:p w14:paraId="1E53A84C" w14:textId="77777777" w:rsidR="00CF621C" w:rsidRPr="00CC1C25" w:rsidRDefault="00CF621C" w:rsidP="002C7719">
            <w:pPr>
              <w:spacing w:after="0" w:line="276" w:lineRule="auto"/>
              <w:jc w:val="center"/>
              <w:rPr>
                <w:rFonts w:eastAsia="Times New Roman" w:cs="Calibri"/>
                <w:b/>
                <w:bCs/>
                <w:lang w:val="ka-GE"/>
              </w:rPr>
            </w:pPr>
            <w:r w:rsidRPr="00CC1C25">
              <w:rPr>
                <w:rFonts w:eastAsia="Times New Roman" w:cs="Calibri"/>
                <w:b/>
                <w:bCs/>
                <w:lang w:val="ka-GE"/>
              </w:rPr>
              <w:t>11 119</w:t>
            </w:r>
          </w:p>
        </w:tc>
        <w:tc>
          <w:tcPr>
            <w:tcW w:w="1980" w:type="dxa"/>
            <w:shd w:val="clear" w:color="auto" w:fill="auto"/>
            <w:noWrap/>
            <w:vAlign w:val="center"/>
          </w:tcPr>
          <w:p w14:paraId="0A6C26A8" w14:textId="77777777" w:rsidR="00CF621C" w:rsidRPr="00CC1C25" w:rsidRDefault="00CF621C" w:rsidP="002C7719">
            <w:pPr>
              <w:spacing w:after="0" w:line="276" w:lineRule="auto"/>
              <w:jc w:val="center"/>
              <w:rPr>
                <w:rFonts w:eastAsia="Times New Roman" w:cs="Calibri"/>
                <w:b/>
                <w:bCs/>
                <w:lang w:val="ka-GE"/>
              </w:rPr>
            </w:pPr>
            <w:r w:rsidRPr="00CC1C25">
              <w:rPr>
                <w:rFonts w:eastAsia="Times New Roman" w:cs="Calibri"/>
                <w:b/>
                <w:bCs/>
                <w:lang w:val="ka-GE"/>
              </w:rPr>
              <w:t>17 744</w:t>
            </w:r>
          </w:p>
        </w:tc>
        <w:tc>
          <w:tcPr>
            <w:tcW w:w="1980" w:type="dxa"/>
            <w:shd w:val="clear" w:color="auto" w:fill="auto"/>
            <w:noWrap/>
            <w:vAlign w:val="center"/>
          </w:tcPr>
          <w:p w14:paraId="7213B399" w14:textId="77777777" w:rsidR="00CF621C" w:rsidRPr="00CC1C25" w:rsidRDefault="00CF621C" w:rsidP="002C7719">
            <w:pPr>
              <w:pStyle w:val="ListParagraph"/>
              <w:numPr>
                <w:ilvl w:val="0"/>
                <w:numId w:val="8"/>
              </w:numPr>
              <w:spacing w:after="0" w:line="276" w:lineRule="auto"/>
              <w:jc w:val="center"/>
              <w:rPr>
                <w:rFonts w:ascii="Sylfaen" w:eastAsia="Times New Roman" w:hAnsi="Sylfaen" w:cs="Calibri"/>
                <w:b/>
                <w:bCs/>
              </w:rPr>
            </w:pPr>
            <w:r w:rsidRPr="00CC1C25">
              <w:rPr>
                <w:rFonts w:ascii="Sylfaen" w:eastAsia="Times New Roman" w:hAnsi="Sylfaen" w:cs="Calibri"/>
                <w:b/>
                <w:bCs/>
                <w:lang w:val="ka-GE"/>
              </w:rPr>
              <w:t>186</w:t>
            </w:r>
          </w:p>
        </w:tc>
      </w:tr>
    </w:tbl>
    <w:p w14:paraId="44B39A22" w14:textId="77777777" w:rsidR="00CF621C" w:rsidRPr="00CC1C25" w:rsidRDefault="00CF621C" w:rsidP="002C7719">
      <w:pPr>
        <w:spacing w:line="276" w:lineRule="auto"/>
        <w:jc w:val="both"/>
        <w:rPr>
          <w:lang w:val="ka-GE"/>
        </w:rPr>
      </w:pPr>
    </w:p>
    <w:p w14:paraId="3FC2AF6A" w14:textId="56069014" w:rsidR="002D7056" w:rsidRPr="00CC1C25" w:rsidRDefault="006E3B2C" w:rsidP="002C7719">
      <w:pPr>
        <w:spacing w:line="276" w:lineRule="auto"/>
        <w:jc w:val="both"/>
        <w:rPr>
          <w:b/>
          <w:lang w:val="ka-GE"/>
        </w:rPr>
      </w:pPr>
      <w:r w:rsidRPr="00CC1C25">
        <w:rPr>
          <w:b/>
          <w:lang w:val="ka-GE"/>
        </w:rPr>
        <w:t>კოვიდ 19-ის ეპიდემიის ფონზე გარდაცვალების მაჩვენებლები</w:t>
      </w:r>
    </w:p>
    <w:p w14:paraId="3110DAC0" w14:textId="77777777" w:rsidR="00560C13" w:rsidRDefault="00560C13" w:rsidP="002C7719">
      <w:pPr>
        <w:spacing w:after="0" w:line="276" w:lineRule="auto"/>
        <w:jc w:val="both"/>
        <w:rPr>
          <w:lang w:val="en-US"/>
        </w:rPr>
      </w:pPr>
      <w:r w:rsidRPr="00CC1C25">
        <w:rPr>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68ACB37A" w14:textId="77777777" w:rsidR="00ED254F" w:rsidRPr="00ED254F" w:rsidRDefault="00ED254F" w:rsidP="002C7719">
      <w:pPr>
        <w:spacing w:after="0" w:line="276" w:lineRule="auto"/>
        <w:jc w:val="both"/>
        <w:rPr>
          <w:rStyle w:val="tlid-translation"/>
          <w:rFonts w:cs="Sylfaen"/>
          <w:lang w:val="en-US"/>
        </w:rPr>
      </w:pPr>
    </w:p>
    <w:p w14:paraId="6EA4C11A" w14:textId="77777777" w:rsidR="00560C13" w:rsidRPr="00CC1C25" w:rsidRDefault="00560C13" w:rsidP="002C7719">
      <w:pPr>
        <w:spacing w:after="0" w:line="276" w:lineRule="auto"/>
        <w:jc w:val="both"/>
        <w:rPr>
          <w:rStyle w:val="tlid-translation"/>
          <w:lang w:val="ka-GE"/>
        </w:rPr>
      </w:pPr>
      <w:r w:rsidRPr="00CC1C25">
        <w:rPr>
          <w:rStyle w:val="tlid-translation"/>
          <w:rFonts w:cs="Sylfaen"/>
          <w:lang w:val="ka-GE"/>
        </w:rPr>
        <w:t>მრავალ</w:t>
      </w:r>
      <w:r w:rsidRPr="00CC1C25">
        <w:rPr>
          <w:rStyle w:val="tlid-translation"/>
          <w:lang w:val="ka-GE"/>
        </w:rPr>
        <w:t xml:space="preserve"> </w:t>
      </w:r>
      <w:r w:rsidRPr="00CC1C25">
        <w:rPr>
          <w:rStyle w:val="tlid-translation"/>
          <w:rFonts w:cs="Sylfaen"/>
          <w:lang w:val="ka-GE"/>
        </w:rPr>
        <w:t>ქვეყანაში</w:t>
      </w:r>
      <w:r w:rsidRPr="00CC1C25">
        <w:rPr>
          <w:rStyle w:val="tlid-translation"/>
          <w:lang w:val="ka-GE"/>
        </w:rPr>
        <w:t xml:space="preserve">, </w:t>
      </w:r>
      <w:r w:rsidRPr="00CC1C25">
        <w:rPr>
          <w:rStyle w:val="tlid-translation"/>
          <w:rFonts w:cs="Sylfaen"/>
          <w:lang w:val="ka-GE"/>
        </w:rPr>
        <w:t>გარდა</w:t>
      </w:r>
      <w:r w:rsidRPr="00CC1C25">
        <w:rPr>
          <w:rStyle w:val="tlid-translation"/>
          <w:lang w:val="ka-GE"/>
        </w:rPr>
        <w:t xml:space="preserve"> COVID-19-</w:t>
      </w:r>
      <w:r w:rsidRPr="00CC1C25">
        <w:rPr>
          <w:rStyle w:val="tlid-translation"/>
          <w:rFonts w:cs="Sylfaen"/>
          <w:lang w:val="ka-GE"/>
        </w:rPr>
        <w:t>ით</w:t>
      </w:r>
      <w:r w:rsidRPr="00CC1C25">
        <w:rPr>
          <w:rStyle w:val="tlid-translation"/>
          <w:lang w:val="ka-GE"/>
        </w:rPr>
        <w:t xml:space="preserve"> </w:t>
      </w:r>
      <w:r w:rsidRPr="00CC1C25">
        <w:rPr>
          <w:rStyle w:val="tlid-translation"/>
          <w:rFonts w:cs="Sylfaen"/>
          <w:lang w:val="ka-GE"/>
        </w:rPr>
        <w:t>დაავადებულთა</w:t>
      </w:r>
      <w:r w:rsidRPr="00CC1C25">
        <w:rPr>
          <w:rStyle w:val="tlid-translation"/>
          <w:lang w:val="ka-GE"/>
        </w:rPr>
        <w:t xml:space="preserve"> </w:t>
      </w:r>
      <w:r w:rsidRPr="00CC1C25">
        <w:rPr>
          <w:rStyle w:val="tlid-translation"/>
          <w:rFonts w:cs="Sylfaen"/>
          <w:lang w:val="ka-GE"/>
        </w:rPr>
        <w:t>რაოდენობისა</w:t>
      </w:r>
      <w:r w:rsidRPr="00CC1C25">
        <w:rPr>
          <w:rStyle w:val="tlid-translation"/>
          <w:lang w:val="ka-GE"/>
        </w:rPr>
        <w:t xml:space="preserve">, </w:t>
      </w:r>
      <w:r w:rsidRPr="00CC1C25">
        <w:rPr>
          <w:rStyle w:val="tlid-translation"/>
          <w:rFonts w:cs="Sylfaen"/>
          <w:lang w:val="ka-GE"/>
        </w:rPr>
        <w:t>ერთ</w:t>
      </w:r>
      <w:r w:rsidRPr="00CC1C25">
        <w:rPr>
          <w:rStyle w:val="tlid-translation"/>
          <w:lang w:val="ka-GE"/>
        </w:rPr>
        <w:t>-</w:t>
      </w:r>
      <w:r w:rsidRPr="00CC1C25">
        <w:rPr>
          <w:rStyle w:val="tlid-translation"/>
          <w:rFonts w:cs="Sylfaen"/>
          <w:lang w:val="ka-GE"/>
        </w:rPr>
        <w:t>ერთ</w:t>
      </w:r>
      <w:r w:rsidRPr="00CC1C25">
        <w:rPr>
          <w:rStyle w:val="tlid-translation"/>
          <w:lang w:val="ka-GE"/>
        </w:rPr>
        <w:t xml:space="preserve"> </w:t>
      </w:r>
      <w:r w:rsidRPr="00CC1C25">
        <w:rPr>
          <w:rStyle w:val="tlid-translation"/>
          <w:rFonts w:cs="Sylfaen"/>
          <w:lang w:val="ka-GE"/>
        </w:rPr>
        <w:t>საგულისხმო</w:t>
      </w:r>
      <w:r w:rsidRPr="00CC1C25">
        <w:rPr>
          <w:rStyle w:val="tlid-translation"/>
          <w:lang w:val="ka-GE"/>
        </w:rPr>
        <w:t xml:space="preserve"> </w:t>
      </w:r>
      <w:r w:rsidRPr="00CC1C25">
        <w:rPr>
          <w:rStyle w:val="tlid-translation"/>
          <w:rFonts w:cs="Sylfaen"/>
          <w:lang w:val="ka-GE"/>
        </w:rPr>
        <w:t>ინდიკატორად</w:t>
      </w:r>
      <w:r w:rsidRPr="00CC1C25">
        <w:rPr>
          <w:rStyle w:val="tlid-translation"/>
          <w:lang w:val="ka-GE"/>
        </w:rPr>
        <w:t xml:space="preserve"> </w:t>
      </w:r>
      <w:r w:rsidRPr="00CC1C25">
        <w:rPr>
          <w:rStyle w:val="tlid-translation"/>
          <w:rFonts w:cs="Sylfaen"/>
          <w:lang w:val="ka-GE"/>
        </w:rPr>
        <w:t>ნამატი</w:t>
      </w:r>
      <w:r w:rsidRPr="00CC1C25">
        <w:rPr>
          <w:rStyle w:val="tlid-translation"/>
          <w:lang w:val="ka-GE"/>
        </w:rPr>
        <w:t xml:space="preserve"> </w:t>
      </w:r>
      <w:r w:rsidRPr="00CC1C25">
        <w:rPr>
          <w:rStyle w:val="tlid-translation"/>
          <w:rFonts w:cs="Sylfaen"/>
          <w:lang w:val="ka-GE"/>
        </w:rPr>
        <w:t>სიკვდილიანობის</w:t>
      </w:r>
      <w:r w:rsidRPr="00CC1C25">
        <w:rPr>
          <w:rStyle w:val="tlid-translation"/>
          <w:lang w:val="ka-GE"/>
        </w:rPr>
        <w:t xml:space="preserve"> </w:t>
      </w:r>
      <w:r w:rsidRPr="00CC1C25">
        <w:rPr>
          <w:rStyle w:val="tlid-translation"/>
          <w:rFonts w:cs="Sylfaen"/>
          <w:lang w:val="ka-GE"/>
        </w:rPr>
        <w:t>მაჩვენებელს</w:t>
      </w:r>
      <w:r w:rsidRPr="00CC1C25">
        <w:rPr>
          <w:rStyle w:val="tlid-translation"/>
          <w:lang w:val="ka-GE"/>
        </w:rPr>
        <w:t xml:space="preserve"> (excess mortality) </w:t>
      </w:r>
      <w:r w:rsidRPr="00CC1C25">
        <w:rPr>
          <w:rStyle w:val="tlid-translation"/>
          <w:rFonts w:cs="Sylfaen"/>
          <w:lang w:val="ka-GE"/>
        </w:rPr>
        <w:t>განიხილავენ</w:t>
      </w:r>
      <w:r w:rsidRPr="00CC1C25">
        <w:rPr>
          <w:rStyle w:val="tlid-translation"/>
          <w:lang w:val="ka-GE"/>
        </w:rPr>
        <w:t xml:space="preserve">, </w:t>
      </w:r>
      <w:r w:rsidRPr="00CC1C25">
        <w:rPr>
          <w:rStyle w:val="tlid-translation"/>
          <w:rFonts w:cs="Sylfaen"/>
          <w:lang w:val="ka-GE"/>
        </w:rPr>
        <w:t>რათა</w:t>
      </w:r>
      <w:r w:rsidRPr="00CC1C25">
        <w:rPr>
          <w:rStyle w:val="tlid-translation"/>
          <w:lang w:val="ka-GE"/>
        </w:rPr>
        <w:t xml:space="preserve"> </w:t>
      </w:r>
      <w:r w:rsidRPr="00CC1C25">
        <w:rPr>
          <w:rStyle w:val="tlid-translation"/>
          <w:rFonts w:cs="Sylfaen"/>
          <w:lang w:val="ka-GE"/>
        </w:rPr>
        <w:t>შეფასდეს</w:t>
      </w:r>
      <w:r w:rsidRPr="00CC1C25">
        <w:rPr>
          <w:rStyle w:val="tlid-translation"/>
          <w:lang w:val="ka-GE"/>
        </w:rPr>
        <w:t xml:space="preserve">, </w:t>
      </w:r>
      <w:r w:rsidRPr="00CC1C25">
        <w:rPr>
          <w:rStyle w:val="tlid-translation"/>
          <w:rFonts w:cs="Sylfaen"/>
          <w:lang w:val="ka-GE"/>
        </w:rPr>
        <w:t>მოახდინა</w:t>
      </w:r>
      <w:r w:rsidRPr="00CC1C25">
        <w:rPr>
          <w:rStyle w:val="tlid-translation"/>
          <w:lang w:val="ka-GE"/>
        </w:rPr>
        <w:t xml:space="preserve"> </w:t>
      </w:r>
      <w:r w:rsidRPr="00CC1C25">
        <w:rPr>
          <w:rStyle w:val="tlid-translation"/>
          <w:rFonts w:cs="Sylfaen"/>
          <w:lang w:val="ka-GE"/>
        </w:rPr>
        <w:t>თუ</w:t>
      </w:r>
      <w:r w:rsidRPr="00CC1C25">
        <w:rPr>
          <w:rStyle w:val="tlid-translation"/>
          <w:lang w:val="ka-GE"/>
        </w:rPr>
        <w:t xml:space="preserve"> </w:t>
      </w:r>
      <w:r w:rsidRPr="00CC1C25">
        <w:rPr>
          <w:rStyle w:val="tlid-translation"/>
          <w:rFonts w:cs="Sylfaen"/>
          <w:lang w:val="ka-GE"/>
        </w:rPr>
        <w:t>არა</w:t>
      </w:r>
      <w:r w:rsidRPr="00CC1C25">
        <w:rPr>
          <w:rStyle w:val="tlid-translation"/>
          <w:lang w:val="ka-GE"/>
        </w:rPr>
        <w:t xml:space="preserve"> </w:t>
      </w:r>
      <w:r w:rsidRPr="00CC1C25">
        <w:rPr>
          <w:rStyle w:val="tlid-translation"/>
          <w:rFonts w:cs="Sylfaen"/>
          <w:lang w:val="ka-GE"/>
        </w:rPr>
        <w:t>რაიმე</w:t>
      </w:r>
      <w:r w:rsidRPr="00CC1C25">
        <w:rPr>
          <w:rStyle w:val="tlid-translation"/>
          <w:lang w:val="ka-GE"/>
        </w:rPr>
        <w:t xml:space="preserve"> </w:t>
      </w:r>
      <w:r w:rsidRPr="00CC1C25">
        <w:rPr>
          <w:rStyle w:val="tlid-translation"/>
          <w:rFonts w:cs="Sylfaen"/>
          <w:lang w:val="ka-GE"/>
        </w:rPr>
        <w:t>გავლენა</w:t>
      </w:r>
      <w:r w:rsidRPr="00CC1C25">
        <w:rPr>
          <w:rStyle w:val="tlid-translation"/>
          <w:lang w:val="ka-GE"/>
        </w:rPr>
        <w:t xml:space="preserve"> </w:t>
      </w:r>
      <w:r w:rsidRPr="00CC1C25">
        <w:rPr>
          <w:rStyle w:val="tlid-translation"/>
          <w:rFonts w:cs="Sylfaen"/>
          <w:lang w:val="ka-GE"/>
        </w:rPr>
        <w:t>აღნიშნული</w:t>
      </w:r>
      <w:r w:rsidRPr="00CC1C25">
        <w:rPr>
          <w:rStyle w:val="tlid-translation"/>
          <w:lang w:val="ka-GE"/>
        </w:rPr>
        <w:t xml:space="preserve"> </w:t>
      </w:r>
      <w:r w:rsidRPr="00CC1C25">
        <w:rPr>
          <w:rStyle w:val="tlid-translation"/>
          <w:rFonts w:cs="Sylfaen"/>
          <w:lang w:val="ka-GE"/>
        </w:rPr>
        <w:t>დაავადების</w:t>
      </w:r>
      <w:r w:rsidRPr="00CC1C25">
        <w:rPr>
          <w:rStyle w:val="tlid-translation"/>
          <w:lang w:val="ka-GE"/>
        </w:rPr>
        <w:t xml:space="preserve"> </w:t>
      </w:r>
      <w:r w:rsidRPr="00CC1C25">
        <w:rPr>
          <w:rStyle w:val="tlid-translation"/>
          <w:rFonts w:cs="Sylfaen"/>
          <w:lang w:val="ka-GE"/>
        </w:rPr>
        <w:t>სწრაფმა</w:t>
      </w:r>
      <w:r w:rsidRPr="00CC1C25">
        <w:rPr>
          <w:rStyle w:val="tlid-translation"/>
          <w:lang w:val="ka-GE"/>
        </w:rPr>
        <w:t xml:space="preserve"> </w:t>
      </w:r>
      <w:r w:rsidRPr="00CC1C25">
        <w:rPr>
          <w:rStyle w:val="tlid-translation"/>
          <w:rFonts w:cs="Sylfaen"/>
          <w:lang w:val="ka-GE"/>
        </w:rPr>
        <w:t>გავრცელებამ</w:t>
      </w:r>
      <w:r w:rsidRPr="00CC1C25">
        <w:rPr>
          <w:rStyle w:val="tlid-translation"/>
          <w:lang w:val="ka-GE"/>
        </w:rPr>
        <w:t xml:space="preserve"> </w:t>
      </w:r>
      <w:r w:rsidRPr="00CC1C25">
        <w:rPr>
          <w:rStyle w:val="tlid-translation"/>
          <w:rFonts w:cs="Sylfaen"/>
          <w:lang w:val="ka-GE"/>
        </w:rPr>
        <w:t>და</w:t>
      </w:r>
      <w:r w:rsidRPr="00CC1C25">
        <w:rPr>
          <w:rStyle w:val="tlid-translation"/>
          <w:lang w:val="ka-GE"/>
        </w:rPr>
        <w:t xml:space="preserve"> </w:t>
      </w:r>
      <w:r w:rsidRPr="00CC1C25">
        <w:rPr>
          <w:rStyle w:val="tlid-translation"/>
          <w:rFonts w:cs="Sylfaen"/>
          <w:lang w:val="ka-GE"/>
        </w:rPr>
        <w:t>მასთან</w:t>
      </w:r>
      <w:r w:rsidRPr="00CC1C25">
        <w:rPr>
          <w:rStyle w:val="tlid-translation"/>
          <w:lang w:val="ka-GE"/>
        </w:rPr>
        <w:t xml:space="preserve"> </w:t>
      </w:r>
      <w:r w:rsidRPr="00CC1C25">
        <w:rPr>
          <w:rStyle w:val="tlid-translation"/>
          <w:rFonts w:cs="Sylfaen"/>
          <w:lang w:val="ka-GE"/>
        </w:rPr>
        <w:t>დაკავშირებულმა</w:t>
      </w:r>
      <w:r w:rsidRPr="00CC1C25">
        <w:rPr>
          <w:rStyle w:val="tlid-translation"/>
          <w:lang w:val="ka-GE"/>
        </w:rPr>
        <w:t xml:space="preserve"> </w:t>
      </w:r>
      <w:r w:rsidRPr="00CC1C25">
        <w:rPr>
          <w:rStyle w:val="tlid-translation"/>
          <w:rFonts w:cs="Sylfaen"/>
          <w:lang w:val="ka-GE"/>
        </w:rPr>
        <w:t>გარდაცვალების</w:t>
      </w:r>
      <w:r w:rsidRPr="00CC1C25">
        <w:rPr>
          <w:rStyle w:val="tlid-translation"/>
          <w:lang w:val="ka-GE"/>
        </w:rPr>
        <w:t xml:space="preserve"> </w:t>
      </w:r>
      <w:r w:rsidRPr="00CC1C25">
        <w:rPr>
          <w:rStyle w:val="tlid-translation"/>
          <w:rFonts w:cs="Sylfaen"/>
          <w:lang w:val="ka-GE"/>
        </w:rPr>
        <w:t>შემთხვევებმა</w:t>
      </w:r>
      <w:r w:rsidRPr="00CC1C25">
        <w:rPr>
          <w:rStyle w:val="tlid-translation"/>
          <w:lang w:val="ka-GE"/>
        </w:rPr>
        <w:t xml:space="preserve"> </w:t>
      </w:r>
      <w:r w:rsidRPr="00CC1C25">
        <w:rPr>
          <w:rStyle w:val="tlid-translation"/>
          <w:rFonts w:cs="Sylfaen"/>
          <w:lang w:val="ka-GE"/>
        </w:rPr>
        <w:t>სიკვდილიანობის</w:t>
      </w:r>
      <w:r w:rsidRPr="00CC1C25">
        <w:rPr>
          <w:rStyle w:val="tlid-translation"/>
          <w:lang w:val="ka-GE"/>
        </w:rPr>
        <w:t xml:space="preserve"> </w:t>
      </w:r>
      <w:r w:rsidRPr="00CC1C25">
        <w:rPr>
          <w:rStyle w:val="tlid-translation"/>
          <w:rFonts w:cs="Sylfaen"/>
          <w:lang w:val="ka-GE"/>
        </w:rPr>
        <w:t>მაჩვენებელზე</w:t>
      </w:r>
      <w:r w:rsidRPr="00CC1C25">
        <w:rPr>
          <w:rStyle w:val="tlid-translation"/>
          <w:lang w:val="ka-GE"/>
        </w:rPr>
        <w:t>.</w:t>
      </w:r>
    </w:p>
    <w:p w14:paraId="4190FBFB" w14:textId="77777777" w:rsidR="00560C13" w:rsidRPr="00CC1C25" w:rsidRDefault="00560C13" w:rsidP="002C7719">
      <w:pPr>
        <w:shd w:val="clear" w:color="auto" w:fill="FFFFFF"/>
        <w:spacing w:after="0" w:line="276" w:lineRule="auto"/>
        <w:jc w:val="both"/>
        <w:rPr>
          <w:rStyle w:val="tlid-translation"/>
          <w:rFonts w:cs="Sylfaen"/>
          <w:lang w:val="ka-GE"/>
        </w:rPr>
      </w:pPr>
    </w:p>
    <w:p w14:paraId="721F97A2" w14:textId="77777777" w:rsidR="00560C13" w:rsidRPr="00CC1C25" w:rsidRDefault="00560C13" w:rsidP="002C7719">
      <w:pPr>
        <w:shd w:val="clear" w:color="auto" w:fill="FFFFFF"/>
        <w:spacing w:after="0" w:line="276" w:lineRule="auto"/>
        <w:jc w:val="both"/>
        <w:rPr>
          <w:rStyle w:val="tlid-translation"/>
          <w:lang w:val="ka-GE"/>
        </w:rPr>
      </w:pPr>
      <w:r w:rsidRPr="00CC1C25">
        <w:rPr>
          <w:rStyle w:val="tlid-translation"/>
          <w:rFonts w:cs="Sylfaen"/>
          <w:lang w:val="ka-GE"/>
        </w:rPr>
        <w:t>ნამატი</w:t>
      </w:r>
      <w:r w:rsidRPr="00CC1C25">
        <w:rPr>
          <w:rStyle w:val="tlid-translation"/>
          <w:lang w:val="ka-GE"/>
        </w:rPr>
        <w:t xml:space="preserve"> </w:t>
      </w:r>
      <w:r w:rsidRPr="00CC1C25">
        <w:rPr>
          <w:rStyle w:val="tlid-translation"/>
          <w:rFonts w:cs="Sylfaen"/>
          <w:lang w:val="ka-GE"/>
        </w:rPr>
        <w:t>სიკვდილიანობის</w:t>
      </w:r>
      <w:r w:rsidRPr="00CC1C25">
        <w:rPr>
          <w:rStyle w:val="tlid-translation"/>
          <w:lang w:val="ka-GE"/>
        </w:rPr>
        <w:t xml:space="preserve"> </w:t>
      </w:r>
      <w:r w:rsidRPr="00CC1C25">
        <w:rPr>
          <w:rStyle w:val="tlid-translation"/>
          <w:rFonts w:cs="Sylfaen"/>
          <w:lang w:val="ka-GE"/>
        </w:rPr>
        <w:t>მაჩვენებელი</w:t>
      </w:r>
      <w:r w:rsidRPr="00CC1C25">
        <w:rPr>
          <w:rStyle w:val="tlid-translation"/>
          <w:lang w:val="ka-GE"/>
        </w:rPr>
        <w:t xml:space="preserve"> </w:t>
      </w:r>
      <w:r w:rsidRPr="00CC1C25">
        <w:rPr>
          <w:rStyle w:val="tlid-translation"/>
          <w:rFonts w:cs="Sylfaen"/>
          <w:lang w:val="ka-GE"/>
        </w:rPr>
        <w:t>განისაზღვრება</w:t>
      </w:r>
      <w:r w:rsidRPr="00CC1C25">
        <w:rPr>
          <w:rStyle w:val="tlid-translation"/>
          <w:lang w:val="ka-GE"/>
        </w:rPr>
        <w:t xml:space="preserve">, </w:t>
      </w:r>
      <w:r w:rsidRPr="00CC1C25">
        <w:rPr>
          <w:rStyle w:val="tlid-translation"/>
          <w:rFonts w:cs="Sylfaen"/>
          <w:lang w:val="ka-GE"/>
        </w:rPr>
        <w:t>როგორც</w:t>
      </w:r>
      <w:r w:rsidRPr="00CC1C25">
        <w:rPr>
          <w:rStyle w:val="tlid-translation"/>
          <w:lang w:val="ka-GE"/>
        </w:rPr>
        <w:t xml:space="preserve"> </w:t>
      </w:r>
      <w:r w:rsidRPr="00CC1C25">
        <w:rPr>
          <w:rStyle w:val="tlid-translation"/>
          <w:rFonts w:cs="Sylfaen"/>
          <w:lang w:val="ka-GE"/>
        </w:rPr>
        <w:t>სიკვდილიანობა</w:t>
      </w:r>
      <w:r w:rsidRPr="00CC1C25">
        <w:rPr>
          <w:rStyle w:val="tlid-translation"/>
          <w:lang w:val="ka-GE"/>
        </w:rPr>
        <w:t xml:space="preserve"> </w:t>
      </w:r>
      <w:r w:rsidRPr="00CC1C25">
        <w:rPr>
          <w:rStyle w:val="tlid-translation"/>
          <w:rFonts w:cs="Sylfaen"/>
          <w:lang w:val="ka-GE"/>
        </w:rPr>
        <w:t>ზოგად</w:t>
      </w:r>
      <w:r w:rsidRPr="00CC1C25">
        <w:rPr>
          <w:rStyle w:val="tlid-translation"/>
          <w:lang w:val="ka-GE"/>
        </w:rPr>
        <w:t xml:space="preserve"> </w:t>
      </w:r>
      <w:r w:rsidRPr="00CC1C25">
        <w:rPr>
          <w:rStyle w:val="tlid-translation"/>
          <w:rFonts w:cs="Sylfaen"/>
          <w:lang w:val="ka-GE"/>
        </w:rPr>
        <w:t>პოპულაციაში</w:t>
      </w:r>
      <w:r w:rsidRPr="00CC1C25">
        <w:rPr>
          <w:rStyle w:val="tlid-translation"/>
          <w:lang w:val="ka-GE"/>
        </w:rPr>
        <w:t xml:space="preserve">, </w:t>
      </w:r>
      <w:r w:rsidRPr="00CC1C25">
        <w:rPr>
          <w:rStyle w:val="tlid-translation"/>
          <w:rFonts w:cs="Sylfaen"/>
          <w:lang w:val="ka-GE"/>
        </w:rPr>
        <w:t>რომელიც</w:t>
      </w:r>
      <w:r w:rsidRPr="00CC1C25">
        <w:rPr>
          <w:rStyle w:val="tlid-translation"/>
          <w:lang w:val="ka-GE"/>
        </w:rPr>
        <w:t xml:space="preserve"> </w:t>
      </w:r>
      <w:r w:rsidRPr="00CC1C25">
        <w:rPr>
          <w:rStyle w:val="tlid-translation"/>
          <w:rFonts w:cs="Sylfaen"/>
          <w:lang w:val="ka-GE"/>
        </w:rPr>
        <w:t>აღემატება</w:t>
      </w:r>
      <w:r w:rsidRPr="00CC1C25">
        <w:rPr>
          <w:rStyle w:val="tlid-translation"/>
          <w:lang w:val="ka-GE"/>
        </w:rPr>
        <w:t xml:space="preserve"> </w:t>
      </w:r>
      <w:r w:rsidRPr="00CC1C25">
        <w:rPr>
          <w:rStyle w:val="tlid-translation"/>
          <w:rFonts w:cs="Sylfaen"/>
          <w:lang w:val="ka-GE"/>
        </w:rPr>
        <w:t>მოსალოდნელ</w:t>
      </w:r>
      <w:r w:rsidRPr="00CC1C25">
        <w:rPr>
          <w:rStyle w:val="tlid-translation"/>
          <w:lang w:val="ka-GE"/>
        </w:rPr>
        <w:t xml:space="preserve"> </w:t>
      </w:r>
      <w:r w:rsidRPr="00CC1C25">
        <w:rPr>
          <w:rStyle w:val="tlid-translation"/>
          <w:rFonts w:cs="Sylfaen"/>
          <w:lang w:val="ka-GE"/>
        </w:rPr>
        <w:t>სიკვილიანობის</w:t>
      </w:r>
      <w:r w:rsidRPr="00CC1C25">
        <w:rPr>
          <w:rStyle w:val="tlid-translation"/>
          <w:lang w:val="ka-GE"/>
        </w:rPr>
        <w:t xml:space="preserve"> </w:t>
      </w:r>
      <w:r w:rsidRPr="00CC1C25">
        <w:rPr>
          <w:rStyle w:val="tlid-translation"/>
          <w:rFonts w:cs="Sylfaen"/>
          <w:lang w:val="ka-GE"/>
        </w:rPr>
        <w:t>მაჩვენებელს</w:t>
      </w:r>
      <w:r w:rsidRPr="00CC1C25">
        <w:rPr>
          <w:rStyle w:val="tlid-translation"/>
          <w:lang w:val="ka-GE"/>
        </w:rPr>
        <w:t xml:space="preserve">, </w:t>
      </w:r>
      <w:r w:rsidRPr="00CC1C25">
        <w:rPr>
          <w:rStyle w:val="tlid-translation"/>
          <w:rFonts w:cs="Sylfaen"/>
          <w:lang w:val="ka-GE"/>
        </w:rPr>
        <w:t>გამოწვეულს</w:t>
      </w:r>
      <w:r w:rsidRPr="00CC1C25">
        <w:rPr>
          <w:rStyle w:val="tlid-translation"/>
          <w:lang w:val="ka-GE"/>
        </w:rPr>
        <w:t xml:space="preserve"> </w:t>
      </w:r>
      <w:r w:rsidRPr="00CC1C25">
        <w:rPr>
          <w:rStyle w:val="tlid-translation"/>
          <w:rFonts w:cs="Sylfaen"/>
          <w:lang w:val="ka-GE"/>
        </w:rPr>
        <w:t>კონკრეტული</w:t>
      </w:r>
      <w:r w:rsidRPr="00CC1C25">
        <w:rPr>
          <w:rStyle w:val="tlid-translation"/>
          <w:lang w:val="ka-GE"/>
        </w:rPr>
        <w:t xml:space="preserve"> </w:t>
      </w:r>
      <w:r w:rsidRPr="00CC1C25">
        <w:rPr>
          <w:rStyle w:val="tlid-translation"/>
          <w:rFonts w:cs="Sylfaen"/>
          <w:lang w:val="ka-GE"/>
        </w:rPr>
        <w:t>დაავადებით</w:t>
      </w:r>
      <w:r w:rsidRPr="00CC1C25">
        <w:rPr>
          <w:rStyle w:val="tlid-translation"/>
          <w:lang w:val="ka-GE"/>
        </w:rPr>
        <w:t xml:space="preserve">. </w:t>
      </w:r>
      <w:r w:rsidRPr="00CC1C25">
        <w:rPr>
          <w:rStyle w:val="tlid-translation"/>
          <w:rFonts w:cs="Sylfaen"/>
          <w:lang w:val="ka-GE"/>
        </w:rPr>
        <w:t>მომატებული</w:t>
      </w:r>
      <w:r w:rsidRPr="00CC1C25">
        <w:rPr>
          <w:rStyle w:val="tlid-translation"/>
          <w:lang w:val="ka-GE"/>
        </w:rPr>
        <w:t xml:space="preserve"> </w:t>
      </w:r>
      <w:r w:rsidRPr="00CC1C25">
        <w:rPr>
          <w:rStyle w:val="tlid-translation"/>
          <w:rFonts w:cs="Sylfaen"/>
          <w:lang w:val="ka-GE"/>
        </w:rPr>
        <w:t>სიკვილიანობა</w:t>
      </w:r>
      <w:r w:rsidRPr="00CC1C25">
        <w:rPr>
          <w:rStyle w:val="tlid-translation"/>
          <w:lang w:val="ka-GE"/>
        </w:rPr>
        <w:t xml:space="preserve">, </w:t>
      </w:r>
      <w:r w:rsidRPr="00CC1C25">
        <w:rPr>
          <w:rStyle w:val="tlid-translation"/>
          <w:rFonts w:cs="Sylfaen"/>
          <w:lang w:val="ka-GE"/>
        </w:rPr>
        <w:t>ამ</w:t>
      </w:r>
      <w:r w:rsidRPr="00CC1C25">
        <w:rPr>
          <w:rStyle w:val="tlid-translation"/>
          <w:lang w:val="ka-GE"/>
        </w:rPr>
        <w:t xml:space="preserve"> </w:t>
      </w:r>
      <w:r w:rsidRPr="00CC1C25">
        <w:rPr>
          <w:rStyle w:val="tlid-translation"/>
          <w:rFonts w:cs="Sylfaen"/>
          <w:lang w:val="ka-GE"/>
        </w:rPr>
        <w:t>ეტაპისთვის</w:t>
      </w:r>
      <w:r w:rsidRPr="00CC1C25">
        <w:rPr>
          <w:rStyle w:val="tlid-translation"/>
          <w:lang w:val="ka-GE"/>
        </w:rPr>
        <w:t xml:space="preserve"> (11.05.2020) ევროპის რეგიონის ქვეყნებიდან </w:t>
      </w:r>
      <w:r w:rsidRPr="00CC1C25">
        <w:rPr>
          <w:rStyle w:val="tlid-translation"/>
          <w:rFonts w:cs="Sylfaen"/>
          <w:lang w:val="ka-GE"/>
        </w:rPr>
        <w:t>აღინიშნება ბელგიაში</w:t>
      </w:r>
      <w:r w:rsidRPr="00CC1C25">
        <w:rPr>
          <w:rStyle w:val="tlid-translation"/>
          <w:lang w:val="ka-GE"/>
        </w:rPr>
        <w:t xml:space="preserve">, </w:t>
      </w:r>
      <w:r w:rsidRPr="00CC1C25">
        <w:rPr>
          <w:rStyle w:val="tlid-translation"/>
          <w:rFonts w:cs="Sylfaen"/>
          <w:lang w:val="ka-GE"/>
        </w:rPr>
        <w:t>საფრანგეთში</w:t>
      </w:r>
      <w:r w:rsidRPr="00CC1C25">
        <w:rPr>
          <w:rStyle w:val="tlid-translation"/>
          <w:lang w:val="ka-GE"/>
        </w:rPr>
        <w:t xml:space="preserve">, </w:t>
      </w:r>
      <w:r w:rsidRPr="00CC1C25">
        <w:rPr>
          <w:rStyle w:val="tlid-translation"/>
          <w:rFonts w:cs="Sylfaen"/>
          <w:lang w:val="ka-GE"/>
        </w:rPr>
        <w:t>შვედეთში</w:t>
      </w:r>
      <w:r w:rsidRPr="00CC1C25">
        <w:rPr>
          <w:rStyle w:val="tlid-translation"/>
          <w:lang w:val="ka-GE"/>
        </w:rPr>
        <w:t xml:space="preserve">, </w:t>
      </w:r>
      <w:r w:rsidRPr="00CC1C25">
        <w:rPr>
          <w:rStyle w:val="tlid-translation"/>
          <w:rFonts w:cs="Sylfaen"/>
          <w:lang w:val="ka-GE"/>
        </w:rPr>
        <w:t>ესპანეთში</w:t>
      </w:r>
      <w:r w:rsidRPr="00CC1C25">
        <w:rPr>
          <w:rStyle w:val="tlid-translation"/>
          <w:lang w:val="ka-GE"/>
        </w:rPr>
        <w:t xml:space="preserve">, </w:t>
      </w:r>
      <w:r w:rsidRPr="00CC1C25">
        <w:rPr>
          <w:rStyle w:val="tlid-translation"/>
          <w:rFonts w:cs="Sylfaen"/>
          <w:lang w:val="ka-GE"/>
        </w:rPr>
        <w:t>იტალიაში</w:t>
      </w:r>
      <w:r w:rsidRPr="00CC1C25">
        <w:rPr>
          <w:rStyle w:val="tlid-translation"/>
          <w:lang w:val="ka-GE"/>
        </w:rPr>
        <w:t xml:space="preserve">, </w:t>
      </w:r>
      <w:r w:rsidRPr="00CC1C25">
        <w:rPr>
          <w:rStyle w:val="tlid-translation"/>
          <w:rFonts w:cs="Sylfaen"/>
          <w:lang w:val="ka-GE"/>
        </w:rPr>
        <w:t>ინგლისსა</w:t>
      </w:r>
      <w:r w:rsidRPr="00CC1C25">
        <w:rPr>
          <w:rStyle w:val="tlid-translation"/>
          <w:lang w:val="ka-GE"/>
        </w:rPr>
        <w:t xml:space="preserve"> </w:t>
      </w:r>
      <w:r w:rsidRPr="00CC1C25">
        <w:rPr>
          <w:rStyle w:val="tlid-translation"/>
          <w:rFonts w:cs="Sylfaen"/>
          <w:lang w:val="ka-GE"/>
        </w:rPr>
        <w:t>და</w:t>
      </w:r>
      <w:r w:rsidRPr="00CC1C25">
        <w:rPr>
          <w:rStyle w:val="tlid-translation"/>
          <w:lang w:val="ka-GE"/>
        </w:rPr>
        <w:t xml:space="preserve"> </w:t>
      </w:r>
      <w:r w:rsidRPr="00CC1C25">
        <w:rPr>
          <w:rStyle w:val="tlid-translation"/>
          <w:rFonts w:cs="Sylfaen"/>
          <w:lang w:val="ka-GE"/>
        </w:rPr>
        <w:t>ნიდერლანდებში</w:t>
      </w:r>
      <w:r w:rsidRPr="00CC1C25">
        <w:rPr>
          <w:rStyle w:val="tlid-translation"/>
          <w:lang w:val="ka-GE"/>
        </w:rPr>
        <w:t>.</w:t>
      </w:r>
    </w:p>
    <w:p w14:paraId="41091EAF" w14:textId="77777777" w:rsidR="00560C13" w:rsidRPr="00CC1C25" w:rsidRDefault="00560C13" w:rsidP="002C7719">
      <w:pPr>
        <w:shd w:val="clear" w:color="auto" w:fill="FFFFFF"/>
        <w:spacing w:after="0" w:line="276" w:lineRule="auto"/>
        <w:jc w:val="both"/>
        <w:rPr>
          <w:rStyle w:val="tlid-translation"/>
          <w:rFonts w:cs="Sylfaen"/>
          <w:lang w:val="ka-GE"/>
        </w:rPr>
      </w:pPr>
    </w:p>
    <w:p w14:paraId="15EAEABB" w14:textId="77777777" w:rsidR="00560C13" w:rsidRPr="00CC1C25" w:rsidRDefault="00560C13" w:rsidP="002C7719">
      <w:pPr>
        <w:shd w:val="clear" w:color="auto" w:fill="FFFFFF"/>
        <w:spacing w:after="0" w:line="276" w:lineRule="auto"/>
        <w:jc w:val="both"/>
        <w:rPr>
          <w:lang w:val="ka-GE"/>
        </w:rPr>
      </w:pPr>
      <w:r w:rsidRPr="00CC1C25">
        <w:rPr>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49DF29DE" w14:textId="77777777" w:rsidR="006E3B2C" w:rsidRPr="00CC1C25" w:rsidRDefault="006E3B2C" w:rsidP="002C7719">
      <w:pPr>
        <w:shd w:val="clear" w:color="auto" w:fill="FFFFFF"/>
        <w:spacing w:after="150" w:line="276" w:lineRule="auto"/>
        <w:jc w:val="both"/>
        <w:rPr>
          <w:lang w:val="ka-GE"/>
        </w:rPr>
      </w:pPr>
    </w:p>
    <w:p w14:paraId="3948E49E" w14:textId="76607C7D" w:rsidR="00332A59" w:rsidRPr="00CC1C25" w:rsidRDefault="00332A59" w:rsidP="002C7719">
      <w:pPr>
        <w:spacing w:line="276" w:lineRule="auto"/>
        <w:jc w:val="both"/>
        <w:rPr>
          <w:b/>
          <w:lang w:val="ka-GE"/>
        </w:rPr>
      </w:pPr>
      <w:r w:rsidRPr="00CC1C25">
        <w:rPr>
          <w:b/>
          <w:lang w:val="ka-GE"/>
        </w:rPr>
        <w:t xml:space="preserve">ჯანდაცვის სექტორის მობილიზება კოვიდზე პასუხისთვის </w:t>
      </w:r>
    </w:p>
    <w:p w14:paraId="4813FA6E" w14:textId="7D58E3E1" w:rsidR="00332A59" w:rsidRPr="00CC1C25" w:rsidRDefault="00332A59" w:rsidP="002C7719">
      <w:pPr>
        <w:spacing w:line="276" w:lineRule="auto"/>
        <w:jc w:val="both"/>
        <w:rPr>
          <w:lang w:val="ka-GE"/>
        </w:rPr>
      </w:pPr>
      <w:r w:rsidRPr="00CC1C25">
        <w:rPr>
          <w:lang w:val="ka-GE"/>
        </w:rPr>
        <w:t xml:space="preserve">კოვიდის ადრეული დიაგნოსტიკა და მართვის მიზნით ოკუპირებული ტერიტორიებიდან დევნილთა, შრომის, ჯანმრთელობისა და სოაციალური დაცვის სამინისტრომ გამოსცა კლინიკური პრაქტიკის ეროვნული რეკომენდაციები, როგორც პირველადი ჯანდაცვის ექიმების, ასევე </w:t>
      </w:r>
      <w:r w:rsidR="00417EEF" w:rsidRPr="00CC1C25">
        <w:rPr>
          <w:lang w:val="ka-GE"/>
        </w:rPr>
        <w:t>ჰოსპიტ</w:t>
      </w:r>
      <w:r w:rsidRPr="00CC1C25">
        <w:rPr>
          <w:lang w:val="ka-GE"/>
        </w:rPr>
        <w:t>ლ</w:t>
      </w:r>
      <w:r w:rsidR="00417EEF" w:rsidRPr="00CC1C25">
        <w:rPr>
          <w:lang w:val="ka-GE"/>
        </w:rPr>
        <w:t>ე</w:t>
      </w:r>
      <w:r w:rsidRPr="00CC1C25">
        <w:rPr>
          <w:lang w:val="ka-GE"/>
        </w:rPr>
        <w:t>ბისთვის.</w:t>
      </w:r>
      <w:r w:rsidR="00417EEF" w:rsidRPr="00CC1C25">
        <w:rPr>
          <w:lang w:val="ka-GE"/>
        </w:rPr>
        <w:t xml:space="preserve"> სიცხიანი პაციენტების მიერ სასწრაფო-გადაუდებელი სამსახურის </w:t>
      </w:r>
      <w:r w:rsidRPr="00CC1C25">
        <w:rPr>
          <w:lang w:val="ka-GE"/>
        </w:rPr>
        <w:t xml:space="preserve"> </w:t>
      </w:r>
      <w:r w:rsidR="00417EEF" w:rsidRPr="00CC1C25">
        <w:rPr>
          <w:lang w:val="ka-GE"/>
        </w:rPr>
        <w:t xml:space="preserve">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w:t>
      </w:r>
      <w:r w:rsidR="00C611AD" w:rsidRPr="00CC1C25">
        <w:rPr>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r w:rsidR="00C611AD" w:rsidRPr="00B92679">
        <w:rPr>
          <w:lang w:val="ka-GE"/>
        </w:rPr>
        <w:t>2 აპრილიდან 1</w:t>
      </w:r>
      <w:r w:rsidR="00B92679">
        <w:rPr>
          <w:lang w:val="en-US"/>
        </w:rPr>
        <w:t>6</w:t>
      </w:r>
      <w:r w:rsidR="00C611AD" w:rsidRPr="00B92679">
        <w:rPr>
          <w:lang w:val="ka-GE"/>
        </w:rPr>
        <w:t xml:space="preserve"> მაისის </w:t>
      </w:r>
      <w:r w:rsidR="00C611AD" w:rsidRPr="00B92679">
        <w:rPr>
          <w:lang w:val="ka-GE"/>
        </w:rPr>
        <w:lastRenderedPageBreak/>
        <w:t>ჩათვლით 112-ზე ცხელებისა და რესპირატორიული სიმპტომების გამო შემოსული</w:t>
      </w:r>
      <w:r w:rsidR="00B92679">
        <w:rPr>
          <w:lang w:val="ka-GE"/>
        </w:rPr>
        <w:t xml:space="preserve"> </w:t>
      </w:r>
      <w:r w:rsidR="00B92679">
        <w:rPr>
          <w:lang w:val="en-US"/>
        </w:rPr>
        <w:t xml:space="preserve">15,310 </w:t>
      </w:r>
      <w:r w:rsidR="00C611AD" w:rsidRPr="00B92679">
        <w:rPr>
          <w:lang w:val="ka-GE"/>
        </w:rPr>
        <w:t>ზარიდან 112-ს რეაგირებისთვის დაუბრუნდა მხოლოდ ზარების 6%, რაც სასწრაფო დახმარების ბრიგადის გადაწყვეტილებით ჰოსპიტალიზაციით დასრულდა.</w:t>
      </w:r>
      <w:r w:rsidR="00C611AD" w:rsidRPr="00CC1C25">
        <w:rPr>
          <w:lang w:val="ka-GE"/>
        </w:rPr>
        <w:t xml:space="preserve"> </w:t>
      </w:r>
    </w:p>
    <w:p w14:paraId="69C712BA" w14:textId="02E1EB7D" w:rsidR="00C611AD" w:rsidRPr="00CC1C25" w:rsidRDefault="00C611AD" w:rsidP="002C7719">
      <w:pPr>
        <w:spacing w:line="276" w:lineRule="auto"/>
        <w:jc w:val="both"/>
        <w:rPr>
          <w:lang w:val="ka-GE"/>
        </w:rPr>
      </w:pPr>
      <w:r w:rsidRPr="00CC1C25">
        <w:rPr>
          <w:lang w:val="ka-GE"/>
        </w:rPr>
        <w:t xml:space="preserve">„ონლაინ  კონსულტაციით“ სერვისის ფარგლებში მიმდინარე მეთვალყურეობა გაეწია </w:t>
      </w:r>
      <w:r w:rsidR="00B92679">
        <w:rPr>
          <w:lang w:val="en-US"/>
        </w:rPr>
        <w:t>14,336</w:t>
      </w:r>
      <w:r w:rsidRPr="00CC1C25">
        <w:rPr>
          <w:lang w:val="ka-GE"/>
        </w:rPr>
        <w:t xml:space="preserve"> მოქალაქეს. </w:t>
      </w:r>
    </w:p>
    <w:tbl>
      <w:tblPr>
        <w:tblStyle w:val="TableGrid"/>
        <w:tblW w:w="0" w:type="auto"/>
        <w:tblLook w:val="04A0" w:firstRow="1" w:lastRow="0" w:firstColumn="1" w:lastColumn="0" w:noHBand="0" w:noVBand="1"/>
      </w:tblPr>
      <w:tblGrid>
        <w:gridCol w:w="1691"/>
        <w:gridCol w:w="2389"/>
        <w:gridCol w:w="1734"/>
        <w:gridCol w:w="1579"/>
        <w:gridCol w:w="1952"/>
      </w:tblGrid>
      <w:tr w:rsidR="00517DE9" w:rsidRPr="00CC1C25" w14:paraId="6FBA858E" w14:textId="77777777" w:rsidTr="00517DE9">
        <w:tc>
          <w:tcPr>
            <w:tcW w:w="1691" w:type="dxa"/>
          </w:tcPr>
          <w:p w14:paraId="7006251E" w14:textId="33E92B95" w:rsidR="00517DE9" w:rsidRPr="00CC1C25" w:rsidRDefault="00517DE9" w:rsidP="002C7719">
            <w:pPr>
              <w:spacing w:line="276" w:lineRule="auto"/>
              <w:jc w:val="both"/>
              <w:rPr>
                <w:lang w:val="ka-GE"/>
              </w:rPr>
            </w:pPr>
            <w:r w:rsidRPr="00CC1C25">
              <w:rPr>
                <w:lang w:val="ka-GE"/>
              </w:rPr>
              <w:t>საანგარიშო პერიოდი</w:t>
            </w:r>
          </w:p>
        </w:tc>
        <w:tc>
          <w:tcPr>
            <w:tcW w:w="2389" w:type="dxa"/>
          </w:tcPr>
          <w:p w14:paraId="36CAE41D" w14:textId="3C4AF933" w:rsidR="00517DE9" w:rsidRPr="00CC1C25" w:rsidRDefault="00517DE9" w:rsidP="002C7719">
            <w:pPr>
              <w:spacing w:line="276" w:lineRule="auto"/>
              <w:jc w:val="both"/>
              <w:rPr>
                <w:lang w:val="ka-GE"/>
              </w:rPr>
            </w:pPr>
            <w:r w:rsidRPr="00CC1C25">
              <w:rPr>
                <w:lang w:val="ka-GE"/>
              </w:rPr>
              <w:t>112-იდან კლინიკებში გადამისამართებული საქმეების  სრული რაოდენობა</w:t>
            </w:r>
          </w:p>
        </w:tc>
        <w:tc>
          <w:tcPr>
            <w:tcW w:w="1734" w:type="dxa"/>
          </w:tcPr>
          <w:p w14:paraId="209DFBE3" w14:textId="327CD3A3" w:rsidR="00517DE9" w:rsidRPr="00CC1C25" w:rsidRDefault="00517DE9" w:rsidP="002C7719">
            <w:pPr>
              <w:spacing w:line="276" w:lineRule="auto"/>
              <w:jc w:val="both"/>
              <w:rPr>
                <w:lang w:val="ka-GE"/>
              </w:rPr>
            </w:pPr>
            <w:r w:rsidRPr="00CC1C25">
              <w:rPr>
                <w:lang w:val="ka-GE"/>
              </w:rPr>
              <w:t>გაიგზავნა სასწრაფო</w:t>
            </w:r>
          </w:p>
        </w:tc>
        <w:tc>
          <w:tcPr>
            <w:tcW w:w="1579" w:type="dxa"/>
          </w:tcPr>
          <w:p w14:paraId="0AC54877" w14:textId="606EFCE4" w:rsidR="00517DE9" w:rsidRPr="00CC1C25" w:rsidRDefault="00517DE9" w:rsidP="002C7719">
            <w:pPr>
              <w:spacing w:line="276" w:lineRule="auto"/>
              <w:jc w:val="both"/>
              <w:rPr>
                <w:lang w:val="ka-GE"/>
              </w:rPr>
            </w:pPr>
            <w:r w:rsidRPr="00CC1C25">
              <w:rPr>
                <w:lang w:val="ka-GE"/>
              </w:rPr>
              <w:t>მოხდა სტაციონარში გადაყვანა</w:t>
            </w:r>
          </w:p>
        </w:tc>
        <w:tc>
          <w:tcPr>
            <w:tcW w:w="1952" w:type="dxa"/>
          </w:tcPr>
          <w:p w14:paraId="67D4F4A6" w14:textId="507099B3" w:rsidR="00517DE9" w:rsidRPr="00CC1C25" w:rsidRDefault="00517DE9" w:rsidP="002C7719">
            <w:pPr>
              <w:spacing w:line="276" w:lineRule="auto"/>
              <w:jc w:val="both"/>
              <w:rPr>
                <w:lang w:val="ka-GE"/>
              </w:rPr>
            </w:pPr>
            <w:r w:rsidRPr="00CC1C25">
              <w:rPr>
                <w:lang w:val="ka-GE"/>
              </w:rPr>
              <w:t>იმყოფებოდა ოჯახის ექიმის მონიტორინგის ქვეშ</w:t>
            </w:r>
          </w:p>
        </w:tc>
      </w:tr>
      <w:tr w:rsidR="00517DE9" w:rsidRPr="00CC1C25" w14:paraId="4E4BC20C" w14:textId="77777777" w:rsidTr="00517DE9">
        <w:tc>
          <w:tcPr>
            <w:tcW w:w="1691" w:type="dxa"/>
          </w:tcPr>
          <w:p w14:paraId="61A27F16" w14:textId="4D083FB2" w:rsidR="00517DE9" w:rsidRPr="00CC1C25" w:rsidRDefault="00517DE9" w:rsidP="002C7719">
            <w:pPr>
              <w:spacing w:line="276" w:lineRule="auto"/>
              <w:jc w:val="both"/>
              <w:rPr>
                <w:lang w:val="ka-GE"/>
              </w:rPr>
            </w:pPr>
            <w:r w:rsidRPr="00CC1C25">
              <w:rPr>
                <w:lang w:val="ka-GE"/>
              </w:rPr>
              <w:t>აპრილი</w:t>
            </w:r>
          </w:p>
        </w:tc>
        <w:tc>
          <w:tcPr>
            <w:tcW w:w="2389" w:type="dxa"/>
          </w:tcPr>
          <w:p w14:paraId="31F25B6A" w14:textId="760B28F0" w:rsidR="00517DE9" w:rsidRPr="00CC1C25" w:rsidRDefault="00517DE9" w:rsidP="002C7719">
            <w:pPr>
              <w:spacing w:line="276" w:lineRule="auto"/>
              <w:jc w:val="both"/>
              <w:rPr>
                <w:lang w:val="ka-GE"/>
              </w:rPr>
            </w:pPr>
            <w:r w:rsidRPr="00CC1C25">
              <w:rPr>
                <w:lang w:val="ka-GE"/>
              </w:rPr>
              <w:t>12109</w:t>
            </w:r>
          </w:p>
        </w:tc>
        <w:tc>
          <w:tcPr>
            <w:tcW w:w="1734" w:type="dxa"/>
          </w:tcPr>
          <w:p w14:paraId="39A9C4FB" w14:textId="7E1137CB" w:rsidR="00517DE9" w:rsidRPr="00CC1C25" w:rsidRDefault="00517DE9" w:rsidP="002C7719">
            <w:pPr>
              <w:spacing w:line="276" w:lineRule="auto"/>
              <w:jc w:val="both"/>
              <w:rPr>
                <w:lang w:val="ka-GE"/>
              </w:rPr>
            </w:pPr>
            <w:r w:rsidRPr="00CC1C25">
              <w:rPr>
                <w:lang w:val="ka-GE"/>
              </w:rPr>
              <w:t>718</w:t>
            </w:r>
          </w:p>
        </w:tc>
        <w:tc>
          <w:tcPr>
            <w:tcW w:w="1579" w:type="dxa"/>
          </w:tcPr>
          <w:p w14:paraId="4F2C908E" w14:textId="67FFC757" w:rsidR="00517DE9" w:rsidRPr="00CC1C25" w:rsidRDefault="00517DE9" w:rsidP="002C7719">
            <w:pPr>
              <w:spacing w:line="276" w:lineRule="auto"/>
              <w:jc w:val="both"/>
              <w:rPr>
                <w:lang w:val="ka-GE"/>
              </w:rPr>
            </w:pPr>
            <w:r w:rsidRPr="00CC1C25">
              <w:rPr>
                <w:lang w:val="ka-GE"/>
              </w:rPr>
              <w:t>373</w:t>
            </w:r>
          </w:p>
        </w:tc>
        <w:tc>
          <w:tcPr>
            <w:tcW w:w="1952" w:type="dxa"/>
          </w:tcPr>
          <w:p w14:paraId="40F691FF" w14:textId="4D79A7F0" w:rsidR="00517DE9" w:rsidRPr="00CC1C25" w:rsidRDefault="00517DE9" w:rsidP="002C7719">
            <w:pPr>
              <w:spacing w:line="276" w:lineRule="auto"/>
              <w:jc w:val="both"/>
              <w:rPr>
                <w:lang w:val="ka-GE"/>
              </w:rPr>
            </w:pPr>
            <w:r w:rsidRPr="00CC1C25">
              <w:rPr>
                <w:lang w:val="ka-GE"/>
              </w:rPr>
              <w:t>11453</w:t>
            </w:r>
          </w:p>
        </w:tc>
      </w:tr>
      <w:tr w:rsidR="00517DE9" w:rsidRPr="00CC1C25" w14:paraId="7BE9E83D" w14:textId="77777777" w:rsidTr="00517DE9">
        <w:tc>
          <w:tcPr>
            <w:tcW w:w="1691" w:type="dxa"/>
          </w:tcPr>
          <w:p w14:paraId="4B601B1A" w14:textId="15D53C7C" w:rsidR="00517DE9" w:rsidRPr="00B92679" w:rsidRDefault="00517DE9" w:rsidP="002C7719">
            <w:pPr>
              <w:spacing w:line="276" w:lineRule="auto"/>
              <w:jc w:val="both"/>
              <w:rPr>
                <w:lang w:val="en-US"/>
              </w:rPr>
            </w:pPr>
            <w:r w:rsidRPr="00CC1C25">
              <w:rPr>
                <w:lang w:val="ka-GE"/>
              </w:rPr>
              <w:t>მაისი</w:t>
            </w:r>
            <w:r w:rsidR="00B92679">
              <w:rPr>
                <w:lang w:val="en-US"/>
              </w:rPr>
              <w:t xml:space="preserve"> (1-16.05)</w:t>
            </w:r>
          </w:p>
        </w:tc>
        <w:tc>
          <w:tcPr>
            <w:tcW w:w="2389" w:type="dxa"/>
            <w:vAlign w:val="bottom"/>
          </w:tcPr>
          <w:p w14:paraId="40FC9EFE" w14:textId="6D84AC5C" w:rsidR="00517DE9" w:rsidRPr="00B92679" w:rsidRDefault="00B92679" w:rsidP="002C7719">
            <w:pPr>
              <w:spacing w:line="276" w:lineRule="auto"/>
              <w:jc w:val="both"/>
              <w:rPr>
                <w:lang w:val="en-US"/>
              </w:rPr>
            </w:pPr>
            <w:r>
              <w:rPr>
                <w:rFonts w:cs="Calibri"/>
                <w:bCs/>
                <w:color w:val="000000"/>
              </w:rPr>
              <w:t>3</w:t>
            </w:r>
            <w:r>
              <w:rPr>
                <w:rFonts w:cs="Calibri"/>
                <w:bCs/>
                <w:color w:val="000000"/>
                <w:lang w:val="en-US"/>
              </w:rPr>
              <w:t>201</w:t>
            </w:r>
          </w:p>
        </w:tc>
        <w:tc>
          <w:tcPr>
            <w:tcW w:w="1734" w:type="dxa"/>
            <w:vAlign w:val="bottom"/>
          </w:tcPr>
          <w:p w14:paraId="366C5B5A" w14:textId="6A456BE8" w:rsidR="00517DE9" w:rsidRPr="00B92679" w:rsidRDefault="00B92679" w:rsidP="002C7719">
            <w:pPr>
              <w:spacing w:line="276" w:lineRule="auto"/>
              <w:jc w:val="both"/>
              <w:rPr>
                <w:lang w:val="en-US"/>
              </w:rPr>
            </w:pPr>
            <w:r>
              <w:rPr>
                <w:rFonts w:cs="Calibri"/>
                <w:bCs/>
                <w:color w:val="000000"/>
                <w:lang w:val="en-US"/>
              </w:rPr>
              <w:t>237</w:t>
            </w:r>
          </w:p>
        </w:tc>
        <w:tc>
          <w:tcPr>
            <w:tcW w:w="1579" w:type="dxa"/>
            <w:vAlign w:val="bottom"/>
          </w:tcPr>
          <w:p w14:paraId="0AE96F6A" w14:textId="5121EED3" w:rsidR="00517DE9" w:rsidRPr="00B92679" w:rsidRDefault="00B92679" w:rsidP="002C7719">
            <w:pPr>
              <w:spacing w:line="276" w:lineRule="auto"/>
              <w:jc w:val="both"/>
              <w:rPr>
                <w:lang w:val="en-US"/>
              </w:rPr>
            </w:pPr>
            <w:r>
              <w:rPr>
                <w:rFonts w:cs="Calibri"/>
                <w:bCs/>
                <w:color w:val="000000"/>
                <w:lang w:val="en-US"/>
              </w:rPr>
              <w:t>183</w:t>
            </w:r>
          </w:p>
        </w:tc>
        <w:tc>
          <w:tcPr>
            <w:tcW w:w="1952" w:type="dxa"/>
          </w:tcPr>
          <w:p w14:paraId="75F966CE" w14:textId="2E3711E6" w:rsidR="00517DE9" w:rsidRPr="00B92679" w:rsidRDefault="00B92679" w:rsidP="002C7719">
            <w:pPr>
              <w:spacing w:line="276" w:lineRule="auto"/>
              <w:jc w:val="both"/>
              <w:rPr>
                <w:lang w:val="en-US"/>
              </w:rPr>
            </w:pPr>
            <w:r>
              <w:rPr>
                <w:lang w:val="en-US"/>
              </w:rPr>
              <w:t>2883</w:t>
            </w:r>
          </w:p>
        </w:tc>
      </w:tr>
    </w:tbl>
    <w:p w14:paraId="55791BB5" w14:textId="0B46454C" w:rsidR="00517DE9" w:rsidRPr="00CC1C25" w:rsidRDefault="00517DE9" w:rsidP="002C7719">
      <w:pPr>
        <w:spacing w:line="276" w:lineRule="auto"/>
        <w:jc w:val="both"/>
        <w:rPr>
          <w:lang w:val="ka-GE"/>
        </w:rPr>
      </w:pPr>
    </w:p>
    <w:p w14:paraId="21DD1E1F" w14:textId="117A3E6A" w:rsidR="00517DE9" w:rsidRPr="00CC1C25" w:rsidRDefault="00517DE9" w:rsidP="002C7719">
      <w:pPr>
        <w:spacing w:line="276" w:lineRule="auto"/>
        <w:jc w:val="both"/>
        <w:rPr>
          <w:lang w:val="ka-GE"/>
        </w:rPr>
      </w:pPr>
      <w:r w:rsidRPr="00CC1C25">
        <w:rPr>
          <w:lang w:val="ka-GE"/>
        </w:rPr>
        <w:t xml:space="preserve">ჰოსპიტალური სექტორის მზადყოფნის უზრუნველყოფის მიზნით 2020 წლის თებერვლიდან დაიწყო ცხელებისა და კოვიდის მართვის კლინიკების იდენტიფიცირება თბილისსა და რეგიონებში. 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ქვეყნის მასშტაბით.  </w:t>
      </w:r>
    </w:p>
    <w:p w14:paraId="4B41A574" w14:textId="0DB4D831" w:rsidR="008466E7" w:rsidRPr="00CC1C25" w:rsidRDefault="001F30B3" w:rsidP="002C7719">
      <w:pPr>
        <w:spacing w:line="276" w:lineRule="auto"/>
        <w:jc w:val="both"/>
        <w:rPr>
          <w:rFonts w:eastAsia="Times New Roman" w:cs="Calibri"/>
          <w:b/>
          <w:bCs/>
          <w:lang w:val="en-US"/>
        </w:rPr>
      </w:pPr>
      <w:r w:rsidRPr="00CC1C25">
        <w:rPr>
          <w:rFonts w:cs="Sylfaen"/>
          <w:lang w:val="ka-GE"/>
        </w:rPr>
        <w:t>ზემოაღნიშნულის</w:t>
      </w:r>
      <w:r w:rsidRPr="00CC1C25">
        <w:rPr>
          <w:lang w:val="ka-GE"/>
        </w:rPr>
        <w:t xml:space="preserve"> </w:t>
      </w:r>
      <w:r w:rsidRPr="00CC1C25">
        <w:rPr>
          <w:rFonts w:cs="Sylfaen"/>
          <w:lang w:val="ka-GE"/>
        </w:rPr>
        <w:t>გათვალისწინებით</w:t>
      </w:r>
      <w:r w:rsidRPr="00CC1C25">
        <w:rPr>
          <w:lang w:val="ka-GE"/>
        </w:rPr>
        <w:t xml:space="preserve">, ვირუსის შესაძლო გავრცელებაზე მზადყოფნის მიზნით, </w:t>
      </w:r>
      <w:r w:rsidRPr="00CC1C25">
        <w:rPr>
          <w:rFonts w:cs="Sylfaen"/>
          <w:lang w:val="ka-GE"/>
        </w:rPr>
        <w:t>განხორციელდა</w:t>
      </w:r>
      <w:r w:rsidRPr="00CC1C25">
        <w:rPr>
          <w:lang w:val="ka-GE"/>
        </w:rPr>
        <w:t xml:space="preserve"> </w:t>
      </w:r>
      <w:r w:rsidRPr="00CC1C25">
        <w:rPr>
          <w:rFonts w:cs="Sylfaen"/>
          <w:lang w:val="ka-GE"/>
        </w:rPr>
        <w:t>საქართველოს</w:t>
      </w:r>
      <w:r w:rsidRPr="00CC1C25">
        <w:rPr>
          <w:lang w:val="ka-GE"/>
        </w:rPr>
        <w:t xml:space="preserve"> </w:t>
      </w:r>
      <w:r w:rsidRPr="00CC1C25">
        <w:rPr>
          <w:rFonts w:cs="Sylfaen"/>
          <w:lang w:val="ka-GE"/>
        </w:rPr>
        <w:t>მასშტაბით</w:t>
      </w:r>
      <w:r w:rsidRPr="00CC1C25">
        <w:rPr>
          <w:lang w:val="ka-GE"/>
        </w:rPr>
        <w:t xml:space="preserve"> </w:t>
      </w:r>
      <w:r w:rsidRPr="00CC1C25">
        <w:rPr>
          <w:rFonts w:cs="Sylfaen"/>
          <w:lang w:val="ka-GE"/>
        </w:rPr>
        <w:t>ჰოსპიტლების</w:t>
      </w:r>
      <w:r w:rsidRPr="00CC1C25">
        <w:rPr>
          <w:lang w:val="ka-GE"/>
        </w:rPr>
        <w:t xml:space="preserve"> </w:t>
      </w:r>
      <w:r w:rsidRPr="00CC1C25">
        <w:rPr>
          <w:rFonts w:cs="Sylfaen"/>
          <w:lang w:val="ka-GE"/>
        </w:rPr>
        <w:t>შერჩევა</w:t>
      </w:r>
      <w:r w:rsidRPr="00CC1C25">
        <w:rPr>
          <w:lang w:val="ka-GE"/>
        </w:rPr>
        <w:t xml:space="preserve">, </w:t>
      </w:r>
      <w:r w:rsidRPr="00CC1C25">
        <w:t>საიდანაც განხორციელდება მიმდინარე პაციენტების გადაყვანა (მათი სრული დაცლა) შესაბამისი მომსახურების მიმწოდებელ სამედიცინო დაწესებულებებში.</w:t>
      </w:r>
      <w:r w:rsidRPr="00CC1C25">
        <w:rPr>
          <w:lang w:val="ka-GE"/>
        </w:rPr>
        <w:t xml:space="preserve"> ასევე,</w:t>
      </w:r>
      <w:r w:rsidRPr="00CC1C25">
        <w:t xml:space="preserve">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w:t>
      </w:r>
      <w:r w:rsidRPr="00CC1C25">
        <w:rPr>
          <w:lang w:val="ka-GE"/>
        </w:rPr>
        <w:t>ებ</w:t>
      </w:r>
      <w:r w:rsidRPr="00CC1C25">
        <w:t xml:space="preserve">ის სამართავად. </w:t>
      </w:r>
      <w:r w:rsidR="008466E7" w:rsidRPr="00CC1C25">
        <w:rPr>
          <w:lang w:val="ka-GE"/>
        </w:rPr>
        <w:t xml:space="preserve">სულ ქვეყანაში, </w:t>
      </w:r>
      <w:r w:rsidR="00B235DE" w:rsidRPr="00CC1C25">
        <w:rPr>
          <w:lang w:val="ka-GE"/>
        </w:rPr>
        <w:t>საერთო საწოლფონდი 17514</w:t>
      </w:r>
      <w:r w:rsidR="00B235DE" w:rsidRPr="00CC1C25">
        <w:rPr>
          <w:lang w:val="en-US"/>
        </w:rPr>
        <w:t xml:space="preserve">-ს შეადგენს. </w:t>
      </w:r>
      <w:r w:rsidR="008466E7" w:rsidRPr="00CC1C25">
        <w:rPr>
          <w:lang w:val="ka-GE"/>
        </w:rPr>
        <w:t xml:space="preserve"> სუნთქვის ხელოვნური აპარატების რაოდენობა 2043-ს შეადგენს, ამათგან 1749 შე</w:t>
      </w:r>
      <w:r w:rsidR="00B235DE" w:rsidRPr="00CC1C25">
        <w:rPr>
          <w:lang w:val="ka-GE"/>
        </w:rPr>
        <w:t>საფე</w:t>
      </w:r>
      <w:r w:rsidR="008466E7" w:rsidRPr="00CC1C25">
        <w:rPr>
          <w:lang w:val="ka-GE"/>
        </w:rPr>
        <w:t xml:space="preserve">რისია რესპირატორული დისტრეს სინდრომის მართვისთვის. მოსახლეობასთან მიმართებაში საქართველოში სუნთქვის აპარატების რაოდენობა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w:t>
      </w:r>
      <w:r w:rsidR="000F4FD0" w:rsidRPr="00CC1C25">
        <w:rPr>
          <w:lang w:val="ka-GE"/>
        </w:rPr>
        <w:t xml:space="preserve">110 </w:t>
      </w:r>
      <w:r w:rsidR="008466E7" w:rsidRPr="00CC1C25">
        <w:rPr>
          <w:lang w:val="ka-GE"/>
        </w:rPr>
        <w:t>სუნთქვის აპარატი</w:t>
      </w:r>
      <w:r w:rsidR="00B235DE" w:rsidRPr="00CC1C25">
        <w:rPr>
          <w:lang w:val="ka-GE"/>
        </w:rPr>
        <w:t xml:space="preserve">. ასევე ბაზისური საჭიროებების შესაბამისად აღიჭურვა და მაისი დასაწყისიდან ფუნქციონირება დაიწყო რუხისა და ბათუმის ახალმა კლინიკებმა. </w:t>
      </w:r>
    </w:p>
    <w:p w14:paraId="41D1A951" w14:textId="6DD69568" w:rsidR="001F30B3" w:rsidRPr="00CC1C25" w:rsidRDefault="001F30B3" w:rsidP="002C7719">
      <w:pPr>
        <w:spacing w:line="276" w:lineRule="auto"/>
        <w:jc w:val="both"/>
        <w:rPr>
          <w:lang w:val="ka-GE"/>
        </w:rPr>
      </w:pPr>
      <w:r w:rsidRPr="00CC1C25">
        <w:rPr>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w:t>
      </w:r>
      <w:r w:rsidR="00E468A9" w:rsidRPr="00CC1C25">
        <w:rPr>
          <w:lang w:val="ka-GE"/>
        </w:rPr>
        <w:t>29</w:t>
      </w:r>
      <w:r w:rsidRPr="00CC1C25">
        <w:rPr>
          <w:lang w:val="ka-GE"/>
        </w:rPr>
        <w:t xml:space="preserve"> კლინიკა თბილისსა და რეგიონებში,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w:t>
      </w:r>
      <w:r w:rsidRPr="00CC1C25">
        <w:rPr>
          <w:lang w:val="ka-GE"/>
        </w:rPr>
        <w:lastRenderedPageBreak/>
        <w:t xml:space="preserve">ქვეყნის მასშტაბით მობილიზებულია დაახლოებით </w:t>
      </w:r>
      <w:r w:rsidR="00E468A9" w:rsidRPr="00CC1C25">
        <w:rPr>
          <w:lang w:val="ka-GE"/>
        </w:rPr>
        <w:t>3279</w:t>
      </w:r>
      <w:r w:rsidRPr="00CC1C25">
        <w:rPr>
          <w:lang w:val="ka-GE"/>
        </w:rPr>
        <w:t xml:space="preserve"> საწოლი</w:t>
      </w:r>
      <w:r w:rsidR="00E468A9" w:rsidRPr="00CC1C25">
        <w:rPr>
          <w:lang w:val="ka-GE"/>
        </w:rPr>
        <w:t xml:space="preserve">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w:t>
      </w:r>
      <w:r w:rsidRPr="00CC1C25">
        <w:rPr>
          <w:lang w:val="ka-GE"/>
        </w:rPr>
        <w:t>.</w:t>
      </w:r>
      <w:r w:rsidR="000F4FD0" w:rsidRPr="00CC1C25">
        <w:rPr>
          <w:lang w:val="ka-GE"/>
        </w:rPr>
        <w:t xml:space="preserve">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1F30B3" w:rsidRPr="00CC1C25" w14:paraId="4BD45B34" w14:textId="77777777" w:rsidTr="001F30B3">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ED2E30" w14:textId="77777777" w:rsidR="001F30B3" w:rsidRPr="00CC1C25" w:rsidRDefault="001F30B3" w:rsidP="002C7719">
            <w:pPr>
              <w:spacing w:line="276" w:lineRule="auto"/>
              <w:jc w:val="both"/>
              <w:rPr>
                <w:lang w:val="en-US"/>
              </w:rPr>
            </w:pPr>
            <w:r w:rsidRPr="00CC1C25">
              <w:rPr>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C1BA" w14:textId="77777777" w:rsidR="001F30B3" w:rsidRPr="00CC1C25" w:rsidRDefault="001F30B3" w:rsidP="002C7719">
            <w:pPr>
              <w:spacing w:line="276" w:lineRule="auto"/>
              <w:jc w:val="both"/>
              <w:rPr>
                <w:lang w:val="en-US"/>
              </w:rPr>
            </w:pPr>
            <w:r w:rsidRPr="00CC1C25">
              <w:rPr>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41D1B1" w14:textId="77777777" w:rsidR="001F30B3" w:rsidRPr="00CC1C25" w:rsidRDefault="001F30B3" w:rsidP="002C7719">
            <w:pPr>
              <w:spacing w:line="276" w:lineRule="auto"/>
              <w:jc w:val="both"/>
              <w:rPr>
                <w:lang w:val="en-US"/>
              </w:rPr>
            </w:pPr>
            <w:r w:rsidRPr="00CC1C25">
              <w:rPr>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11633F8" w14:textId="77777777" w:rsidR="001F30B3" w:rsidRPr="00CC1C25" w:rsidRDefault="001F30B3" w:rsidP="002C7719">
            <w:pPr>
              <w:spacing w:line="276" w:lineRule="auto"/>
              <w:jc w:val="both"/>
              <w:rPr>
                <w:lang w:val="en-US"/>
              </w:rPr>
            </w:pPr>
            <w:r w:rsidRPr="00CC1C25">
              <w:rPr>
                <w:lang w:val="ka-GE"/>
              </w:rPr>
              <w:t>ხელოვნური სუნთქვის აპარატები</w:t>
            </w:r>
          </w:p>
        </w:tc>
      </w:tr>
      <w:tr w:rsidR="001F30B3" w:rsidRPr="00CC1C25" w14:paraId="16C18BE4"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CBBB6E1" w14:textId="77777777" w:rsidR="001F30B3" w:rsidRPr="00CC1C25" w:rsidRDefault="001F30B3" w:rsidP="002C7719">
            <w:pPr>
              <w:spacing w:line="276" w:lineRule="auto"/>
              <w:jc w:val="both"/>
              <w:rPr>
                <w:lang w:val="en-US"/>
              </w:rPr>
            </w:pPr>
            <w:r w:rsidRPr="00CC1C25">
              <w:rPr>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863A4A3" w14:textId="659826FB" w:rsidR="001F30B3" w:rsidRPr="00CC1C25" w:rsidRDefault="000F4FD0" w:rsidP="002C7719">
            <w:pPr>
              <w:spacing w:line="276" w:lineRule="auto"/>
              <w:jc w:val="both"/>
              <w:rPr>
                <w:lang w:val="ka-GE"/>
              </w:rPr>
            </w:pPr>
            <w:r w:rsidRPr="00CC1C25">
              <w:rPr>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AFE551" w14:textId="77777777" w:rsidR="001F30B3" w:rsidRPr="00CC1C25" w:rsidRDefault="001F30B3" w:rsidP="002C7719">
            <w:pPr>
              <w:spacing w:line="276" w:lineRule="auto"/>
              <w:jc w:val="both"/>
              <w:rPr>
                <w:lang w:val="en-US"/>
              </w:rPr>
            </w:pPr>
            <w:r w:rsidRPr="00CC1C25">
              <w:rPr>
                <w:lang w:val="en-US"/>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FD480B" w14:textId="77777777" w:rsidR="001F30B3" w:rsidRPr="00CC1C25" w:rsidRDefault="001F30B3" w:rsidP="002C7719">
            <w:pPr>
              <w:spacing w:line="276" w:lineRule="auto"/>
              <w:jc w:val="both"/>
              <w:rPr>
                <w:lang w:val="en-US"/>
              </w:rPr>
            </w:pPr>
            <w:r w:rsidRPr="00CC1C25">
              <w:rPr>
                <w:lang w:val="en-US"/>
              </w:rPr>
              <w:t>61</w:t>
            </w:r>
          </w:p>
        </w:tc>
      </w:tr>
      <w:tr w:rsidR="001F30B3" w:rsidRPr="00CC1C25" w14:paraId="125A0206"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A205EA8" w14:textId="77777777" w:rsidR="001F30B3" w:rsidRPr="00CC1C25" w:rsidRDefault="001F30B3" w:rsidP="002C7719">
            <w:pPr>
              <w:spacing w:line="276" w:lineRule="auto"/>
              <w:jc w:val="both"/>
              <w:rPr>
                <w:lang w:val="en-US"/>
              </w:rPr>
            </w:pPr>
            <w:r w:rsidRPr="00CC1C25">
              <w:rPr>
                <w:lang w:val="en-US"/>
              </w:rPr>
              <w:t xml:space="preserve">COVID19 </w:t>
            </w:r>
            <w:r w:rsidRPr="00CC1C25">
              <w:rPr>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6DC08AE" w14:textId="2D1FA156" w:rsidR="001F30B3" w:rsidRPr="00CC1C25" w:rsidRDefault="000F4FD0" w:rsidP="002C7719">
            <w:pPr>
              <w:spacing w:line="276" w:lineRule="auto"/>
              <w:jc w:val="both"/>
              <w:rPr>
                <w:lang w:val="en-US"/>
              </w:rPr>
            </w:pPr>
            <w:r w:rsidRPr="00CC1C25">
              <w:rPr>
                <w:lang w:val="en-US"/>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245D726" w14:textId="77777777" w:rsidR="001F30B3" w:rsidRPr="00CC1C25" w:rsidRDefault="001F30B3" w:rsidP="002C7719">
            <w:pPr>
              <w:spacing w:line="276" w:lineRule="auto"/>
              <w:jc w:val="both"/>
              <w:rPr>
                <w:lang w:val="en-US"/>
              </w:rPr>
            </w:pPr>
            <w:r w:rsidRPr="00CC1C25">
              <w:rPr>
                <w:lang w:val="en-US"/>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C5BA1C5" w14:textId="77777777" w:rsidR="001F30B3" w:rsidRPr="00CC1C25" w:rsidRDefault="001F30B3" w:rsidP="002C7719">
            <w:pPr>
              <w:spacing w:line="276" w:lineRule="auto"/>
              <w:jc w:val="both"/>
              <w:rPr>
                <w:lang w:val="en-US"/>
              </w:rPr>
            </w:pPr>
            <w:r w:rsidRPr="00CC1C25">
              <w:rPr>
                <w:lang w:val="en-US"/>
              </w:rPr>
              <w:t>525</w:t>
            </w:r>
          </w:p>
        </w:tc>
      </w:tr>
    </w:tbl>
    <w:p w14:paraId="4BEB4CAB" w14:textId="78FD7F82" w:rsidR="001F30B3" w:rsidRPr="00CC1C25" w:rsidRDefault="001F30B3" w:rsidP="002C7719">
      <w:pPr>
        <w:spacing w:line="276" w:lineRule="auto"/>
        <w:jc w:val="both"/>
        <w:rPr>
          <w:lang w:val="ka-GE"/>
        </w:rPr>
      </w:pPr>
    </w:p>
    <w:p w14:paraId="41876F4B" w14:textId="61B297EC" w:rsidR="00C42796" w:rsidRPr="00CC1C25" w:rsidRDefault="001F30B3" w:rsidP="002C7719">
      <w:pPr>
        <w:spacing w:line="276" w:lineRule="auto"/>
        <w:jc w:val="both"/>
        <w:rPr>
          <w:lang w:val="ka-GE"/>
        </w:rPr>
      </w:pPr>
      <w:r w:rsidRPr="00CC1C25">
        <w:rPr>
          <w:lang w:val="ka-GE"/>
        </w:rPr>
        <w:t xml:space="preserve">კოვიდ19-ის ჰოსპიტალური მართვის ხარჯვის ანაზღაურება მოხდება </w:t>
      </w:r>
      <w:r w:rsidR="005F32D1" w:rsidRPr="00CC1C25">
        <w:rPr>
          <w:lang w:val="ka-GE"/>
        </w:rPr>
        <w:t xml:space="preserve">ახალი კორონავირუსული დაავადების მართვის </w:t>
      </w:r>
      <w:r w:rsidRPr="00CC1C25">
        <w:rPr>
          <w:lang w:val="ka-GE"/>
        </w:rPr>
        <w:t xml:space="preserve">ქვეპროგრამის ფარგლებში, </w:t>
      </w:r>
      <w:r w:rsidR="005F32D1" w:rsidRPr="00CC1C25">
        <w:rPr>
          <w:lang w:val="ka-GE"/>
        </w:rPr>
        <w:t>ჯამური ბიუჯეტი: 89,900.0 ათასი ლარი</w:t>
      </w:r>
      <w:r w:rsidRPr="00CC1C25">
        <w:rPr>
          <w:lang w:val="ka-GE"/>
        </w:rPr>
        <w:t>.  (</w:t>
      </w:r>
      <w:r w:rsidR="005F32D1" w:rsidRPr="00CC1C25">
        <w:rPr>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r w:rsidRPr="00CC1C25">
        <w:rPr>
          <w:lang w:val="ka-GE"/>
        </w:rPr>
        <w:t>)</w:t>
      </w:r>
      <w:r w:rsidR="000F4FD0" w:rsidRPr="00CC1C25">
        <w:rPr>
          <w:lang w:val="ka-GE"/>
        </w:rPr>
        <w:t>.</w:t>
      </w:r>
    </w:p>
    <w:p w14:paraId="317DF4DA" w14:textId="65DA9F39" w:rsidR="000F4FD0" w:rsidRPr="00CC1C25" w:rsidRDefault="000F4FD0" w:rsidP="002C7719">
      <w:pPr>
        <w:spacing w:before="115" w:after="120" w:line="276" w:lineRule="auto"/>
        <w:jc w:val="both"/>
        <w:rPr>
          <w:lang w:val="ka-GE"/>
        </w:rPr>
      </w:pPr>
      <w:r w:rsidRPr="00CC1C25">
        <w:rPr>
          <w:lang w:val="ka-GE"/>
        </w:rPr>
        <w:t>COVID კლინიკებსა“ და „ცხელების კლინიკების “ სრულად მობილიზება, რაც განხორციელდა ეტაპობრივად, საჭიროებიდან გამომდინარე:</w:t>
      </w:r>
    </w:p>
    <w:p w14:paraId="48272058" w14:textId="77777777" w:rsidR="000F4FD0" w:rsidRPr="00CC1C25" w:rsidRDefault="000F4FD0" w:rsidP="002C7719">
      <w:pPr>
        <w:pStyle w:val="ListParagraph"/>
        <w:numPr>
          <w:ilvl w:val="0"/>
          <w:numId w:val="6"/>
        </w:numPr>
        <w:spacing w:before="115" w:after="120" w:line="276" w:lineRule="auto"/>
        <w:ind w:left="360"/>
        <w:jc w:val="both"/>
        <w:rPr>
          <w:rFonts w:ascii="Sylfaen" w:hAnsi="Sylfaen"/>
          <w:lang w:val="ka-GE"/>
        </w:rPr>
      </w:pPr>
      <w:r w:rsidRPr="00CC1C25">
        <w:rPr>
          <w:rFonts w:ascii="Sylfaen" w:hAnsi="Sylfaen"/>
          <w:lang w:val="ka-GE"/>
        </w:rPr>
        <w:t>მობილიზაციის I ეტაპის  9 კლინიკის მობილიზაცია  826 საწოლით განხორციელდა  ეპიდემიის დაწყების პირველი დღიდან.</w:t>
      </w:r>
    </w:p>
    <w:p w14:paraId="20109EF2" w14:textId="77777777" w:rsidR="000F4FD0" w:rsidRPr="00CC1C25" w:rsidRDefault="000F4FD0" w:rsidP="002C7719">
      <w:pPr>
        <w:pStyle w:val="ListParagraph"/>
        <w:numPr>
          <w:ilvl w:val="0"/>
          <w:numId w:val="6"/>
        </w:numPr>
        <w:spacing w:before="115" w:after="120" w:line="276" w:lineRule="auto"/>
        <w:ind w:left="360"/>
        <w:jc w:val="both"/>
        <w:rPr>
          <w:rFonts w:ascii="Sylfaen" w:hAnsi="Sylfaen"/>
          <w:lang w:val="ka-GE"/>
        </w:rPr>
      </w:pPr>
      <w:r w:rsidRPr="00CC1C25">
        <w:rPr>
          <w:rFonts w:ascii="Sylfaen" w:hAnsi="Sylfaen"/>
          <w:lang w:val="ka-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  </w:t>
      </w:r>
    </w:p>
    <w:p w14:paraId="38AE6EA0" w14:textId="77777777" w:rsidR="000F4FD0" w:rsidRPr="00CC1C25" w:rsidRDefault="000F4FD0" w:rsidP="002C7719">
      <w:pPr>
        <w:pStyle w:val="ListParagraph"/>
        <w:spacing w:before="77" w:after="120" w:line="276" w:lineRule="auto"/>
        <w:ind w:left="360"/>
        <w:jc w:val="both"/>
        <w:rPr>
          <w:rFonts w:ascii="Sylfaen" w:hAnsi="Sylfaen"/>
          <w:lang w:val="ka-GE"/>
        </w:rPr>
      </w:pPr>
      <w:r w:rsidRPr="00CC1C25">
        <w:rPr>
          <w:rFonts w:ascii="Sylfaen" w:hAnsi="Sylfaen"/>
          <w:lang w:val="ka-GE"/>
        </w:rPr>
        <w:t xml:space="preserve">                                                  01.03 2020 დან -   4 კლინიკა</w:t>
      </w:r>
    </w:p>
    <w:p w14:paraId="16D6B942" w14:textId="77777777" w:rsidR="000F4FD0" w:rsidRPr="00CC1C25" w:rsidRDefault="000F4FD0" w:rsidP="002C7719">
      <w:pPr>
        <w:pStyle w:val="ListParagraph"/>
        <w:spacing w:before="77" w:after="120" w:line="276" w:lineRule="auto"/>
        <w:ind w:left="360"/>
        <w:jc w:val="both"/>
        <w:rPr>
          <w:rFonts w:ascii="Sylfaen" w:hAnsi="Sylfaen"/>
          <w:lang w:val="ka-GE"/>
        </w:rPr>
      </w:pPr>
      <w:r w:rsidRPr="00CC1C25">
        <w:rPr>
          <w:rFonts w:ascii="Sylfaen" w:hAnsi="Sylfaen"/>
          <w:lang w:val="ka-GE"/>
        </w:rPr>
        <w:t xml:space="preserve">                                                  18.04.2020 – 3 კლინიკა</w:t>
      </w:r>
    </w:p>
    <w:p w14:paraId="468DD73E" w14:textId="77777777" w:rsidR="000F4FD0" w:rsidRPr="00CC1C25" w:rsidRDefault="000F4FD0" w:rsidP="002C7719">
      <w:pPr>
        <w:pStyle w:val="ListParagraph"/>
        <w:spacing w:before="77" w:after="120" w:line="276" w:lineRule="auto"/>
        <w:ind w:left="360"/>
        <w:jc w:val="both"/>
        <w:rPr>
          <w:rFonts w:ascii="Sylfaen" w:hAnsi="Sylfaen"/>
          <w:lang w:val="ka-GE"/>
        </w:rPr>
      </w:pPr>
      <w:r w:rsidRPr="00CC1C25">
        <w:rPr>
          <w:rFonts w:ascii="Sylfaen" w:hAnsi="Sylfaen"/>
          <w:lang w:val="ka-GE"/>
        </w:rPr>
        <w:t xml:space="preserve">                                                  29.04.2020 -  1 კლინიკა</w:t>
      </w:r>
    </w:p>
    <w:p w14:paraId="1B7B2A2E" w14:textId="3E88C9BF" w:rsidR="000F4FD0" w:rsidRPr="00CC1C25" w:rsidRDefault="000F4FD0" w:rsidP="002C7719">
      <w:pPr>
        <w:spacing w:line="276" w:lineRule="auto"/>
        <w:jc w:val="both"/>
        <w:rPr>
          <w:lang w:val="ka-GE"/>
        </w:rPr>
      </w:pPr>
      <w:r w:rsidRPr="00CC1C25">
        <w:rPr>
          <w:lang w:val="ka-GE"/>
        </w:rPr>
        <w:t xml:space="preserve">დამატებით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02EC1CA5" w14:textId="77777777" w:rsidR="00932B47" w:rsidRDefault="00932B47" w:rsidP="002C7719">
      <w:pPr>
        <w:spacing w:line="276" w:lineRule="auto"/>
        <w:jc w:val="both"/>
        <w:rPr>
          <w:b/>
          <w:lang w:val="en-US"/>
        </w:rPr>
      </w:pPr>
    </w:p>
    <w:p w14:paraId="2CFF872E" w14:textId="39470513" w:rsidR="000F4FD0" w:rsidRPr="00CC1C25" w:rsidRDefault="000F4FD0" w:rsidP="002C7719">
      <w:pPr>
        <w:spacing w:line="276" w:lineRule="auto"/>
        <w:jc w:val="both"/>
        <w:rPr>
          <w:b/>
          <w:lang w:val="ka-GE"/>
        </w:rPr>
      </w:pPr>
      <w:r w:rsidRPr="00CC1C25">
        <w:rPr>
          <w:b/>
          <w:lang w:val="ka-GE"/>
        </w:rPr>
        <w:t>კოვიდ 19-ზე ტესტირება</w:t>
      </w:r>
    </w:p>
    <w:p w14:paraId="3770CB09" w14:textId="20B07830" w:rsidR="00B235DE" w:rsidRPr="00CC1C25" w:rsidRDefault="00B235DE" w:rsidP="002C7719">
      <w:pPr>
        <w:spacing w:line="276" w:lineRule="auto"/>
        <w:jc w:val="both"/>
        <w:rPr>
          <w:lang w:val="ka-GE"/>
        </w:rPr>
      </w:pPr>
      <w:r w:rsidRPr="00CC1C25">
        <w:rPr>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7196C809" w14:textId="015E5773" w:rsidR="00B235DE" w:rsidRPr="00CC1C25" w:rsidRDefault="00B235DE" w:rsidP="002C7719">
      <w:pPr>
        <w:spacing w:line="276" w:lineRule="auto"/>
        <w:jc w:val="both"/>
        <w:rPr>
          <w:lang w:val="ka-GE"/>
        </w:rPr>
      </w:pPr>
      <w:r w:rsidRPr="00CC1C25">
        <w:rPr>
          <w:lang w:val="ka-GE"/>
        </w:rPr>
        <w:t xml:space="preserve">იხილეთ ცხრილი </w:t>
      </w:r>
    </w:p>
    <w:tbl>
      <w:tblPr>
        <w:tblStyle w:val="TableGrid"/>
        <w:tblW w:w="0" w:type="auto"/>
        <w:tblLook w:val="04A0" w:firstRow="1" w:lastRow="0" w:firstColumn="1" w:lastColumn="0" w:noHBand="0" w:noVBand="1"/>
      </w:tblPr>
      <w:tblGrid>
        <w:gridCol w:w="2336"/>
        <w:gridCol w:w="2336"/>
        <w:gridCol w:w="2336"/>
        <w:gridCol w:w="2337"/>
      </w:tblGrid>
      <w:tr w:rsidR="00B235DE" w:rsidRPr="00CC1C25" w14:paraId="685ED7A6" w14:textId="77777777" w:rsidTr="00B235DE">
        <w:tc>
          <w:tcPr>
            <w:tcW w:w="2336" w:type="dxa"/>
          </w:tcPr>
          <w:p w14:paraId="6A51C795" w14:textId="77777777" w:rsidR="00B235DE" w:rsidRPr="00CC1C25" w:rsidRDefault="00B235DE" w:rsidP="002C7719">
            <w:pPr>
              <w:spacing w:line="276" w:lineRule="auto"/>
              <w:jc w:val="both"/>
              <w:rPr>
                <w:lang w:val="ka-GE"/>
              </w:rPr>
            </w:pPr>
          </w:p>
        </w:tc>
        <w:tc>
          <w:tcPr>
            <w:tcW w:w="2336" w:type="dxa"/>
          </w:tcPr>
          <w:p w14:paraId="5E627E96" w14:textId="4ACBE2AA" w:rsidR="00B235DE" w:rsidRPr="00CC1C25" w:rsidRDefault="008B4E7D" w:rsidP="002C7719">
            <w:pPr>
              <w:spacing w:line="276" w:lineRule="auto"/>
              <w:jc w:val="both"/>
              <w:rPr>
                <w:lang w:val="ka-GE"/>
              </w:rPr>
            </w:pPr>
            <w:r w:rsidRPr="00CC1C25">
              <w:rPr>
                <w:lang w:val="ka-GE"/>
              </w:rPr>
              <w:t>უკვე მიღებული ტესტები</w:t>
            </w:r>
          </w:p>
        </w:tc>
        <w:tc>
          <w:tcPr>
            <w:tcW w:w="2336" w:type="dxa"/>
          </w:tcPr>
          <w:p w14:paraId="039F2A12" w14:textId="384D51D6" w:rsidR="00B235DE" w:rsidRPr="00CC1C25" w:rsidRDefault="008B4E7D" w:rsidP="002C7719">
            <w:pPr>
              <w:spacing w:line="276" w:lineRule="auto"/>
              <w:jc w:val="both"/>
              <w:rPr>
                <w:lang w:val="ka-GE"/>
              </w:rPr>
            </w:pPr>
            <w:r w:rsidRPr="00CC1C25">
              <w:rPr>
                <w:lang w:val="ka-GE"/>
              </w:rPr>
              <w:t>მარაგში</w:t>
            </w:r>
          </w:p>
        </w:tc>
        <w:tc>
          <w:tcPr>
            <w:tcW w:w="2337" w:type="dxa"/>
          </w:tcPr>
          <w:p w14:paraId="0C1DA565" w14:textId="5B4D4504" w:rsidR="00B235DE" w:rsidRPr="00CC1C25" w:rsidRDefault="008B4E7D" w:rsidP="002C7719">
            <w:pPr>
              <w:spacing w:line="276" w:lineRule="auto"/>
              <w:jc w:val="both"/>
              <w:rPr>
                <w:lang w:val="ka-GE"/>
              </w:rPr>
            </w:pPr>
            <w:r w:rsidRPr="00CC1C25">
              <w:rPr>
                <w:lang w:val="ka-GE"/>
              </w:rPr>
              <w:t>მოსალოდნელი შევსება აქტიური ხელშეკრულებების ფარგლებში</w:t>
            </w:r>
          </w:p>
        </w:tc>
      </w:tr>
      <w:tr w:rsidR="000F4FD0" w:rsidRPr="00CC1C25" w14:paraId="19796B4F" w14:textId="77777777" w:rsidTr="00B235DE">
        <w:tc>
          <w:tcPr>
            <w:tcW w:w="2336" w:type="dxa"/>
          </w:tcPr>
          <w:p w14:paraId="55CF311E" w14:textId="77777777" w:rsidR="000F4FD0" w:rsidRPr="00CC1C25" w:rsidRDefault="000F4FD0" w:rsidP="002C7719">
            <w:pPr>
              <w:spacing w:after="160" w:line="276" w:lineRule="auto"/>
              <w:jc w:val="both"/>
              <w:rPr>
                <w:rFonts w:cs="Arial"/>
                <w:lang w:val="en-US"/>
              </w:rPr>
            </w:pPr>
            <w:r w:rsidRPr="00CC1C25">
              <w:rPr>
                <w:rFonts w:cs="Arial"/>
                <w:bCs/>
                <w:lang w:val="en-US"/>
              </w:rPr>
              <w:lastRenderedPageBreak/>
              <w:t xml:space="preserve">PCR </w:t>
            </w:r>
          </w:p>
          <w:p w14:paraId="1983F1D8" w14:textId="100A13F5" w:rsidR="000F4FD0" w:rsidRPr="00CC1C25" w:rsidRDefault="000F4FD0" w:rsidP="002C7719">
            <w:pPr>
              <w:spacing w:line="276" w:lineRule="auto"/>
              <w:jc w:val="both"/>
              <w:rPr>
                <w:rFonts w:cs="Arial"/>
                <w:lang w:val="ka-GE"/>
              </w:rPr>
            </w:pPr>
            <w:r w:rsidRPr="00CC1C25">
              <w:rPr>
                <w:rFonts w:cs="Sylfaen"/>
                <w:bCs/>
                <w:lang w:val="ka-GE"/>
              </w:rPr>
              <w:t>ექსტრაქ</w:t>
            </w:r>
            <w:r w:rsidR="00CF621C" w:rsidRPr="00CC1C25">
              <w:rPr>
                <w:rFonts w:cs="Sylfaen"/>
                <w:bCs/>
                <w:lang w:val="ka-GE"/>
              </w:rPr>
              <w:t>ცია</w:t>
            </w:r>
          </w:p>
        </w:tc>
        <w:tc>
          <w:tcPr>
            <w:tcW w:w="2336" w:type="dxa"/>
          </w:tcPr>
          <w:p w14:paraId="24137355" w14:textId="63B53E09" w:rsidR="000F4FD0" w:rsidRPr="00CC1C25" w:rsidRDefault="000F4FD0" w:rsidP="002C7719">
            <w:pPr>
              <w:pStyle w:val="NormalWeb"/>
              <w:spacing w:line="276" w:lineRule="auto"/>
              <w:jc w:val="both"/>
              <w:rPr>
                <w:rFonts w:ascii="Sylfaen" w:hAnsi="Sylfaen" w:cs="Arial"/>
                <w:sz w:val="22"/>
                <w:szCs w:val="22"/>
              </w:rPr>
            </w:pPr>
            <w:r w:rsidRPr="00CC1C25">
              <w:rPr>
                <w:rFonts w:ascii="Sylfaen" w:hAnsi="Sylfaen" w:cs="Arial"/>
                <w:bCs/>
                <w:color w:val="000000" w:themeColor="text1"/>
                <w:kern w:val="24"/>
                <w:sz w:val="22"/>
                <w:szCs w:val="22"/>
              </w:rPr>
              <w:t>122,548</w:t>
            </w:r>
          </w:p>
          <w:p w14:paraId="09736E31" w14:textId="77777777" w:rsidR="00CF621C" w:rsidRPr="00CC1C25" w:rsidRDefault="00CF621C" w:rsidP="002C7719">
            <w:pPr>
              <w:spacing w:line="276" w:lineRule="auto"/>
              <w:jc w:val="both"/>
              <w:rPr>
                <w:rFonts w:cs="Arial"/>
                <w:bCs/>
                <w:color w:val="000000" w:themeColor="text1"/>
                <w:kern w:val="24"/>
                <w:lang w:val="ka-GE"/>
              </w:rPr>
            </w:pPr>
          </w:p>
          <w:p w14:paraId="75E1AC94" w14:textId="6DAC6389" w:rsidR="000F4FD0" w:rsidRPr="00CC1C25" w:rsidRDefault="000F4FD0" w:rsidP="002C7719">
            <w:pPr>
              <w:spacing w:line="276" w:lineRule="auto"/>
              <w:jc w:val="both"/>
              <w:rPr>
                <w:rFonts w:cs="Arial"/>
                <w:lang w:val="ka-GE"/>
              </w:rPr>
            </w:pPr>
            <w:r w:rsidRPr="00CC1C25">
              <w:rPr>
                <w:rFonts w:cs="Arial"/>
                <w:bCs/>
                <w:color w:val="000000" w:themeColor="text1"/>
                <w:kern w:val="24"/>
                <w:lang w:val="ka-GE"/>
              </w:rPr>
              <w:t>76,532</w:t>
            </w:r>
          </w:p>
        </w:tc>
        <w:tc>
          <w:tcPr>
            <w:tcW w:w="2336" w:type="dxa"/>
          </w:tcPr>
          <w:p w14:paraId="384F36C5" w14:textId="77777777" w:rsidR="000F4FD0" w:rsidRPr="00CC1C25" w:rsidRDefault="000F4FD0" w:rsidP="002C7719">
            <w:pPr>
              <w:pStyle w:val="NormalWeb"/>
              <w:spacing w:line="276" w:lineRule="auto"/>
              <w:jc w:val="both"/>
              <w:rPr>
                <w:rFonts w:ascii="Sylfaen" w:hAnsi="Sylfaen" w:cs="Arial"/>
                <w:sz w:val="22"/>
                <w:szCs w:val="22"/>
              </w:rPr>
            </w:pPr>
            <w:r w:rsidRPr="00CC1C25">
              <w:rPr>
                <w:rFonts w:ascii="Sylfaen" w:hAnsi="Sylfaen" w:cs="Arial"/>
                <w:bCs/>
                <w:color w:val="000000" w:themeColor="text1"/>
                <w:kern w:val="24"/>
                <w:sz w:val="22"/>
                <w:szCs w:val="22"/>
                <w:lang w:val="ka-GE"/>
              </w:rPr>
              <w:t>88 000</w:t>
            </w:r>
          </w:p>
          <w:p w14:paraId="216E4BBE" w14:textId="77777777" w:rsidR="00CF621C" w:rsidRPr="00CC1C25" w:rsidRDefault="00CF621C" w:rsidP="002C7719">
            <w:pPr>
              <w:spacing w:line="276" w:lineRule="auto"/>
              <w:jc w:val="both"/>
              <w:rPr>
                <w:rFonts w:cs="Arial"/>
                <w:bCs/>
                <w:color w:val="000000" w:themeColor="text1"/>
                <w:kern w:val="24"/>
                <w:lang w:val="ka-GE"/>
              </w:rPr>
            </w:pPr>
          </w:p>
          <w:p w14:paraId="6DA6A40C" w14:textId="21EBA9DA" w:rsidR="000F4FD0" w:rsidRPr="00CC1C25" w:rsidRDefault="000F4FD0" w:rsidP="002C7719">
            <w:pPr>
              <w:spacing w:line="276" w:lineRule="auto"/>
              <w:jc w:val="both"/>
              <w:rPr>
                <w:rFonts w:cs="Arial"/>
                <w:lang w:val="ka-GE"/>
              </w:rPr>
            </w:pPr>
            <w:r w:rsidRPr="00CC1C25">
              <w:rPr>
                <w:rFonts w:cs="Arial"/>
                <w:bCs/>
                <w:color w:val="000000" w:themeColor="text1"/>
                <w:kern w:val="24"/>
                <w:lang w:val="ka-GE"/>
              </w:rPr>
              <w:t>50 0</w:t>
            </w:r>
            <w:r w:rsidR="00CF621C" w:rsidRPr="00CC1C25">
              <w:rPr>
                <w:rFonts w:cs="Arial"/>
                <w:bCs/>
                <w:color w:val="000000" w:themeColor="text1"/>
                <w:kern w:val="24"/>
                <w:lang w:val="ka-GE"/>
              </w:rPr>
              <w:t>32</w:t>
            </w:r>
          </w:p>
        </w:tc>
        <w:tc>
          <w:tcPr>
            <w:tcW w:w="2337" w:type="dxa"/>
          </w:tcPr>
          <w:p w14:paraId="6F75E035" w14:textId="77777777" w:rsidR="000F4FD0" w:rsidRPr="00CC1C25" w:rsidRDefault="00CF621C" w:rsidP="002C7719">
            <w:pPr>
              <w:spacing w:line="276" w:lineRule="auto"/>
              <w:jc w:val="both"/>
              <w:rPr>
                <w:rFonts w:cs="Arial"/>
                <w:lang w:val="ka-GE"/>
              </w:rPr>
            </w:pPr>
            <w:r w:rsidRPr="00CC1C25">
              <w:rPr>
                <w:rFonts w:cs="Arial"/>
                <w:lang w:val="ka-GE"/>
              </w:rPr>
              <w:t>109800</w:t>
            </w:r>
          </w:p>
          <w:p w14:paraId="37642791" w14:textId="77777777" w:rsidR="00CF621C" w:rsidRPr="00CC1C25" w:rsidRDefault="00CF621C" w:rsidP="002C7719">
            <w:pPr>
              <w:spacing w:line="276" w:lineRule="auto"/>
              <w:jc w:val="both"/>
              <w:rPr>
                <w:rFonts w:cs="Arial"/>
                <w:lang w:val="ka-GE"/>
              </w:rPr>
            </w:pPr>
          </w:p>
          <w:p w14:paraId="2CF04AFC" w14:textId="0DA0D01C" w:rsidR="00CF621C" w:rsidRPr="00CC1C25" w:rsidRDefault="00CF621C" w:rsidP="002C7719">
            <w:pPr>
              <w:spacing w:line="276" w:lineRule="auto"/>
              <w:jc w:val="both"/>
              <w:rPr>
                <w:rFonts w:cs="Arial"/>
                <w:lang w:val="ka-GE"/>
              </w:rPr>
            </w:pPr>
            <w:r w:rsidRPr="00CC1C25">
              <w:rPr>
                <w:rFonts w:cs="Arial"/>
                <w:lang w:val="ka-GE"/>
              </w:rPr>
              <w:t>202600</w:t>
            </w:r>
          </w:p>
        </w:tc>
      </w:tr>
      <w:tr w:rsidR="000F4FD0" w:rsidRPr="00CC1C25" w14:paraId="199F8CCF" w14:textId="77777777" w:rsidTr="00A53349">
        <w:tc>
          <w:tcPr>
            <w:tcW w:w="2336" w:type="dxa"/>
          </w:tcPr>
          <w:p w14:paraId="62166D4B" w14:textId="4FC98595" w:rsidR="000F4FD0" w:rsidRPr="00CC1C25" w:rsidRDefault="000F4FD0" w:rsidP="002C7719">
            <w:pPr>
              <w:spacing w:line="276" w:lineRule="auto"/>
              <w:jc w:val="both"/>
              <w:rPr>
                <w:rFonts w:cs="Arial"/>
                <w:lang w:val="ka-GE"/>
              </w:rPr>
            </w:pPr>
            <w:r w:rsidRPr="00CC1C25">
              <w:rPr>
                <w:rFonts w:cs="Sylfaen"/>
                <w:bCs/>
                <w:lang w:val="ka-GE"/>
              </w:rPr>
              <w:t>ანტიგენის</w:t>
            </w:r>
            <w:r w:rsidRPr="00CC1C25">
              <w:rPr>
                <w:rFonts w:cs="Arial"/>
                <w:bCs/>
                <w:lang w:val="ka-GE"/>
              </w:rPr>
              <w:t xml:space="preserve"> </w:t>
            </w:r>
            <w:r w:rsidRPr="00CC1C25">
              <w:rPr>
                <w:rFonts w:cs="Sylfaen"/>
                <w:bCs/>
                <w:lang w:val="ka-GE"/>
              </w:rPr>
              <w:t>სწრაფი</w:t>
            </w:r>
          </w:p>
        </w:tc>
        <w:tc>
          <w:tcPr>
            <w:tcW w:w="2336" w:type="dxa"/>
          </w:tcPr>
          <w:p w14:paraId="116BCDE9" w14:textId="14E57B36" w:rsidR="000F4FD0" w:rsidRPr="00CC1C25" w:rsidRDefault="000F4FD0" w:rsidP="002C7719">
            <w:pPr>
              <w:spacing w:line="276" w:lineRule="auto"/>
              <w:jc w:val="both"/>
              <w:rPr>
                <w:rFonts w:cs="Arial"/>
                <w:lang w:val="ka-GE"/>
              </w:rPr>
            </w:pPr>
            <w:r w:rsidRPr="00CC1C25">
              <w:rPr>
                <w:rFonts w:cs="Arial"/>
                <w:color w:val="000000" w:themeColor="text1"/>
                <w:kern w:val="24"/>
                <w:lang w:val="ka-GE"/>
              </w:rPr>
              <w:t>54000</w:t>
            </w:r>
          </w:p>
        </w:tc>
        <w:tc>
          <w:tcPr>
            <w:tcW w:w="2336" w:type="dxa"/>
          </w:tcPr>
          <w:p w14:paraId="6FC71A31" w14:textId="209A3DF2" w:rsidR="000F4FD0" w:rsidRPr="00CC1C25" w:rsidRDefault="000F4FD0" w:rsidP="002C7719">
            <w:pPr>
              <w:spacing w:line="276" w:lineRule="auto"/>
              <w:jc w:val="both"/>
              <w:rPr>
                <w:rFonts w:cs="Arial"/>
                <w:lang w:val="ka-GE"/>
              </w:rPr>
            </w:pPr>
            <w:r w:rsidRPr="00CC1C25">
              <w:rPr>
                <w:rFonts w:cs="Arial"/>
                <w:color w:val="000000" w:themeColor="text1"/>
                <w:kern w:val="24"/>
                <w:lang w:val="ka-GE"/>
              </w:rPr>
              <w:t>48975</w:t>
            </w:r>
          </w:p>
        </w:tc>
        <w:tc>
          <w:tcPr>
            <w:tcW w:w="2337" w:type="dxa"/>
          </w:tcPr>
          <w:p w14:paraId="4444ACA2" w14:textId="2B994D63" w:rsidR="000F4FD0" w:rsidRPr="00CC1C25" w:rsidRDefault="000F4FD0" w:rsidP="002C7719">
            <w:pPr>
              <w:spacing w:line="276" w:lineRule="auto"/>
              <w:jc w:val="both"/>
              <w:rPr>
                <w:rFonts w:cs="Arial"/>
                <w:lang w:val="ka-GE"/>
              </w:rPr>
            </w:pPr>
            <w:r w:rsidRPr="00CC1C25">
              <w:rPr>
                <w:rFonts w:cs="Arial"/>
                <w:lang w:val="ka-GE"/>
              </w:rPr>
              <w:t>-</w:t>
            </w:r>
          </w:p>
        </w:tc>
      </w:tr>
      <w:tr w:rsidR="000F4FD0" w:rsidRPr="00CC1C25" w14:paraId="4FFDBF9B" w14:textId="77777777" w:rsidTr="00A53349">
        <w:tc>
          <w:tcPr>
            <w:tcW w:w="2336" w:type="dxa"/>
          </w:tcPr>
          <w:p w14:paraId="6C90DFFA" w14:textId="1201AADE" w:rsidR="000F4FD0" w:rsidRPr="00CC1C25" w:rsidRDefault="000F4FD0" w:rsidP="002C7719">
            <w:pPr>
              <w:spacing w:line="276" w:lineRule="auto"/>
              <w:jc w:val="both"/>
              <w:rPr>
                <w:rFonts w:cs="Arial"/>
                <w:bCs/>
                <w:lang w:val="ka-GE"/>
              </w:rPr>
            </w:pPr>
            <w:r w:rsidRPr="00CC1C25">
              <w:rPr>
                <w:rFonts w:cs="Sylfaen"/>
                <w:bCs/>
                <w:lang w:val="ka-GE"/>
              </w:rPr>
              <w:t>ანტისხეულების</w:t>
            </w:r>
            <w:r w:rsidRPr="00CC1C25">
              <w:rPr>
                <w:rFonts w:cs="Arial"/>
                <w:bCs/>
                <w:lang w:val="ka-GE"/>
              </w:rPr>
              <w:t xml:space="preserve"> </w:t>
            </w:r>
            <w:r w:rsidRPr="00CC1C25">
              <w:rPr>
                <w:rFonts w:cs="Sylfaen"/>
                <w:bCs/>
                <w:lang w:val="ka-GE"/>
              </w:rPr>
              <w:t>სწრაფი</w:t>
            </w:r>
          </w:p>
        </w:tc>
        <w:tc>
          <w:tcPr>
            <w:tcW w:w="2336" w:type="dxa"/>
          </w:tcPr>
          <w:p w14:paraId="0CED5982" w14:textId="62EC55A9" w:rsidR="000F4FD0" w:rsidRPr="00CC1C25" w:rsidRDefault="00CF621C" w:rsidP="002C7719">
            <w:pPr>
              <w:spacing w:line="276" w:lineRule="auto"/>
              <w:jc w:val="both"/>
              <w:rPr>
                <w:rFonts w:cs="Arial"/>
                <w:lang w:val="ka-GE"/>
              </w:rPr>
            </w:pPr>
            <w:r w:rsidRPr="00CC1C25">
              <w:rPr>
                <w:rFonts w:cs="Arial"/>
                <w:color w:val="000000" w:themeColor="text1"/>
                <w:kern w:val="24"/>
                <w:lang w:val="ka-GE"/>
              </w:rPr>
              <w:t>9000+17000</w:t>
            </w:r>
          </w:p>
        </w:tc>
        <w:tc>
          <w:tcPr>
            <w:tcW w:w="2336" w:type="dxa"/>
          </w:tcPr>
          <w:p w14:paraId="088F820F" w14:textId="579F7A58" w:rsidR="000F4FD0" w:rsidRPr="00CC1C25" w:rsidRDefault="000F4FD0" w:rsidP="002C7719">
            <w:pPr>
              <w:spacing w:line="276" w:lineRule="auto"/>
              <w:jc w:val="both"/>
              <w:rPr>
                <w:rFonts w:cs="Arial"/>
                <w:lang w:val="ka-GE"/>
              </w:rPr>
            </w:pPr>
            <w:r w:rsidRPr="00CC1C25">
              <w:rPr>
                <w:rFonts w:cs="Arial"/>
                <w:color w:val="000000" w:themeColor="text1"/>
                <w:kern w:val="24"/>
                <w:lang w:val="ka-GE"/>
              </w:rPr>
              <w:t>16800</w:t>
            </w:r>
          </w:p>
        </w:tc>
        <w:tc>
          <w:tcPr>
            <w:tcW w:w="2337" w:type="dxa"/>
          </w:tcPr>
          <w:p w14:paraId="047D24E9" w14:textId="638C8AB8" w:rsidR="000F4FD0" w:rsidRPr="00CC1C25" w:rsidRDefault="000F4FD0" w:rsidP="002C7719">
            <w:pPr>
              <w:spacing w:line="276" w:lineRule="auto"/>
              <w:jc w:val="both"/>
              <w:rPr>
                <w:rFonts w:cs="Arial"/>
                <w:lang w:val="ka-GE"/>
              </w:rPr>
            </w:pPr>
            <w:r w:rsidRPr="00CC1C25">
              <w:rPr>
                <w:rFonts w:cs="Arial"/>
                <w:lang w:val="ka-GE"/>
              </w:rPr>
              <w:t>30000</w:t>
            </w:r>
          </w:p>
        </w:tc>
      </w:tr>
    </w:tbl>
    <w:p w14:paraId="1B4D7E31" w14:textId="77777777" w:rsidR="00B235DE" w:rsidRPr="00CC1C25" w:rsidRDefault="00B235DE" w:rsidP="002C7719">
      <w:pPr>
        <w:spacing w:line="276" w:lineRule="auto"/>
        <w:jc w:val="both"/>
        <w:rPr>
          <w:lang w:val="ka-GE"/>
        </w:rPr>
      </w:pPr>
    </w:p>
    <w:p w14:paraId="2E7085B2" w14:textId="5300D858" w:rsidR="00CC1C25" w:rsidRPr="00CC1C25" w:rsidRDefault="00CC1C25" w:rsidP="002C7719">
      <w:pPr>
        <w:spacing w:after="240" w:line="276" w:lineRule="auto"/>
        <w:jc w:val="both"/>
        <w:rPr>
          <w:b/>
          <w:i/>
          <w:lang w:val="ka-GE"/>
        </w:rPr>
      </w:pPr>
      <w:r w:rsidRPr="00CC1C25">
        <w:rPr>
          <w:b/>
          <w:i/>
          <w:lang w:val="ka-GE"/>
        </w:rPr>
        <w:t>ყველა სახის ჩატარებული ტესტ</w:t>
      </w:r>
      <w:r>
        <w:rPr>
          <w:b/>
          <w:i/>
          <w:lang w:val="ka-GE"/>
        </w:rPr>
        <w:t>ირ</w:t>
      </w:r>
      <w:r w:rsidRPr="00CC1C25">
        <w:rPr>
          <w:b/>
          <w:i/>
          <w:lang w:val="ka-GE"/>
        </w:rPr>
        <w:t>ების რაოდენობა:</w:t>
      </w:r>
    </w:p>
    <w:p w14:paraId="2DC5D4A8" w14:textId="77777777" w:rsidR="00CC1C25" w:rsidRPr="008B6629" w:rsidRDefault="00CC1C25" w:rsidP="002C7719">
      <w:pPr>
        <w:pStyle w:val="ListParagraph"/>
        <w:spacing w:after="240" w:line="276" w:lineRule="auto"/>
        <w:jc w:val="both"/>
        <w:rPr>
          <w:rFonts w:ascii="Sylfaen" w:hAnsi="Sylfaen"/>
          <w:i/>
          <w:lang w:val="ka-GE"/>
        </w:rPr>
      </w:pPr>
    </w:p>
    <w:p w14:paraId="197C0674" w14:textId="77777777" w:rsidR="00CC1C25" w:rsidRPr="00ED254F" w:rsidRDefault="00CC1C25" w:rsidP="002C7719">
      <w:pPr>
        <w:pStyle w:val="ListParagraph"/>
        <w:numPr>
          <w:ilvl w:val="0"/>
          <w:numId w:val="10"/>
        </w:numPr>
        <w:shd w:val="clear" w:color="auto" w:fill="FFFFFF"/>
        <w:spacing w:after="0" w:line="276" w:lineRule="auto"/>
        <w:jc w:val="both"/>
        <w:rPr>
          <w:rFonts w:ascii="Sylfaen" w:hAnsi="Sylfaen"/>
          <w:lang w:val="ka-GE"/>
        </w:rPr>
      </w:pPr>
      <w:r w:rsidRPr="00ED254F">
        <w:rPr>
          <w:rFonts w:ascii="Sylfaen" w:hAnsi="Sylfaen"/>
          <w:lang w:val="ka-GE"/>
        </w:rPr>
        <w:t>სულ ჯამში 30.01.2020-დან დღემდე გამოკვლეულია 39 573 შესაძლო შემთხვევის პირველადი ნიმუში.</w:t>
      </w:r>
    </w:p>
    <w:p w14:paraId="46104650" w14:textId="77777777" w:rsidR="00CC1C25" w:rsidRPr="00ED254F" w:rsidRDefault="00CC1C25" w:rsidP="002C7719">
      <w:pPr>
        <w:pStyle w:val="ListParagraph"/>
        <w:numPr>
          <w:ilvl w:val="0"/>
          <w:numId w:val="10"/>
        </w:numPr>
        <w:shd w:val="clear" w:color="auto" w:fill="FFFFFF"/>
        <w:spacing w:after="0" w:line="276" w:lineRule="auto"/>
        <w:rPr>
          <w:rFonts w:ascii="Sylfaen" w:hAnsi="Sylfaen"/>
          <w:lang w:val="ka-GE"/>
        </w:rPr>
      </w:pPr>
      <w:r w:rsidRPr="00ED254F">
        <w:rPr>
          <w:rFonts w:ascii="Sylfaen" w:hAnsi="Sylfaen"/>
          <w:lang w:val="ka-GE"/>
        </w:rPr>
        <w:t>ლაბორატორიის დატვირთვა 30.01.2020-დან შეადგენს 41 805 ნიმუშს (შესაძლო და განმეორებითი ნიმუშები).</w:t>
      </w:r>
    </w:p>
    <w:p w14:paraId="79665169" w14:textId="77777777" w:rsidR="00CC1C25" w:rsidRPr="00ED254F" w:rsidRDefault="00CC1C25" w:rsidP="002C7719">
      <w:pPr>
        <w:pStyle w:val="ListParagraph"/>
        <w:numPr>
          <w:ilvl w:val="0"/>
          <w:numId w:val="10"/>
        </w:numPr>
        <w:spacing w:line="276" w:lineRule="auto"/>
        <w:jc w:val="both"/>
        <w:rPr>
          <w:rFonts w:ascii="Sylfaen" w:hAnsi="Sylfaen"/>
          <w:lang w:val="ka-GE"/>
        </w:rPr>
      </w:pPr>
      <w:r w:rsidRPr="00ED254F">
        <w:rPr>
          <w:rFonts w:ascii="Sylfaen" w:hAnsi="Sylfaen"/>
          <w:lang w:val="ka-GE"/>
        </w:rPr>
        <w:t>ანტისხეულზე დაფუძნებული სწრაფი მარტივი ტესტირება სულ რეგისტრირებულია - 2.578 ტესტი, მ.შ. Pos IgG – 24 (0.9%), pos IgM-30 (1.2%), pos IgM/IgG – 19 (0.8%)</w:t>
      </w:r>
    </w:p>
    <w:p w14:paraId="654E2DFE" w14:textId="77777777" w:rsidR="00CC1C25" w:rsidRPr="00ED254F" w:rsidRDefault="00CC1C25" w:rsidP="002C7719">
      <w:pPr>
        <w:pStyle w:val="ListParagraph"/>
        <w:numPr>
          <w:ilvl w:val="0"/>
          <w:numId w:val="10"/>
        </w:numPr>
        <w:spacing w:line="276" w:lineRule="auto"/>
        <w:jc w:val="both"/>
        <w:rPr>
          <w:rFonts w:ascii="Sylfaen" w:hAnsi="Sylfaen"/>
          <w:lang w:val="ka-GE"/>
        </w:rPr>
      </w:pPr>
      <w:r w:rsidRPr="00ED254F">
        <w:rPr>
          <w:rFonts w:ascii="Sylfaen" w:hAnsi="Sylfaen"/>
          <w:lang w:val="ka-GE"/>
        </w:rPr>
        <w:t>სულ რეგისტრირებულია -  148 ტესტი, მ.შ. Pos 17 (11.5%)</w:t>
      </w:r>
    </w:p>
    <w:p w14:paraId="5E950746" w14:textId="77777777" w:rsidR="0090099E" w:rsidRPr="0090099E" w:rsidRDefault="0090099E" w:rsidP="002C7719">
      <w:pPr>
        <w:spacing w:after="240" w:line="276" w:lineRule="auto"/>
        <w:jc w:val="both"/>
        <w:rPr>
          <w:b/>
          <w:lang w:val="ka-GE"/>
        </w:rPr>
      </w:pPr>
      <w:r w:rsidRPr="0090099E">
        <w:rPr>
          <w:b/>
          <w:i/>
          <w:lang w:val="ka-GE"/>
        </w:rPr>
        <w:t>ინფორმაცია კლასტერების შესახებ</w:t>
      </w:r>
    </w:p>
    <w:p w14:paraId="1644F8AD" w14:textId="77777777" w:rsidR="0090099E" w:rsidRPr="008B6629" w:rsidRDefault="0090099E" w:rsidP="002C7719">
      <w:pPr>
        <w:pStyle w:val="ListParagraph"/>
        <w:numPr>
          <w:ilvl w:val="0"/>
          <w:numId w:val="10"/>
        </w:numPr>
        <w:shd w:val="clear" w:color="auto" w:fill="FFFFFF"/>
        <w:spacing w:after="0" w:line="276" w:lineRule="auto"/>
        <w:rPr>
          <w:rFonts w:ascii="Sylfaen" w:hAnsi="Sylfaen"/>
          <w:lang w:val="ka-GE"/>
        </w:rPr>
      </w:pPr>
      <w:r w:rsidRPr="008B6629">
        <w:rPr>
          <w:rFonts w:ascii="Sylfaen" w:hAnsi="Sylfaen"/>
          <w:lang w:val="ka-GE"/>
        </w:rPr>
        <w:t xml:space="preserve">სულ იდენტიფიცირებულია დაახლოებით 15 კლასტერი, შემთხვევების მაქსიმალური რაოდენობა ერთ კლასტერში არის 40. </w:t>
      </w:r>
    </w:p>
    <w:p w14:paraId="6F04BC11" w14:textId="77777777" w:rsidR="0090099E" w:rsidRPr="008B6629" w:rsidRDefault="0090099E" w:rsidP="002C7719">
      <w:pPr>
        <w:pStyle w:val="ListParagraph"/>
        <w:numPr>
          <w:ilvl w:val="0"/>
          <w:numId w:val="10"/>
        </w:numPr>
        <w:shd w:val="clear" w:color="auto" w:fill="FFFFFF"/>
        <w:spacing w:after="0" w:line="276" w:lineRule="auto"/>
        <w:rPr>
          <w:rFonts w:ascii="Sylfaen" w:hAnsi="Sylfaen"/>
          <w:lang w:val="ka-GE"/>
        </w:rPr>
      </w:pPr>
      <w:r w:rsidRPr="008B6629">
        <w:rPr>
          <w:rFonts w:ascii="Sylfaen" w:hAnsi="Sylfaen"/>
          <w:lang w:val="ka-GE"/>
        </w:rPr>
        <w:t xml:space="preserve">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23AFD35C" w14:textId="77777777" w:rsidR="0090099E" w:rsidRPr="008B6629" w:rsidRDefault="0090099E" w:rsidP="002C7719">
      <w:pPr>
        <w:shd w:val="clear" w:color="auto" w:fill="FFFFFF"/>
        <w:spacing w:after="0" w:line="276" w:lineRule="auto"/>
        <w:rPr>
          <w:lang w:val="ka-GE"/>
        </w:rPr>
      </w:pPr>
    </w:p>
    <w:p w14:paraId="2696575D" w14:textId="5314C8B0" w:rsidR="0090099E" w:rsidRPr="0090099E" w:rsidRDefault="0090099E" w:rsidP="002C7719">
      <w:pPr>
        <w:spacing w:after="240" w:line="276" w:lineRule="auto"/>
        <w:jc w:val="both"/>
        <w:rPr>
          <w:b/>
          <w:i/>
          <w:lang w:val="ka-GE"/>
        </w:rPr>
      </w:pPr>
      <w:r w:rsidRPr="0090099E">
        <w:rPr>
          <w:b/>
          <w:i/>
          <w:lang w:val="ka-GE"/>
        </w:rPr>
        <w:t>СOVID-19-ის დადასტურებული შემთხვევები, რომელთა დადგენა, პრევენციული</w:t>
      </w:r>
      <w:r>
        <w:rPr>
          <w:b/>
          <w:i/>
          <w:lang w:val="ka-GE"/>
        </w:rPr>
        <w:t xml:space="preserve"> </w:t>
      </w:r>
      <w:r w:rsidRPr="0090099E">
        <w:rPr>
          <w:b/>
          <w:i/>
          <w:lang w:val="ka-GE"/>
        </w:rPr>
        <w:t>ღონისძიებების შედეგად მოხერხდა: საკარანტინე სივრციდან/საზღვრიდან.</w:t>
      </w:r>
    </w:p>
    <w:p w14:paraId="70A23FE8" w14:textId="77777777" w:rsidR="0090099E" w:rsidRPr="008B6629" w:rsidRDefault="0090099E" w:rsidP="002C7719">
      <w:pPr>
        <w:pStyle w:val="ListParagraph"/>
        <w:numPr>
          <w:ilvl w:val="0"/>
          <w:numId w:val="10"/>
        </w:numPr>
        <w:shd w:val="clear" w:color="auto" w:fill="FFFFFF"/>
        <w:spacing w:after="0" w:line="276" w:lineRule="auto"/>
        <w:rPr>
          <w:rFonts w:ascii="Sylfaen" w:hAnsi="Sylfaen"/>
        </w:rPr>
      </w:pPr>
      <w:r w:rsidRPr="008B6629">
        <w:rPr>
          <w:rFonts w:ascii="Sylfaen" w:hAnsi="Sylfaen"/>
          <w:lang w:val="ka-GE"/>
        </w:rPr>
        <w:t xml:space="preserve">დადასტურებული </w:t>
      </w:r>
      <w:r w:rsidRPr="00B33A79">
        <w:rPr>
          <w:rFonts w:ascii="Sylfaen" w:hAnsi="Sylfaen"/>
          <w:b/>
          <w:lang w:val="ka-GE"/>
        </w:rPr>
        <w:t xml:space="preserve">124 </w:t>
      </w:r>
      <w:r w:rsidRPr="008B6629">
        <w:rPr>
          <w:rFonts w:ascii="Sylfaen" w:hAnsi="Sylfaen"/>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w:t>
      </w:r>
    </w:p>
    <w:p w14:paraId="1B7A9F2B" w14:textId="77777777" w:rsidR="0090099E" w:rsidRPr="008B6629" w:rsidRDefault="0090099E" w:rsidP="002C7719">
      <w:pPr>
        <w:pStyle w:val="ListParagraph"/>
        <w:numPr>
          <w:ilvl w:val="0"/>
          <w:numId w:val="10"/>
        </w:numPr>
        <w:shd w:val="clear" w:color="auto" w:fill="FFFFFF"/>
        <w:spacing w:after="0" w:line="276" w:lineRule="auto"/>
        <w:rPr>
          <w:rFonts w:ascii="Sylfaen" w:hAnsi="Sylfaen"/>
        </w:rPr>
      </w:pPr>
      <w:r w:rsidRPr="008B6629">
        <w:rPr>
          <w:rFonts w:ascii="Sylfaen" w:hAnsi="Sylfaen"/>
          <w:lang w:val="ka-GE"/>
        </w:rPr>
        <w:t xml:space="preserve">ამ ეტაპზე კარანტინში </w:t>
      </w:r>
      <w:r w:rsidRPr="008B6629">
        <w:rPr>
          <w:rFonts w:ascii="Sylfaen" w:hAnsi="Sylfaen"/>
        </w:rPr>
        <w:t xml:space="preserve">გადაყვანილია </w:t>
      </w:r>
      <w:r w:rsidRPr="008B6629">
        <w:rPr>
          <w:rFonts w:ascii="Sylfaen" w:hAnsi="Sylfaen"/>
          <w:lang w:val="ka-GE"/>
        </w:rPr>
        <w:t xml:space="preserve">ჯამში </w:t>
      </w:r>
      <w:r w:rsidRPr="00B33A79">
        <w:rPr>
          <w:rFonts w:ascii="Sylfaen" w:hAnsi="Sylfaen"/>
          <w:b/>
        </w:rPr>
        <w:t>20 000</w:t>
      </w:r>
      <w:r w:rsidRPr="008B6629">
        <w:rPr>
          <w:rFonts w:ascii="Sylfaen" w:hAnsi="Sylfaen"/>
        </w:rPr>
        <w:t>-ზე მეტი</w:t>
      </w:r>
      <w:r w:rsidRPr="008B6629">
        <w:rPr>
          <w:rFonts w:ascii="Sylfaen" w:hAnsi="Sylfaen"/>
          <w:lang w:val="ka-GE"/>
        </w:rPr>
        <w:t xml:space="preserve"> ადამიანი </w:t>
      </w:r>
      <w:r w:rsidRPr="008B6629">
        <w:rPr>
          <w:rFonts w:ascii="Sylfaen" w:hAnsi="Sylfaen"/>
        </w:rPr>
        <w:t>(შემთხვევათა ახლო კონტაქტები და მაღალი დაზარალების ზონიდან ჩამოსულები)</w:t>
      </w:r>
      <w:r w:rsidRPr="008B6629">
        <w:rPr>
          <w:rFonts w:ascii="Sylfaen" w:hAnsi="Sylfaen"/>
          <w:lang w:val="ka-GE"/>
        </w:rPr>
        <w:t>.</w:t>
      </w:r>
    </w:p>
    <w:p w14:paraId="4A390013" w14:textId="77777777" w:rsidR="0090099E" w:rsidRPr="008B6629" w:rsidRDefault="0090099E" w:rsidP="002C7719">
      <w:pPr>
        <w:pStyle w:val="ListParagraph"/>
        <w:shd w:val="clear" w:color="auto" w:fill="FFFFFF"/>
        <w:spacing w:after="0" w:line="276" w:lineRule="auto"/>
        <w:ind w:left="630"/>
        <w:rPr>
          <w:rFonts w:ascii="Sylfaen" w:hAnsi="Sylfaen"/>
          <w:lang w:val="ka-GE"/>
        </w:rPr>
      </w:pPr>
    </w:p>
    <w:p w14:paraId="14C19BE0" w14:textId="77777777" w:rsidR="006A094C" w:rsidRDefault="006A094C" w:rsidP="002C7719">
      <w:pPr>
        <w:spacing w:line="276" w:lineRule="auto"/>
        <w:jc w:val="both"/>
        <w:rPr>
          <w:b/>
          <w:lang w:val="ka-GE"/>
        </w:rPr>
      </w:pPr>
    </w:p>
    <w:p w14:paraId="55EE63A0" w14:textId="4310A2AD" w:rsidR="000B7DBD" w:rsidRPr="00CC1C25" w:rsidRDefault="000B7DBD" w:rsidP="002C7719">
      <w:pPr>
        <w:spacing w:line="276" w:lineRule="auto"/>
        <w:jc w:val="both"/>
        <w:rPr>
          <w:b/>
          <w:lang w:val="ka-GE"/>
        </w:rPr>
      </w:pPr>
      <w:r w:rsidRPr="00CC1C25">
        <w:rPr>
          <w:b/>
          <w:lang w:val="ka-GE"/>
        </w:rPr>
        <w:t>სამედიცინო სერვისების უწყვეტობა ანტიკრიზისული გეგმის ფარგლებში</w:t>
      </w:r>
    </w:p>
    <w:p w14:paraId="543B5843" w14:textId="2272CDF9" w:rsidR="000B7DBD" w:rsidRPr="00CC1C25" w:rsidRDefault="000B7DBD" w:rsidP="002C7719">
      <w:pPr>
        <w:spacing w:line="276" w:lineRule="auto"/>
        <w:jc w:val="both"/>
        <w:rPr>
          <w:lang w:val="ka-GE"/>
        </w:rPr>
      </w:pPr>
      <w:r w:rsidRPr="00CC1C25">
        <w:rPr>
          <w:lang w:val="ka-GE"/>
        </w:rPr>
        <w:t xml:space="preserve">სამედიცინო სერვისებზე უწყვეტობის უზრუნველყოფის მიზნით სამინისტრომ შეიმუშავა და გამოსცა რეკომენდაციები ფსიქიკური ჯანმრთელობის ცენტრების, რეპროდუქციული და პერინატალური სერვისების მიმწოდებელი დაწესებულებების, სტომატოლოგიური კლინიკების და სხვა გეგმიური ამბულატორიული სერვისების მიმწოდებელი დაწესებულებებისთვის ინფექციის კონტროლის გამკაცრების აუცილებლობის თაობაზე. გეგმიურ ჩარევებზე მოლოდინის პერიოდი გახანგრძლივდა 4 თვემდე. </w:t>
      </w:r>
      <w:r w:rsidRPr="00932B47">
        <w:rPr>
          <w:lang w:val="ka-GE"/>
        </w:rPr>
        <w:t xml:space="preserve">მიმდინარე წლის </w:t>
      </w:r>
      <w:r w:rsidRPr="00932B47">
        <w:rPr>
          <w:lang w:val="ka-GE"/>
        </w:rPr>
        <w:lastRenderedPageBreak/>
        <w:t xml:space="preserve">იანვარ-თებერვალში გეგმიური ჰოსპიტალური ჩარევა საყოველთაო ხელმისაწვდომობის პროგრამის ფარგლებში ჩაუტარდა </w:t>
      </w:r>
      <w:r w:rsidR="00932B47" w:rsidRPr="00932B47">
        <w:rPr>
          <w:lang w:val="en-US"/>
        </w:rPr>
        <w:t>48</w:t>
      </w:r>
      <w:r w:rsidR="00932B47" w:rsidRPr="00932B47">
        <w:rPr>
          <w:lang w:val="ka-GE"/>
        </w:rPr>
        <w:t>,</w:t>
      </w:r>
      <w:r w:rsidR="00932B47" w:rsidRPr="00932B47">
        <w:rPr>
          <w:lang w:val="en-US"/>
        </w:rPr>
        <w:t xml:space="preserve">406 </w:t>
      </w:r>
      <w:r w:rsidRPr="00932B47">
        <w:rPr>
          <w:lang w:val="ka-GE"/>
        </w:rPr>
        <w:t xml:space="preserve">ენეფიციარს, რაც გასულ წელთან შედარებით </w:t>
      </w:r>
      <w:r w:rsidR="00932B47" w:rsidRPr="00932B47">
        <w:rPr>
          <w:lang w:val="ka-GE"/>
        </w:rPr>
        <w:t>7</w:t>
      </w:r>
      <w:r w:rsidR="00932B47" w:rsidRPr="00932B47">
        <w:rPr>
          <w:lang w:val="en-US"/>
        </w:rPr>
        <w:t>%-</w:t>
      </w:r>
      <w:r w:rsidR="00932B47" w:rsidRPr="00932B47">
        <w:rPr>
          <w:lang w:val="ka-GE"/>
        </w:rPr>
        <w:t>ით მეტია</w:t>
      </w:r>
      <w:r w:rsidR="00932B47" w:rsidRPr="00932B47">
        <w:rPr>
          <w:lang w:val="en-US"/>
        </w:rPr>
        <w:t xml:space="preserve"> (45,245)</w:t>
      </w:r>
      <w:r w:rsidRPr="00932B47">
        <w:rPr>
          <w:lang w:val="en-US"/>
        </w:rPr>
        <w:t xml:space="preserve">. </w:t>
      </w:r>
      <w:r w:rsidR="00932B47">
        <w:rPr>
          <w:lang w:val="ka-GE"/>
        </w:rPr>
        <w:t>გადაუდებელი სტაციონარული სერვისების რაოდენობა მიმდინარე წლის პირველ ორ თვეში სეადგენდა 66672-ს, ხოლო 2019 წლის ანალოგიურ პერიოდში 63,185-ს.</w:t>
      </w:r>
    </w:p>
    <w:p w14:paraId="41E420AA" w14:textId="0C6479DD" w:rsidR="000B7DBD" w:rsidRPr="00CC1C25" w:rsidRDefault="000B7DBD" w:rsidP="002C7719">
      <w:pPr>
        <w:spacing w:line="276" w:lineRule="auto"/>
        <w:jc w:val="both"/>
        <w:rPr>
          <w:lang w:val="ka-GE"/>
        </w:rPr>
      </w:pPr>
      <w:r w:rsidRPr="00CC1C25">
        <w:rPr>
          <w:lang w:val="ka-GE"/>
        </w:rPr>
        <w:t xml:space="preserve">თუ გვაქვს მონაცემები ამბულატორიული სერვისების მიღებაზე რეპროდუქციული და ფსიქიკური ჯანმრთელობის კუთხით დავურთოთ. ასევე დავურთოთ </w:t>
      </w:r>
      <w:r w:rsidRPr="00CC1C25">
        <w:rPr>
          <w:lang w:val="en-US"/>
        </w:rPr>
        <w:t xml:space="preserve">C </w:t>
      </w:r>
      <w:r w:rsidRPr="00CC1C25">
        <w:rPr>
          <w:lang w:val="ka-GE"/>
        </w:rPr>
        <w:t xml:space="preserve">ჰეპატიტის პროგრამის მონაცემებიც, რომ არ შეფერხებულა პროგრამის განხორციელება. კარგი იქნება ვნახოთ იმუნიზაციის შესრულებას რა დაემართა. </w:t>
      </w:r>
    </w:p>
    <w:p w14:paraId="05A3D7A0" w14:textId="27F3ED72" w:rsidR="000B7DBD" w:rsidRDefault="0075033E" w:rsidP="002C7719">
      <w:pPr>
        <w:spacing w:line="276" w:lineRule="auto"/>
        <w:jc w:val="both"/>
        <w:rPr>
          <w:lang w:val="ka-GE"/>
        </w:rPr>
      </w:pPr>
      <w:r w:rsidRPr="00CC1C25">
        <w:rPr>
          <w:lang w:val="ka-GE"/>
        </w:rPr>
        <w:t>მიმდინარე წლის მარტისა და აპრილში სამედიცინო მარაგებისა და პირადი დაცვის საშუალებები შესყიდვის საერთო ოდენობამ შეადგინა 22</w:t>
      </w:r>
      <w:r w:rsidR="004077C3">
        <w:rPr>
          <w:lang w:val="ka-GE"/>
        </w:rPr>
        <w:t>,</w:t>
      </w:r>
      <w:r w:rsidRPr="00CC1C25">
        <w:rPr>
          <w:lang w:val="ka-GE"/>
        </w:rPr>
        <w:t>188</w:t>
      </w:r>
      <w:r w:rsidR="004077C3">
        <w:rPr>
          <w:lang w:val="ka-GE"/>
        </w:rPr>
        <w:t>,</w:t>
      </w:r>
      <w:r w:rsidRPr="00CC1C25">
        <w:rPr>
          <w:lang w:val="ka-GE"/>
        </w:rPr>
        <w:t xml:space="preserve">545 ლარი, გარდა ამისა 20 მილიონ ლარამდე შეადგენს კლინიკების მობილიზებასთან დაკავშირებული დანახარჯები </w:t>
      </w:r>
      <w:r w:rsidRPr="004077C3">
        <w:rPr>
          <w:lang w:val="ka-GE"/>
        </w:rPr>
        <w:t>იგივე პერიოდში. ეს ხარჯები ექვემდებარება რეტროქტიულ დაფინანსებას მსოფლიო ბანკის სესხის ფარგლებში.</w:t>
      </w:r>
      <w:r w:rsidRPr="00CC1C25">
        <w:rPr>
          <w:lang w:val="ka-GE"/>
        </w:rPr>
        <w:t xml:space="preserve"> </w:t>
      </w:r>
      <w:r w:rsidR="004A4D91">
        <w:rPr>
          <w:lang w:val="ka-GE"/>
        </w:rPr>
        <w:t xml:space="preserve"> </w:t>
      </w:r>
    </w:p>
    <w:p w14:paraId="280B3A91" w14:textId="77777777" w:rsidR="006A094C" w:rsidRDefault="006A094C" w:rsidP="002C7719">
      <w:pPr>
        <w:spacing w:line="276" w:lineRule="auto"/>
        <w:jc w:val="both"/>
        <w:rPr>
          <w:b/>
          <w:lang w:val="ka-GE"/>
        </w:rPr>
      </w:pPr>
      <w:bookmarkStart w:id="0" w:name="_GoBack"/>
      <w:bookmarkEnd w:id="0"/>
    </w:p>
    <w:p w14:paraId="0D4E371F" w14:textId="37CB4DA6" w:rsidR="006A094C" w:rsidRPr="006A094C" w:rsidRDefault="006A094C" w:rsidP="002C7719">
      <w:pPr>
        <w:spacing w:line="276" w:lineRule="auto"/>
        <w:jc w:val="both"/>
        <w:rPr>
          <w:b/>
          <w:lang w:val="ka-GE"/>
        </w:rPr>
      </w:pPr>
      <w:r w:rsidRPr="006A094C">
        <w:rPr>
          <w:b/>
          <w:lang w:val="ka-GE"/>
        </w:rPr>
        <w:t xml:space="preserve">სამუშაო ადგილებზე ახალი კორონავირუსის (COVID-19) გავრცელების თავიდან აცილების მიზნით ეკონომიკური საქმიანობის </w:t>
      </w:r>
      <w:r w:rsidRPr="006A094C">
        <w:rPr>
          <w:b/>
          <w:lang w:val="ka-GE"/>
        </w:rPr>
        <w:t>განმხორციელებელთა შემოწმება</w:t>
      </w:r>
    </w:p>
    <w:p w14:paraId="1F204C93" w14:textId="77777777" w:rsidR="006A094C" w:rsidRDefault="006A094C" w:rsidP="006A094C">
      <w:pPr>
        <w:jc w:val="both"/>
        <w:rPr>
          <w:lang w:val="ka-GE"/>
        </w:rPr>
      </w:pPr>
      <w:r w:rsidRPr="00DD7792">
        <w:rPr>
          <w:lang w:val="ka-GE"/>
        </w:rPr>
        <w:t>შრომის პირობების ინსპექტირების დეპარტამენტის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სააგენოს დახმარებით 2020 წლის 1 მაისიდან 18 მაისამდე დაიგეგმა  </w:t>
      </w:r>
      <w:r w:rsidRPr="00DD7792">
        <w:rPr>
          <w:b/>
          <w:lang w:val="ka-GE"/>
        </w:rPr>
        <w:t>9929 ობიექტის შემოწმება.</w:t>
      </w:r>
      <w:r w:rsidRPr="00DD7792">
        <w:rPr>
          <w:lang w:val="ka-GE"/>
        </w:rPr>
        <w:t xml:space="preserve"> </w:t>
      </w:r>
    </w:p>
    <w:p w14:paraId="352664D1" w14:textId="77777777" w:rsidR="006A094C" w:rsidRPr="00DD7792" w:rsidRDefault="006A094C" w:rsidP="006A094C">
      <w:pPr>
        <w:jc w:val="both"/>
        <w:rPr>
          <w:lang w:val="ka-GE"/>
        </w:rPr>
      </w:pPr>
      <w:r w:rsidRPr="00DD7792">
        <w:rPr>
          <w:lang w:val="ka-GE"/>
        </w:rPr>
        <w:t xml:space="preserve">შემოწმების შედეგად გამოვლინდა, რომ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 სრულად შესრულებული აქვს </w:t>
      </w:r>
      <w:r w:rsidRPr="00DD7792">
        <w:rPr>
          <w:b/>
          <w:lang w:val="ka-GE"/>
        </w:rPr>
        <w:t xml:space="preserve">3344 ობიექტს, </w:t>
      </w:r>
      <w:r w:rsidRPr="00DD7792">
        <w:rPr>
          <w:lang w:val="ka-GE"/>
        </w:rPr>
        <w:t xml:space="preserve">მოთხოვნებს </w:t>
      </w:r>
      <w:r w:rsidRPr="00DD7792">
        <w:rPr>
          <w:b/>
          <w:lang w:val="ka-GE"/>
        </w:rPr>
        <w:t>ვერ აკმაყოფილებს 2242 ობიექტი,</w:t>
      </w:r>
      <w:r w:rsidRPr="00DD7792">
        <w:rPr>
          <w:lang w:val="ka-GE"/>
        </w:rPr>
        <w:t xml:space="preserve"> შემოწმებისთვის </w:t>
      </w:r>
      <w:r w:rsidRPr="00DD7792">
        <w:rPr>
          <w:b/>
          <w:lang w:val="ka-GE"/>
        </w:rPr>
        <w:t>მზად არ აღმოჩნდა 4343 ობიექტი</w:t>
      </w:r>
      <w:r w:rsidRPr="00DD7792">
        <w:rPr>
          <w:lang w:val="ka-GE"/>
        </w:rPr>
        <w:t xml:space="preserve"> (მიუხედავად იმისა, რომ დარეგისტრირდნენ ვებ.გვერდზე შემოწმების მიზნით).</w:t>
      </w:r>
    </w:p>
    <w:p w14:paraId="1CF66F5C" w14:textId="77777777" w:rsidR="006A094C" w:rsidRPr="00DD7792" w:rsidRDefault="006A094C" w:rsidP="006A094C">
      <w:pPr>
        <w:jc w:val="both"/>
        <w:rPr>
          <w:lang w:val="ka-GE"/>
        </w:rPr>
      </w:pPr>
      <w:r w:rsidRPr="00DD7792">
        <w:rPr>
          <w:lang w:val="ka-GE"/>
        </w:rPr>
        <w:t xml:space="preserve">ასევე აღსანიშნავია, რომ 2020 წლის 17 მაისის 21 საათის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04CBC46A" w14:textId="77777777" w:rsidR="004A4D91" w:rsidRDefault="004A4D91" w:rsidP="002C7719">
      <w:pPr>
        <w:spacing w:line="276" w:lineRule="auto"/>
        <w:jc w:val="both"/>
        <w:rPr>
          <w:b/>
          <w:lang w:val="ka-GE"/>
        </w:rPr>
      </w:pPr>
    </w:p>
    <w:p w14:paraId="19B9349A" w14:textId="3C1B88D6" w:rsidR="00517DE9" w:rsidRPr="00CC1C25" w:rsidRDefault="000F4FD0" w:rsidP="002C7719">
      <w:pPr>
        <w:spacing w:line="276" w:lineRule="auto"/>
        <w:jc w:val="both"/>
        <w:rPr>
          <w:b/>
          <w:lang w:val="ka-GE"/>
        </w:rPr>
      </w:pPr>
      <w:r w:rsidRPr="00CC1C25">
        <w:rPr>
          <w:b/>
          <w:lang w:val="ka-GE"/>
        </w:rPr>
        <w:t xml:space="preserve">ჯანდაცვის სამინისტროს ცხელ ხაზზე </w:t>
      </w:r>
      <w:r w:rsidR="00EF329B" w:rsidRPr="00CC1C25">
        <w:rPr>
          <w:b/>
          <w:lang w:val="ka-GE"/>
        </w:rPr>
        <w:t xml:space="preserve"> (1505) </w:t>
      </w:r>
      <w:r w:rsidRPr="00CC1C25">
        <w:rPr>
          <w:b/>
          <w:lang w:val="ka-GE"/>
        </w:rPr>
        <w:t>შემოსული ზარები</w:t>
      </w:r>
    </w:p>
    <w:p w14:paraId="54828343" w14:textId="72F11F46" w:rsidR="00EF329B" w:rsidRPr="00CC1C25" w:rsidRDefault="00EF329B" w:rsidP="002C7719">
      <w:pPr>
        <w:spacing w:line="276" w:lineRule="auto"/>
        <w:jc w:val="both"/>
        <w:rPr>
          <w:lang w:val="ka-GE"/>
        </w:rPr>
      </w:pPr>
      <w:r w:rsidRPr="00CC1C25">
        <w:rPr>
          <w:lang w:val="ka-GE"/>
        </w:rPr>
        <w:t xml:space="preserve">01.01.20 - 17.05.20 პერიოდში შემოვიდა 589 485 ზარი, მივიღეთ 191 303 ზარი (32%). შემოსული ზარების დიდი ნაწილი მოდის 21 მარტის შემდგომ პერიოდზე (21 მარტიდან -17 </w:t>
      </w:r>
      <w:r w:rsidRPr="00CC1C25">
        <w:rPr>
          <w:lang w:val="ka-GE"/>
        </w:rPr>
        <w:lastRenderedPageBreak/>
        <w:t>მაისის ჩათვლით  სამინისტროს ცხელ ხაზზე შემოვიდა   322 437  ზარი, აქედან მიღებული იქნა  96 053 ზარი.)</w:t>
      </w:r>
    </w:p>
    <w:p w14:paraId="4B105ADE" w14:textId="39A761F2" w:rsidR="00EF329B" w:rsidRPr="00CC1C25" w:rsidRDefault="00EF329B" w:rsidP="002C7719">
      <w:pPr>
        <w:spacing w:line="276" w:lineRule="auto"/>
        <w:jc w:val="both"/>
        <w:rPr>
          <w:b/>
          <w:lang w:val="ka-GE"/>
        </w:rPr>
      </w:pPr>
      <w:r w:rsidRPr="00CC1C25">
        <w:rPr>
          <w:b/>
          <w:lang w:val="ka-GE"/>
        </w:rPr>
        <w:t>დაავადებათა კონტროლისა და საზოგადოებრივი ჯანმრთელობის ცენტრის ცხელ ხაზზე შემოსული ზარები (116001)</w:t>
      </w:r>
    </w:p>
    <w:p w14:paraId="2C60BD69" w14:textId="0CD1958A" w:rsidR="00EF329B" w:rsidRPr="00CC1C25" w:rsidRDefault="00EF329B" w:rsidP="002C7719">
      <w:pPr>
        <w:spacing w:line="276" w:lineRule="auto"/>
        <w:jc w:val="both"/>
        <w:rPr>
          <w:lang w:val="ka-GE"/>
        </w:rPr>
      </w:pPr>
      <w:r w:rsidRPr="00CC1C25">
        <w:rPr>
          <w:lang w:val="ka-GE"/>
        </w:rPr>
        <w:t xml:space="preserve">ცხელ ხაზზე შემოსული ზარების მართვამ მნიშვნელოვნად შეუწყო ხელი სამედიცინო დაწესებულებებში არამიზნობრივი მიმართვიანობის შეჩერებას. პანდემიის საწყის ეტაპზე, ინფორმაციის ნაკლებობისა და პანიკის პირობებში, მოსახლეობის ზარების ძირითადი ნაწილი მომართული იყო სწორედ 116 001-ზე. აღსანიშნავია, რომ ცენტრის ცხელი ხაზის მიმართ ამ პერიოდში დაფიქსირდა საკმაოდ მაღალი ნდობა, რასაც ხელი შეუწყო ე.წ. „უკუკავშირის“ პრინციპის ამოქმედებამ - უამრავი საკითხის დამატებით დაზუსტების შემდეგ ზარების ავტორებთან დამატებით უკუ-კომუნიკაციამ და მათთვის მაქსიმალურად დაზუსტებული ინფორმაციის მიწოდებამ. </w:t>
      </w:r>
    </w:p>
    <w:p w14:paraId="76673B4A" w14:textId="11CAC14A" w:rsidR="00EF329B" w:rsidRPr="00CC1C25" w:rsidRDefault="00EF329B" w:rsidP="002C7719">
      <w:pPr>
        <w:spacing w:line="276" w:lineRule="auto"/>
        <w:jc w:val="both"/>
        <w:rPr>
          <w:lang w:val="ka-GE"/>
        </w:rPr>
      </w:pPr>
      <w:r w:rsidRPr="00CC1C25">
        <w:rPr>
          <w:lang w:val="ka-GE"/>
        </w:rPr>
        <w:t xml:space="preserve">2020 წლის 23 იანვრიდან </w:t>
      </w:r>
      <w:r w:rsidR="00560C13" w:rsidRPr="00CC1C25">
        <w:rPr>
          <w:lang w:val="ka-GE"/>
        </w:rPr>
        <w:t xml:space="preserve">17 </w:t>
      </w:r>
      <w:r w:rsidRPr="00CC1C25">
        <w:rPr>
          <w:lang w:val="ka-GE"/>
        </w:rPr>
        <w:t xml:space="preserve">მაისამდე ცხელ ხაზზე შემოსული ზარების ჯამური რაოდენობაა              </w:t>
      </w:r>
      <w:r w:rsidR="00560C13" w:rsidRPr="00CC1C25">
        <w:rPr>
          <w:lang w:val="ka-GE"/>
        </w:rPr>
        <w:t>41 291</w:t>
      </w:r>
      <w:r w:rsidRPr="00CC1C25">
        <w:rPr>
          <w:lang w:val="ka-GE"/>
        </w:rPr>
        <w:t xml:space="preserve">. მათ შორის: </w:t>
      </w:r>
    </w:p>
    <w:p w14:paraId="715A77D9" w14:textId="2F5FC4D5" w:rsidR="00EF329B" w:rsidRPr="00342B3D" w:rsidRDefault="00EF329B" w:rsidP="002C7719">
      <w:pPr>
        <w:pStyle w:val="ListParagraph"/>
        <w:numPr>
          <w:ilvl w:val="0"/>
          <w:numId w:val="3"/>
        </w:numPr>
        <w:spacing w:line="276" w:lineRule="auto"/>
        <w:jc w:val="both"/>
        <w:rPr>
          <w:lang w:val="ka-GE"/>
        </w:rPr>
      </w:pPr>
      <w:r w:rsidRPr="00342B3D">
        <w:rPr>
          <w:rFonts w:ascii="Sylfaen" w:hAnsi="Sylfaen" w:cs="Sylfaen"/>
          <w:lang w:val="ka-GE"/>
        </w:rPr>
        <w:t>პასუხგაცემული</w:t>
      </w:r>
      <w:r w:rsidRPr="00342B3D">
        <w:rPr>
          <w:lang w:val="ka-GE"/>
        </w:rPr>
        <w:t xml:space="preserve">: </w:t>
      </w:r>
      <w:r w:rsidR="00560C13" w:rsidRPr="00342B3D">
        <w:rPr>
          <w:lang w:val="ka-GE"/>
        </w:rPr>
        <w:t>33 300</w:t>
      </w:r>
      <w:r w:rsidRPr="00342B3D">
        <w:rPr>
          <w:lang w:val="ka-GE"/>
        </w:rPr>
        <w:t xml:space="preserve"> </w:t>
      </w:r>
      <w:r w:rsidRPr="00342B3D">
        <w:rPr>
          <w:rFonts w:ascii="Sylfaen" w:hAnsi="Sylfaen" w:cs="Sylfaen"/>
          <w:lang w:val="ka-GE"/>
        </w:rPr>
        <w:t>ზარი</w:t>
      </w:r>
      <w:r w:rsidRPr="00342B3D">
        <w:rPr>
          <w:lang w:val="ka-GE"/>
        </w:rPr>
        <w:t xml:space="preserve"> (8</w:t>
      </w:r>
      <w:r w:rsidR="00560C13" w:rsidRPr="00342B3D">
        <w:rPr>
          <w:lang w:val="ka-GE"/>
        </w:rPr>
        <w:t>1</w:t>
      </w:r>
      <w:r w:rsidRPr="00342B3D">
        <w:rPr>
          <w:lang w:val="ka-GE"/>
        </w:rPr>
        <w:t xml:space="preserve">%) - </w:t>
      </w:r>
      <w:r w:rsidRPr="00342B3D">
        <w:rPr>
          <w:rFonts w:ascii="Sylfaen" w:hAnsi="Sylfaen" w:cs="Sylfaen"/>
          <w:lang w:val="ka-GE"/>
        </w:rPr>
        <w:t>გაცდენილი</w:t>
      </w:r>
      <w:r w:rsidRPr="00342B3D">
        <w:rPr>
          <w:lang w:val="ka-GE"/>
        </w:rPr>
        <w:t xml:space="preserve">: 7 </w:t>
      </w:r>
      <w:r w:rsidR="00560C13" w:rsidRPr="00342B3D">
        <w:rPr>
          <w:lang w:val="ka-GE"/>
        </w:rPr>
        <w:t>991</w:t>
      </w:r>
      <w:r w:rsidRPr="00342B3D">
        <w:rPr>
          <w:lang w:val="ka-GE"/>
        </w:rPr>
        <w:t xml:space="preserve"> </w:t>
      </w:r>
      <w:r w:rsidRPr="00342B3D">
        <w:rPr>
          <w:rFonts w:ascii="Sylfaen" w:hAnsi="Sylfaen" w:cs="Sylfaen"/>
          <w:lang w:val="ka-GE"/>
        </w:rPr>
        <w:t>ზარი</w:t>
      </w:r>
      <w:r w:rsidRPr="00342B3D">
        <w:rPr>
          <w:lang w:val="ka-GE"/>
        </w:rPr>
        <w:t xml:space="preserve"> (</w:t>
      </w:r>
      <w:r w:rsidR="00560C13" w:rsidRPr="00342B3D">
        <w:rPr>
          <w:lang w:val="ka-GE"/>
        </w:rPr>
        <w:t>19</w:t>
      </w:r>
      <w:r w:rsidRPr="00342B3D">
        <w:rPr>
          <w:lang w:val="ka-GE"/>
        </w:rPr>
        <w:t xml:space="preserve">%). </w:t>
      </w:r>
    </w:p>
    <w:p w14:paraId="2749B53F" w14:textId="77777777" w:rsidR="00EF329B" w:rsidRPr="00CC1C25" w:rsidRDefault="00EF329B" w:rsidP="002C7719">
      <w:pPr>
        <w:spacing w:line="276" w:lineRule="auto"/>
        <w:jc w:val="both"/>
        <w:rPr>
          <w:lang w:val="ka-GE"/>
        </w:rPr>
      </w:pPr>
    </w:p>
    <w:p w14:paraId="3DBE6B12" w14:textId="52F05B23" w:rsidR="00517DE9" w:rsidRPr="00CC1C25" w:rsidRDefault="00517DE9" w:rsidP="002C7719">
      <w:pPr>
        <w:spacing w:line="276" w:lineRule="auto"/>
        <w:jc w:val="both"/>
        <w:rPr>
          <w:lang w:val="ka-GE"/>
        </w:rPr>
      </w:pPr>
    </w:p>
    <w:sectPr w:rsidR="00517DE9" w:rsidRPr="00CC1C25">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66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4F13C" w14:textId="77777777" w:rsidR="00FD7C43" w:rsidRDefault="00FD7C43" w:rsidP="00BA064D">
      <w:pPr>
        <w:spacing w:after="0" w:line="240" w:lineRule="auto"/>
      </w:pPr>
      <w:r>
        <w:separator/>
      </w:r>
    </w:p>
  </w:endnote>
  <w:endnote w:type="continuationSeparator" w:id="0">
    <w:p w14:paraId="346D59FC" w14:textId="77777777" w:rsidR="00FD7C43" w:rsidRDefault="00FD7C43" w:rsidP="00BA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401D5" w14:textId="77777777" w:rsidR="00FD7C43" w:rsidRDefault="00FD7C43" w:rsidP="00BA064D">
      <w:pPr>
        <w:spacing w:after="0" w:line="240" w:lineRule="auto"/>
      </w:pPr>
      <w:r>
        <w:separator/>
      </w:r>
    </w:p>
  </w:footnote>
  <w:footnote w:type="continuationSeparator" w:id="0">
    <w:p w14:paraId="69CE094A" w14:textId="77777777" w:rsidR="00FD7C43" w:rsidRDefault="00FD7C43" w:rsidP="00BA06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1">
    <w:nsid w:val="12EB7CB0"/>
    <w:multiLevelType w:val="hybridMultilevel"/>
    <w:tmpl w:val="6BAE5AD6"/>
    <w:lvl w:ilvl="0" w:tplc="3E06CDCE">
      <w:start w:val="1"/>
      <w:numFmt w:val="bullet"/>
      <w:lvlText w:val="•"/>
      <w:lvlJc w:val="left"/>
      <w:pPr>
        <w:tabs>
          <w:tab w:val="num" w:pos="720"/>
        </w:tabs>
        <w:ind w:left="720" w:hanging="360"/>
      </w:pPr>
      <w:rPr>
        <w:rFonts w:ascii="Arial" w:hAnsi="Arial" w:hint="default"/>
      </w:rPr>
    </w:lvl>
    <w:lvl w:ilvl="1" w:tplc="DA76935A" w:tentative="1">
      <w:start w:val="1"/>
      <w:numFmt w:val="bullet"/>
      <w:lvlText w:val="•"/>
      <w:lvlJc w:val="left"/>
      <w:pPr>
        <w:tabs>
          <w:tab w:val="num" w:pos="1440"/>
        </w:tabs>
        <w:ind w:left="1440" w:hanging="360"/>
      </w:pPr>
      <w:rPr>
        <w:rFonts w:ascii="Arial" w:hAnsi="Arial" w:hint="default"/>
      </w:rPr>
    </w:lvl>
    <w:lvl w:ilvl="2" w:tplc="91E6C172" w:tentative="1">
      <w:start w:val="1"/>
      <w:numFmt w:val="bullet"/>
      <w:lvlText w:val="•"/>
      <w:lvlJc w:val="left"/>
      <w:pPr>
        <w:tabs>
          <w:tab w:val="num" w:pos="2160"/>
        </w:tabs>
        <w:ind w:left="2160" w:hanging="360"/>
      </w:pPr>
      <w:rPr>
        <w:rFonts w:ascii="Arial" w:hAnsi="Arial" w:hint="default"/>
      </w:rPr>
    </w:lvl>
    <w:lvl w:ilvl="3" w:tplc="BAF255E6" w:tentative="1">
      <w:start w:val="1"/>
      <w:numFmt w:val="bullet"/>
      <w:lvlText w:val="•"/>
      <w:lvlJc w:val="left"/>
      <w:pPr>
        <w:tabs>
          <w:tab w:val="num" w:pos="2880"/>
        </w:tabs>
        <w:ind w:left="2880" w:hanging="360"/>
      </w:pPr>
      <w:rPr>
        <w:rFonts w:ascii="Arial" w:hAnsi="Arial" w:hint="default"/>
      </w:rPr>
    </w:lvl>
    <w:lvl w:ilvl="4" w:tplc="EC90040C" w:tentative="1">
      <w:start w:val="1"/>
      <w:numFmt w:val="bullet"/>
      <w:lvlText w:val="•"/>
      <w:lvlJc w:val="left"/>
      <w:pPr>
        <w:tabs>
          <w:tab w:val="num" w:pos="3600"/>
        </w:tabs>
        <w:ind w:left="3600" w:hanging="360"/>
      </w:pPr>
      <w:rPr>
        <w:rFonts w:ascii="Arial" w:hAnsi="Arial" w:hint="default"/>
      </w:rPr>
    </w:lvl>
    <w:lvl w:ilvl="5" w:tplc="8F3C6FCE" w:tentative="1">
      <w:start w:val="1"/>
      <w:numFmt w:val="bullet"/>
      <w:lvlText w:val="•"/>
      <w:lvlJc w:val="left"/>
      <w:pPr>
        <w:tabs>
          <w:tab w:val="num" w:pos="4320"/>
        </w:tabs>
        <w:ind w:left="4320" w:hanging="360"/>
      </w:pPr>
      <w:rPr>
        <w:rFonts w:ascii="Arial" w:hAnsi="Arial" w:hint="default"/>
      </w:rPr>
    </w:lvl>
    <w:lvl w:ilvl="6" w:tplc="CEDA2C3C" w:tentative="1">
      <w:start w:val="1"/>
      <w:numFmt w:val="bullet"/>
      <w:lvlText w:val="•"/>
      <w:lvlJc w:val="left"/>
      <w:pPr>
        <w:tabs>
          <w:tab w:val="num" w:pos="5040"/>
        </w:tabs>
        <w:ind w:left="5040" w:hanging="360"/>
      </w:pPr>
      <w:rPr>
        <w:rFonts w:ascii="Arial" w:hAnsi="Arial" w:hint="default"/>
      </w:rPr>
    </w:lvl>
    <w:lvl w:ilvl="7" w:tplc="48868E78" w:tentative="1">
      <w:start w:val="1"/>
      <w:numFmt w:val="bullet"/>
      <w:lvlText w:val="•"/>
      <w:lvlJc w:val="left"/>
      <w:pPr>
        <w:tabs>
          <w:tab w:val="num" w:pos="5760"/>
        </w:tabs>
        <w:ind w:left="5760" w:hanging="360"/>
      </w:pPr>
      <w:rPr>
        <w:rFonts w:ascii="Arial" w:hAnsi="Arial" w:hint="default"/>
      </w:rPr>
    </w:lvl>
    <w:lvl w:ilvl="8" w:tplc="29B8BF9C" w:tentative="1">
      <w:start w:val="1"/>
      <w:numFmt w:val="bullet"/>
      <w:lvlText w:val="•"/>
      <w:lvlJc w:val="left"/>
      <w:pPr>
        <w:tabs>
          <w:tab w:val="num" w:pos="6480"/>
        </w:tabs>
        <w:ind w:left="6480" w:hanging="360"/>
      </w:pPr>
      <w:rPr>
        <w:rFonts w:ascii="Arial" w:hAnsi="Arial" w:hint="default"/>
      </w:rPr>
    </w:lvl>
  </w:abstractNum>
  <w:abstractNum w:abstractNumId="2">
    <w:nsid w:val="1A0C6EDE"/>
    <w:multiLevelType w:val="hybridMultilevel"/>
    <w:tmpl w:val="217E41E8"/>
    <w:lvl w:ilvl="0" w:tplc="04090001">
      <w:start w:val="1"/>
      <w:numFmt w:val="bullet"/>
      <w:lvlText w:val=""/>
      <w:lvlJc w:val="left"/>
      <w:pPr>
        <w:ind w:left="1439" w:hanging="360"/>
      </w:pPr>
      <w:rPr>
        <w:rFonts w:ascii="Symbol" w:hAnsi="Symbol" w:hint="default"/>
      </w:rPr>
    </w:lvl>
    <w:lvl w:ilvl="1" w:tplc="04090001">
      <w:start w:val="1"/>
      <w:numFmt w:val="bullet"/>
      <w:lvlText w:val=""/>
      <w:lvlJc w:val="left"/>
      <w:pPr>
        <w:ind w:left="2159" w:hanging="360"/>
      </w:pPr>
      <w:rPr>
        <w:rFonts w:ascii="Symbol" w:hAnsi="Symbol"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4">
    <w:nsid w:val="26401ECB"/>
    <w:multiLevelType w:val="hybridMultilevel"/>
    <w:tmpl w:val="2CE80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42B99"/>
    <w:multiLevelType w:val="hybridMultilevel"/>
    <w:tmpl w:val="8EC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7">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nsid w:val="63527D31"/>
    <w:multiLevelType w:val="hybridMultilevel"/>
    <w:tmpl w:val="206ADBD6"/>
    <w:lvl w:ilvl="0" w:tplc="57BC3322">
      <w:start w:val="1"/>
      <w:numFmt w:val="bullet"/>
      <w:lvlText w:val="•"/>
      <w:lvlJc w:val="left"/>
      <w:pPr>
        <w:tabs>
          <w:tab w:val="num" w:pos="720"/>
        </w:tabs>
        <w:ind w:left="720" w:hanging="360"/>
      </w:pPr>
      <w:rPr>
        <w:rFonts w:ascii="Times New Roman" w:hAnsi="Times New Roman" w:hint="default"/>
      </w:rPr>
    </w:lvl>
    <w:lvl w:ilvl="1" w:tplc="26B081EE" w:tentative="1">
      <w:start w:val="1"/>
      <w:numFmt w:val="bullet"/>
      <w:lvlText w:val="•"/>
      <w:lvlJc w:val="left"/>
      <w:pPr>
        <w:tabs>
          <w:tab w:val="num" w:pos="1440"/>
        </w:tabs>
        <w:ind w:left="1440" w:hanging="360"/>
      </w:pPr>
      <w:rPr>
        <w:rFonts w:ascii="Times New Roman" w:hAnsi="Times New Roman" w:hint="default"/>
      </w:rPr>
    </w:lvl>
    <w:lvl w:ilvl="2" w:tplc="F0A80A74" w:tentative="1">
      <w:start w:val="1"/>
      <w:numFmt w:val="bullet"/>
      <w:lvlText w:val="•"/>
      <w:lvlJc w:val="left"/>
      <w:pPr>
        <w:tabs>
          <w:tab w:val="num" w:pos="2160"/>
        </w:tabs>
        <w:ind w:left="2160" w:hanging="360"/>
      </w:pPr>
      <w:rPr>
        <w:rFonts w:ascii="Times New Roman" w:hAnsi="Times New Roman" w:hint="default"/>
      </w:rPr>
    </w:lvl>
    <w:lvl w:ilvl="3" w:tplc="50D2E31C" w:tentative="1">
      <w:start w:val="1"/>
      <w:numFmt w:val="bullet"/>
      <w:lvlText w:val="•"/>
      <w:lvlJc w:val="left"/>
      <w:pPr>
        <w:tabs>
          <w:tab w:val="num" w:pos="2880"/>
        </w:tabs>
        <w:ind w:left="2880" w:hanging="360"/>
      </w:pPr>
      <w:rPr>
        <w:rFonts w:ascii="Times New Roman" w:hAnsi="Times New Roman" w:hint="default"/>
      </w:rPr>
    </w:lvl>
    <w:lvl w:ilvl="4" w:tplc="5EA44B54" w:tentative="1">
      <w:start w:val="1"/>
      <w:numFmt w:val="bullet"/>
      <w:lvlText w:val="•"/>
      <w:lvlJc w:val="left"/>
      <w:pPr>
        <w:tabs>
          <w:tab w:val="num" w:pos="3600"/>
        </w:tabs>
        <w:ind w:left="3600" w:hanging="360"/>
      </w:pPr>
      <w:rPr>
        <w:rFonts w:ascii="Times New Roman" w:hAnsi="Times New Roman" w:hint="default"/>
      </w:rPr>
    </w:lvl>
    <w:lvl w:ilvl="5" w:tplc="2A4AB702" w:tentative="1">
      <w:start w:val="1"/>
      <w:numFmt w:val="bullet"/>
      <w:lvlText w:val="•"/>
      <w:lvlJc w:val="left"/>
      <w:pPr>
        <w:tabs>
          <w:tab w:val="num" w:pos="4320"/>
        </w:tabs>
        <w:ind w:left="4320" w:hanging="360"/>
      </w:pPr>
      <w:rPr>
        <w:rFonts w:ascii="Times New Roman" w:hAnsi="Times New Roman" w:hint="default"/>
      </w:rPr>
    </w:lvl>
    <w:lvl w:ilvl="6" w:tplc="63D8DBA6" w:tentative="1">
      <w:start w:val="1"/>
      <w:numFmt w:val="bullet"/>
      <w:lvlText w:val="•"/>
      <w:lvlJc w:val="left"/>
      <w:pPr>
        <w:tabs>
          <w:tab w:val="num" w:pos="5040"/>
        </w:tabs>
        <w:ind w:left="5040" w:hanging="360"/>
      </w:pPr>
      <w:rPr>
        <w:rFonts w:ascii="Times New Roman" w:hAnsi="Times New Roman" w:hint="default"/>
      </w:rPr>
    </w:lvl>
    <w:lvl w:ilvl="7" w:tplc="10027A2A" w:tentative="1">
      <w:start w:val="1"/>
      <w:numFmt w:val="bullet"/>
      <w:lvlText w:val="•"/>
      <w:lvlJc w:val="left"/>
      <w:pPr>
        <w:tabs>
          <w:tab w:val="num" w:pos="5760"/>
        </w:tabs>
        <w:ind w:left="5760" w:hanging="360"/>
      </w:pPr>
      <w:rPr>
        <w:rFonts w:ascii="Times New Roman" w:hAnsi="Times New Roman" w:hint="default"/>
      </w:rPr>
    </w:lvl>
    <w:lvl w:ilvl="8" w:tplc="182A4710" w:tentative="1">
      <w:start w:val="1"/>
      <w:numFmt w:val="bullet"/>
      <w:lvlText w:val="•"/>
      <w:lvlJc w:val="left"/>
      <w:pPr>
        <w:tabs>
          <w:tab w:val="num" w:pos="6480"/>
        </w:tabs>
        <w:ind w:left="6480" w:hanging="360"/>
      </w:pPr>
      <w:rPr>
        <w:rFonts w:ascii="Times New Roman" w:hAnsi="Times New Roman" w:hint="default"/>
      </w:rPr>
    </w:lvl>
  </w:abstractNum>
  <w:abstractNum w:abstractNumId="9">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nsid w:val="7D3D5124"/>
    <w:multiLevelType w:val="hybridMultilevel"/>
    <w:tmpl w:val="2E447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2"/>
  </w:num>
  <w:num w:numId="4">
    <w:abstractNumId w:val="1"/>
  </w:num>
  <w:num w:numId="5">
    <w:abstractNumId w:val="8"/>
  </w:num>
  <w:num w:numId="6">
    <w:abstractNumId w:val="3"/>
  </w:num>
  <w:num w:numId="7">
    <w:abstractNumId w:val="10"/>
  </w:num>
  <w:num w:numId="8">
    <w:abstractNumId w:val="9"/>
  </w:num>
  <w:num w:numId="9">
    <w:abstractNumId w:val="6"/>
  </w:num>
  <w:num w:numId="10">
    <w:abstractNumId w:val="7"/>
  </w:num>
  <w:num w:numId="11">
    <w:abstractNumId w:val="0"/>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A1"/>
    <w:rsid w:val="000B7DBD"/>
    <w:rsid w:val="000D19A4"/>
    <w:rsid w:val="000E0C7D"/>
    <w:rsid w:val="000F2971"/>
    <w:rsid w:val="000F4FD0"/>
    <w:rsid w:val="001F30B3"/>
    <w:rsid w:val="002778EE"/>
    <w:rsid w:val="002C7719"/>
    <w:rsid w:val="002D7056"/>
    <w:rsid w:val="00317802"/>
    <w:rsid w:val="00332A59"/>
    <w:rsid w:val="00342B3D"/>
    <w:rsid w:val="004077C3"/>
    <w:rsid w:val="00417EEF"/>
    <w:rsid w:val="00421E61"/>
    <w:rsid w:val="00441F2C"/>
    <w:rsid w:val="004A4D91"/>
    <w:rsid w:val="004D70A9"/>
    <w:rsid w:val="00517DE9"/>
    <w:rsid w:val="00560C13"/>
    <w:rsid w:val="00596E18"/>
    <w:rsid w:val="005F32D1"/>
    <w:rsid w:val="006A094C"/>
    <w:rsid w:val="006E3B2C"/>
    <w:rsid w:val="0075033E"/>
    <w:rsid w:val="007A053D"/>
    <w:rsid w:val="00820F2F"/>
    <w:rsid w:val="008466E7"/>
    <w:rsid w:val="008B4E7D"/>
    <w:rsid w:val="0090099E"/>
    <w:rsid w:val="009313A1"/>
    <w:rsid w:val="00932B47"/>
    <w:rsid w:val="00B03B84"/>
    <w:rsid w:val="00B235DE"/>
    <w:rsid w:val="00B70B84"/>
    <w:rsid w:val="00B84DF4"/>
    <w:rsid w:val="00B92679"/>
    <w:rsid w:val="00BA064D"/>
    <w:rsid w:val="00BD5D3D"/>
    <w:rsid w:val="00BF0BF7"/>
    <w:rsid w:val="00BF0D21"/>
    <w:rsid w:val="00C42796"/>
    <w:rsid w:val="00C453BF"/>
    <w:rsid w:val="00C611AD"/>
    <w:rsid w:val="00CC1C25"/>
    <w:rsid w:val="00CF621C"/>
    <w:rsid w:val="00E468A9"/>
    <w:rsid w:val="00ED254F"/>
    <w:rsid w:val="00EF329B"/>
    <w:rsid w:val="00FC2A91"/>
    <w:rsid w:val="00FD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3A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A1"/>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9313A1"/>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4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3B2C"/>
    <w:pPr>
      <w:spacing w:line="256"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BA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4D"/>
  </w:style>
  <w:style w:type="paragraph" w:styleId="Footer">
    <w:name w:val="footer"/>
    <w:basedOn w:val="Normal"/>
    <w:link w:val="FooterChar"/>
    <w:uiPriority w:val="99"/>
    <w:unhideWhenUsed/>
    <w:rsid w:val="00BA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4D"/>
  </w:style>
  <w:style w:type="character" w:styleId="CommentReference">
    <w:name w:val="annotation reference"/>
    <w:basedOn w:val="DefaultParagraphFont"/>
    <w:uiPriority w:val="99"/>
    <w:semiHidden/>
    <w:unhideWhenUsed/>
    <w:rsid w:val="000F4FD0"/>
    <w:rPr>
      <w:sz w:val="16"/>
      <w:szCs w:val="16"/>
    </w:rPr>
  </w:style>
  <w:style w:type="paragraph" w:styleId="CommentText">
    <w:name w:val="annotation text"/>
    <w:basedOn w:val="Normal"/>
    <w:link w:val="CommentTextChar"/>
    <w:uiPriority w:val="99"/>
    <w:semiHidden/>
    <w:unhideWhenUsed/>
    <w:rsid w:val="000F4FD0"/>
    <w:pPr>
      <w:spacing w:line="240" w:lineRule="auto"/>
    </w:pPr>
    <w:rPr>
      <w:sz w:val="20"/>
      <w:szCs w:val="20"/>
    </w:rPr>
  </w:style>
  <w:style w:type="character" w:customStyle="1" w:styleId="CommentTextChar">
    <w:name w:val="Comment Text Char"/>
    <w:basedOn w:val="DefaultParagraphFont"/>
    <w:link w:val="CommentText"/>
    <w:uiPriority w:val="99"/>
    <w:semiHidden/>
    <w:rsid w:val="000F4FD0"/>
    <w:rPr>
      <w:sz w:val="20"/>
      <w:szCs w:val="20"/>
    </w:rPr>
  </w:style>
  <w:style w:type="paragraph" w:styleId="CommentSubject">
    <w:name w:val="annotation subject"/>
    <w:basedOn w:val="CommentText"/>
    <w:next w:val="CommentText"/>
    <w:link w:val="CommentSubjectChar"/>
    <w:uiPriority w:val="99"/>
    <w:semiHidden/>
    <w:unhideWhenUsed/>
    <w:rsid w:val="000F4FD0"/>
    <w:rPr>
      <w:b/>
      <w:bCs/>
    </w:rPr>
  </w:style>
  <w:style w:type="character" w:customStyle="1" w:styleId="CommentSubjectChar">
    <w:name w:val="Comment Subject Char"/>
    <w:basedOn w:val="CommentTextChar"/>
    <w:link w:val="CommentSubject"/>
    <w:uiPriority w:val="99"/>
    <w:semiHidden/>
    <w:rsid w:val="000F4FD0"/>
    <w:rPr>
      <w:b/>
      <w:bCs/>
      <w:sz w:val="20"/>
      <w:szCs w:val="20"/>
    </w:rPr>
  </w:style>
  <w:style w:type="paragraph" w:styleId="BalloonText">
    <w:name w:val="Balloon Text"/>
    <w:basedOn w:val="Normal"/>
    <w:link w:val="BalloonTextChar"/>
    <w:uiPriority w:val="99"/>
    <w:semiHidden/>
    <w:unhideWhenUsed/>
    <w:rsid w:val="000F4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FD0"/>
    <w:rPr>
      <w:rFonts w:ascii="Segoe UI" w:hAnsi="Segoe UI" w:cs="Segoe UI"/>
      <w:sz w:val="18"/>
      <w:szCs w:val="18"/>
    </w:rPr>
  </w:style>
  <w:style w:type="character" w:customStyle="1" w:styleId="tlid-translation">
    <w:name w:val="tlid-translation"/>
    <w:basedOn w:val="DefaultParagraphFont"/>
    <w:rsid w:val="00CF62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3A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A1"/>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9313A1"/>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4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3B2C"/>
    <w:pPr>
      <w:spacing w:line="256"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BA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4D"/>
  </w:style>
  <w:style w:type="paragraph" w:styleId="Footer">
    <w:name w:val="footer"/>
    <w:basedOn w:val="Normal"/>
    <w:link w:val="FooterChar"/>
    <w:uiPriority w:val="99"/>
    <w:unhideWhenUsed/>
    <w:rsid w:val="00BA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4D"/>
  </w:style>
  <w:style w:type="character" w:styleId="CommentReference">
    <w:name w:val="annotation reference"/>
    <w:basedOn w:val="DefaultParagraphFont"/>
    <w:uiPriority w:val="99"/>
    <w:semiHidden/>
    <w:unhideWhenUsed/>
    <w:rsid w:val="000F4FD0"/>
    <w:rPr>
      <w:sz w:val="16"/>
      <w:szCs w:val="16"/>
    </w:rPr>
  </w:style>
  <w:style w:type="paragraph" w:styleId="CommentText">
    <w:name w:val="annotation text"/>
    <w:basedOn w:val="Normal"/>
    <w:link w:val="CommentTextChar"/>
    <w:uiPriority w:val="99"/>
    <w:semiHidden/>
    <w:unhideWhenUsed/>
    <w:rsid w:val="000F4FD0"/>
    <w:pPr>
      <w:spacing w:line="240" w:lineRule="auto"/>
    </w:pPr>
    <w:rPr>
      <w:sz w:val="20"/>
      <w:szCs w:val="20"/>
    </w:rPr>
  </w:style>
  <w:style w:type="character" w:customStyle="1" w:styleId="CommentTextChar">
    <w:name w:val="Comment Text Char"/>
    <w:basedOn w:val="DefaultParagraphFont"/>
    <w:link w:val="CommentText"/>
    <w:uiPriority w:val="99"/>
    <w:semiHidden/>
    <w:rsid w:val="000F4FD0"/>
    <w:rPr>
      <w:sz w:val="20"/>
      <w:szCs w:val="20"/>
    </w:rPr>
  </w:style>
  <w:style w:type="paragraph" w:styleId="CommentSubject">
    <w:name w:val="annotation subject"/>
    <w:basedOn w:val="CommentText"/>
    <w:next w:val="CommentText"/>
    <w:link w:val="CommentSubjectChar"/>
    <w:uiPriority w:val="99"/>
    <w:semiHidden/>
    <w:unhideWhenUsed/>
    <w:rsid w:val="000F4FD0"/>
    <w:rPr>
      <w:b/>
      <w:bCs/>
    </w:rPr>
  </w:style>
  <w:style w:type="character" w:customStyle="1" w:styleId="CommentSubjectChar">
    <w:name w:val="Comment Subject Char"/>
    <w:basedOn w:val="CommentTextChar"/>
    <w:link w:val="CommentSubject"/>
    <w:uiPriority w:val="99"/>
    <w:semiHidden/>
    <w:rsid w:val="000F4FD0"/>
    <w:rPr>
      <w:b/>
      <w:bCs/>
      <w:sz w:val="20"/>
      <w:szCs w:val="20"/>
    </w:rPr>
  </w:style>
  <w:style w:type="paragraph" w:styleId="BalloonText">
    <w:name w:val="Balloon Text"/>
    <w:basedOn w:val="Normal"/>
    <w:link w:val="BalloonTextChar"/>
    <w:uiPriority w:val="99"/>
    <w:semiHidden/>
    <w:unhideWhenUsed/>
    <w:rsid w:val="000F4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FD0"/>
    <w:rPr>
      <w:rFonts w:ascii="Segoe UI" w:hAnsi="Segoe UI" w:cs="Segoe UI"/>
      <w:sz w:val="18"/>
      <w:szCs w:val="18"/>
    </w:rPr>
  </w:style>
  <w:style w:type="character" w:customStyle="1" w:styleId="tlid-translation">
    <w:name w:val="tlid-translation"/>
    <w:basedOn w:val="DefaultParagraphFont"/>
    <w:rsid w:val="00CF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53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547"/>
          <w:marRight w:val="0"/>
          <w:marTop w:val="0"/>
          <w:marBottom w:val="0"/>
          <w:divBdr>
            <w:top w:val="none" w:sz="0" w:space="0" w:color="auto"/>
            <w:left w:val="none" w:sz="0" w:space="0" w:color="auto"/>
            <w:bottom w:val="none" w:sz="0" w:space="0" w:color="auto"/>
            <w:right w:val="none" w:sz="0" w:space="0" w:color="auto"/>
          </w:divBdr>
        </w:div>
      </w:divsChild>
    </w:div>
    <w:div w:id="35350546">
      <w:bodyDiv w:val="1"/>
      <w:marLeft w:val="0"/>
      <w:marRight w:val="0"/>
      <w:marTop w:val="0"/>
      <w:marBottom w:val="0"/>
      <w:divBdr>
        <w:top w:val="none" w:sz="0" w:space="0" w:color="auto"/>
        <w:left w:val="none" w:sz="0" w:space="0" w:color="auto"/>
        <w:bottom w:val="none" w:sz="0" w:space="0" w:color="auto"/>
        <w:right w:val="none" w:sz="0" w:space="0" w:color="auto"/>
      </w:divBdr>
    </w:div>
    <w:div w:id="330450761">
      <w:bodyDiv w:val="1"/>
      <w:marLeft w:val="0"/>
      <w:marRight w:val="0"/>
      <w:marTop w:val="0"/>
      <w:marBottom w:val="0"/>
      <w:divBdr>
        <w:top w:val="none" w:sz="0" w:space="0" w:color="auto"/>
        <w:left w:val="none" w:sz="0" w:space="0" w:color="auto"/>
        <w:bottom w:val="none" w:sz="0" w:space="0" w:color="auto"/>
        <w:right w:val="none" w:sz="0" w:space="0" w:color="auto"/>
      </w:divBdr>
    </w:div>
    <w:div w:id="639192327">
      <w:bodyDiv w:val="1"/>
      <w:marLeft w:val="0"/>
      <w:marRight w:val="0"/>
      <w:marTop w:val="0"/>
      <w:marBottom w:val="0"/>
      <w:divBdr>
        <w:top w:val="none" w:sz="0" w:space="0" w:color="auto"/>
        <w:left w:val="none" w:sz="0" w:space="0" w:color="auto"/>
        <w:bottom w:val="none" w:sz="0" w:space="0" w:color="auto"/>
        <w:right w:val="none" w:sz="0" w:space="0" w:color="auto"/>
      </w:divBdr>
    </w:div>
    <w:div w:id="651830434">
      <w:bodyDiv w:val="1"/>
      <w:marLeft w:val="0"/>
      <w:marRight w:val="0"/>
      <w:marTop w:val="0"/>
      <w:marBottom w:val="0"/>
      <w:divBdr>
        <w:top w:val="none" w:sz="0" w:space="0" w:color="auto"/>
        <w:left w:val="none" w:sz="0" w:space="0" w:color="auto"/>
        <w:bottom w:val="none" w:sz="0" w:space="0" w:color="auto"/>
        <w:right w:val="none" w:sz="0" w:space="0" w:color="auto"/>
      </w:divBdr>
    </w:div>
    <w:div w:id="675546249">
      <w:bodyDiv w:val="1"/>
      <w:marLeft w:val="0"/>
      <w:marRight w:val="0"/>
      <w:marTop w:val="0"/>
      <w:marBottom w:val="0"/>
      <w:divBdr>
        <w:top w:val="none" w:sz="0" w:space="0" w:color="auto"/>
        <w:left w:val="none" w:sz="0" w:space="0" w:color="auto"/>
        <w:bottom w:val="none" w:sz="0" w:space="0" w:color="auto"/>
        <w:right w:val="none" w:sz="0" w:space="0" w:color="auto"/>
      </w:divBdr>
      <w:divsChild>
        <w:div w:id="1393309187">
          <w:marLeft w:val="360"/>
          <w:marRight w:val="0"/>
          <w:marTop w:val="200"/>
          <w:marBottom w:val="0"/>
          <w:divBdr>
            <w:top w:val="none" w:sz="0" w:space="0" w:color="auto"/>
            <w:left w:val="none" w:sz="0" w:space="0" w:color="auto"/>
            <w:bottom w:val="none" w:sz="0" w:space="0" w:color="auto"/>
            <w:right w:val="none" w:sz="0" w:space="0" w:color="auto"/>
          </w:divBdr>
        </w:div>
      </w:divsChild>
    </w:div>
    <w:div w:id="1024864773">
      <w:bodyDiv w:val="1"/>
      <w:marLeft w:val="0"/>
      <w:marRight w:val="0"/>
      <w:marTop w:val="0"/>
      <w:marBottom w:val="0"/>
      <w:divBdr>
        <w:top w:val="none" w:sz="0" w:space="0" w:color="auto"/>
        <w:left w:val="none" w:sz="0" w:space="0" w:color="auto"/>
        <w:bottom w:val="none" w:sz="0" w:space="0" w:color="auto"/>
        <w:right w:val="none" w:sz="0" w:space="0" w:color="auto"/>
      </w:divBdr>
    </w:div>
    <w:div w:id="1079867762">
      <w:bodyDiv w:val="1"/>
      <w:marLeft w:val="0"/>
      <w:marRight w:val="0"/>
      <w:marTop w:val="0"/>
      <w:marBottom w:val="0"/>
      <w:divBdr>
        <w:top w:val="none" w:sz="0" w:space="0" w:color="auto"/>
        <w:left w:val="none" w:sz="0" w:space="0" w:color="auto"/>
        <w:bottom w:val="none" w:sz="0" w:space="0" w:color="auto"/>
        <w:right w:val="none" w:sz="0" w:space="0" w:color="auto"/>
      </w:divBdr>
    </w:div>
    <w:div w:id="1158109932">
      <w:bodyDiv w:val="1"/>
      <w:marLeft w:val="0"/>
      <w:marRight w:val="0"/>
      <w:marTop w:val="0"/>
      <w:marBottom w:val="0"/>
      <w:divBdr>
        <w:top w:val="none" w:sz="0" w:space="0" w:color="auto"/>
        <w:left w:val="none" w:sz="0" w:space="0" w:color="auto"/>
        <w:bottom w:val="none" w:sz="0" w:space="0" w:color="auto"/>
        <w:right w:val="none" w:sz="0" w:space="0" w:color="auto"/>
      </w:divBdr>
    </w:div>
    <w:div w:id="1329092198">
      <w:bodyDiv w:val="1"/>
      <w:marLeft w:val="0"/>
      <w:marRight w:val="0"/>
      <w:marTop w:val="0"/>
      <w:marBottom w:val="0"/>
      <w:divBdr>
        <w:top w:val="none" w:sz="0" w:space="0" w:color="auto"/>
        <w:left w:val="none" w:sz="0" w:space="0" w:color="auto"/>
        <w:bottom w:val="none" w:sz="0" w:space="0" w:color="auto"/>
        <w:right w:val="none" w:sz="0" w:space="0" w:color="auto"/>
      </w:divBdr>
    </w:div>
    <w:div w:id="19178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goguadze.tamta@gmail.com</dc:creator>
  <cp:lastModifiedBy>Ketevan Goginashvili</cp:lastModifiedBy>
  <cp:revision>13</cp:revision>
  <dcterms:created xsi:type="dcterms:W3CDTF">2020-05-18T08:06:00Z</dcterms:created>
  <dcterms:modified xsi:type="dcterms:W3CDTF">2020-05-18T08:51:00Z</dcterms:modified>
</cp:coreProperties>
</file>