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197" w:rsidRPr="00943393" w:rsidRDefault="002E0197" w:rsidP="002E0197">
      <w:pPr>
        <w:jc w:val="center"/>
        <w:outlineLvl w:val="0"/>
        <w:rPr>
          <w:rFonts w:ascii="Sylfaen" w:hAnsi="Sylfaen"/>
          <w:b/>
          <w:color w:val="1F3864" w:themeColor="accent5" w:themeShade="80"/>
          <w:sz w:val="20"/>
          <w:szCs w:val="20"/>
          <w:lang w:val="ka-GE"/>
        </w:rPr>
      </w:pPr>
      <w:r w:rsidRPr="00943393">
        <w:rPr>
          <w:rFonts w:ascii="Sylfaen" w:hAnsi="Sylfaen"/>
          <w:b/>
          <w:color w:val="1F3864" w:themeColor="accent5" w:themeShade="8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2E0197" w:rsidRPr="00943393" w:rsidRDefault="002E0197" w:rsidP="002E0197">
      <w:pPr>
        <w:jc w:val="center"/>
        <w:outlineLvl w:val="0"/>
        <w:rPr>
          <w:rFonts w:ascii="Sylfaen" w:hAnsi="Sylfaen"/>
          <w:b/>
          <w:color w:val="1F3864" w:themeColor="accent5" w:themeShade="80"/>
          <w:sz w:val="20"/>
          <w:szCs w:val="20"/>
        </w:rPr>
      </w:pPr>
      <w:r w:rsidRPr="00943393">
        <w:rPr>
          <w:rFonts w:ascii="Sylfaen" w:hAnsi="Sylfaen"/>
          <w:b/>
          <w:color w:val="1F3864" w:themeColor="accent5" w:themeShade="80"/>
          <w:sz w:val="20"/>
          <w:szCs w:val="20"/>
        </w:rPr>
        <w:t>ასოცირების</w:t>
      </w:r>
      <w:r w:rsidRPr="00943393">
        <w:rPr>
          <w:b/>
          <w:color w:val="1F3864" w:themeColor="accent5" w:themeShade="80"/>
          <w:sz w:val="20"/>
          <w:szCs w:val="20"/>
        </w:rPr>
        <w:t xml:space="preserve"> </w:t>
      </w:r>
      <w:r w:rsidRPr="00943393">
        <w:rPr>
          <w:rFonts w:ascii="Sylfaen" w:hAnsi="Sylfaen"/>
          <w:b/>
          <w:color w:val="1F3864" w:themeColor="accent5" w:themeShade="80"/>
          <w:sz w:val="20"/>
          <w:szCs w:val="20"/>
        </w:rPr>
        <w:t>დღის</w:t>
      </w:r>
      <w:r w:rsidRPr="00943393">
        <w:rPr>
          <w:rFonts w:ascii="Sylfaen" w:hAnsi="Sylfaen"/>
          <w:b/>
          <w:color w:val="1F3864" w:themeColor="accent5" w:themeShade="80"/>
          <w:sz w:val="20"/>
          <w:szCs w:val="20"/>
          <w:lang w:val="ka-GE"/>
        </w:rPr>
        <w:t xml:space="preserve"> </w:t>
      </w:r>
      <w:r w:rsidRPr="00943393">
        <w:rPr>
          <w:rFonts w:ascii="Sylfaen" w:hAnsi="Sylfaen"/>
          <w:b/>
          <w:color w:val="1F3864" w:themeColor="accent5" w:themeShade="80"/>
          <w:sz w:val="20"/>
          <w:szCs w:val="20"/>
        </w:rPr>
        <w:t>წესრიგის</w:t>
      </w:r>
      <w:r w:rsidRPr="00943393">
        <w:rPr>
          <w:b/>
          <w:color w:val="1F3864" w:themeColor="accent5" w:themeShade="80"/>
          <w:sz w:val="20"/>
          <w:szCs w:val="20"/>
        </w:rPr>
        <w:t xml:space="preserve"> </w:t>
      </w:r>
      <w:proofErr w:type="gramStart"/>
      <w:r w:rsidRPr="00943393">
        <w:rPr>
          <w:rFonts w:ascii="Sylfaen" w:hAnsi="Sylfaen"/>
          <w:b/>
          <w:color w:val="1F3864" w:themeColor="accent5" w:themeShade="80"/>
          <w:sz w:val="20"/>
          <w:szCs w:val="20"/>
        </w:rPr>
        <w:t>შესრულების</w:t>
      </w:r>
      <w:r w:rsidRPr="00943393">
        <w:rPr>
          <w:b/>
          <w:color w:val="1F3864" w:themeColor="accent5" w:themeShade="80"/>
          <w:sz w:val="20"/>
          <w:szCs w:val="20"/>
        </w:rPr>
        <w:t xml:space="preserve">  </w:t>
      </w:r>
      <w:r w:rsidRPr="00943393">
        <w:rPr>
          <w:rFonts w:ascii="Sylfaen" w:hAnsi="Sylfaen"/>
          <w:b/>
          <w:color w:val="1F3864" w:themeColor="accent5" w:themeShade="80"/>
          <w:sz w:val="20"/>
          <w:szCs w:val="20"/>
        </w:rPr>
        <w:t>ანგარიში</w:t>
      </w:r>
      <w:proofErr w:type="gramEnd"/>
    </w:p>
    <w:p w:rsidR="002E0197" w:rsidRPr="00943393" w:rsidRDefault="002E0197" w:rsidP="002E0197">
      <w:pPr>
        <w:jc w:val="center"/>
        <w:outlineLvl w:val="0"/>
        <w:rPr>
          <w:b/>
          <w:color w:val="1F3864" w:themeColor="accent5" w:themeShade="80"/>
          <w:sz w:val="20"/>
          <w:szCs w:val="20"/>
          <w:lang w:val="ka-GE"/>
        </w:rPr>
      </w:pPr>
      <w:r w:rsidRPr="00943393">
        <w:rPr>
          <w:rFonts w:ascii="Sylfaen" w:hAnsi="Sylfaen"/>
          <w:b/>
          <w:color w:val="1F3864" w:themeColor="accent5" w:themeShade="80"/>
          <w:sz w:val="20"/>
          <w:szCs w:val="20"/>
          <w:lang w:val="ka-GE"/>
        </w:rPr>
        <w:t xml:space="preserve">2019 წ. </w:t>
      </w:r>
    </w:p>
    <w:p w:rsidR="00B5117E" w:rsidRPr="001E40D7" w:rsidRDefault="00B5117E" w:rsidP="00B5117E">
      <w:pPr>
        <w:spacing w:after="0" w:line="240" w:lineRule="auto"/>
        <w:rPr>
          <w:rFonts w:ascii="Sylfaen" w:eastAsia="Times New Roman" w:hAnsi="Sylfaen" w:cs="Sylfaen"/>
          <w:b/>
          <w:sz w:val="20"/>
          <w:szCs w:val="20"/>
        </w:rPr>
      </w:pPr>
    </w:p>
    <w:p w:rsidR="00692918" w:rsidRPr="00692918" w:rsidRDefault="00692918" w:rsidP="00B5117E">
      <w:pPr>
        <w:spacing w:after="0" w:line="240" w:lineRule="auto"/>
        <w:jc w:val="both"/>
        <w:rPr>
          <w:rFonts w:ascii="Calibri" w:eastAsia="Times New Roman" w:hAnsi="Calibri" w:cs="Calibri"/>
          <w:sz w:val="20"/>
          <w:szCs w:val="20"/>
          <w:lang w:val="ka-GE"/>
        </w:rPr>
      </w:pPr>
    </w:p>
    <w:p w:rsidR="00692918" w:rsidRPr="00692918" w:rsidRDefault="00692918" w:rsidP="00692918">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692918">
        <w:rPr>
          <w:rFonts w:ascii="Sylfaen" w:eastAsia="Times New Roman" w:hAnsi="Sylfaen" w:cs="Sylfaen"/>
          <w:b/>
          <w:color w:val="1F3864" w:themeColor="accent5" w:themeShade="80"/>
          <w:sz w:val="20"/>
          <w:szCs w:val="20"/>
        </w:rPr>
        <w:t>სამედიცინო პერსონალისა და მოსახლეობისთვის ანტიბიოტიკების მოხმარებაზე ცნობიერების ასამაღლებელი კამპანიების რეგიონებში ჩატარება</w:t>
      </w:r>
      <w:r>
        <w:rPr>
          <w:rFonts w:ascii="Sylfaen" w:eastAsia="Times New Roman" w:hAnsi="Sylfaen" w:cs="Sylfaen"/>
          <w:b/>
          <w:color w:val="1F3864" w:themeColor="accent5" w:themeShade="80"/>
          <w:sz w:val="20"/>
          <w:szCs w:val="20"/>
          <w:lang w:val="ka-GE"/>
        </w:rPr>
        <w:t xml:space="preserve"> (258)</w:t>
      </w:r>
    </w:p>
    <w:p w:rsidR="00692918" w:rsidRDefault="00692918" w:rsidP="00B5117E">
      <w:pPr>
        <w:jc w:val="both"/>
        <w:rPr>
          <w:rFonts w:ascii="Sylfaen" w:hAnsi="Sylfaen" w:cs="Sylfaen"/>
          <w:b/>
          <w:sz w:val="20"/>
          <w:szCs w:val="20"/>
        </w:rPr>
      </w:pPr>
    </w:p>
    <w:p w:rsidR="000D69DF" w:rsidRDefault="00692918" w:rsidP="00B5117E">
      <w:pPr>
        <w:jc w:val="both"/>
        <w:rPr>
          <w:sz w:val="20"/>
          <w:szCs w:val="20"/>
        </w:rPr>
      </w:pPr>
      <w:r w:rsidRPr="00692918">
        <w:rPr>
          <w:rFonts w:ascii="Sylfaen" w:hAnsi="Sylfaen" w:cs="Sylfaen"/>
          <w:sz w:val="20"/>
          <w:szCs w:val="20"/>
        </w:rPr>
        <w:t>ანტიბიოტიკების</w:t>
      </w:r>
      <w:r w:rsidRPr="00692918">
        <w:rPr>
          <w:sz w:val="20"/>
          <w:szCs w:val="20"/>
        </w:rPr>
        <w:t xml:space="preserve"> </w:t>
      </w:r>
      <w:r w:rsidRPr="00692918">
        <w:rPr>
          <w:rFonts w:ascii="Sylfaen" w:hAnsi="Sylfaen" w:cs="Sylfaen"/>
          <w:sz w:val="20"/>
          <w:szCs w:val="20"/>
        </w:rPr>
        <w:t>რაციონალური</w:t>
      </w:r>
      <w:r w:rsidRPr="00692918">
        <w:rPr>
          <w:sz w:val="20"/>
          <w:szCs w:val="20"/>
        </w:rPr>
        <w:t xml:space="preserve"> </w:t>
      </w:r>
      <w:r w:rsidRPr="00692918">
        <w:rPr>
          <w:rFonts w:ascii="Sylfaen" w:hAnsi="Sylfaen" w:cs="Sylfaen"/>
          <w:sz w:val="20"/>
          <w:szCs w:val="20"/>
        </w:rPr>
        <w:t>გამოყენებისა</w:t>
      </w:r>
      <w:r w:rsidRPr="00692918">
        <w:rPr>
          <w:sz w:val="20"/>
          <w:szCs w:val="20"/>
        </w:rPr>
        <w:t xml:space="preserve"> </w:t>
      </w:r>
      <w:r w:rsidRPr="00692918">
        <w:rPr>
          <w:rFonts w:ascii="Sylfaen" w:hAnsi="Sylfaen" w:cs="Sylfaen"/>
          <w:sz w:val="20"/>
          <w:szCs w:val="20"/>
        </w:rPr>
        <w:t>და</w:t>
      </w:r>
      <w:r w:rsidRPr="00692918">
        <w:rPr>
          <w:sz w:val="20"/>
          <w:szCs w:val="20"/>
        </w:rPr>
        <w:t xml:space="preserve"> </w:t>
      </w:r>
      <w:r w:rsidRPr="00692918">
        <w:rPr>
          <w:rFonts w:ascii="Sylfaen" w:hAnsi="Sylfaen" w:cs="Sylfaen"/>
          <w:sz w:val="20"/>
          <w:szCs w:val="20"/>
        </w:rPr>
        <w:t>ანტიმიკრობული</w:t>
      </w:r>
      <w:r w:rsidRPr="00692918">
        <w:rPr>
          <w:sz w:val="20"/>
          <w:szCs w:val="20"/>
        </w:rPr>
        <w:t xml:space="preserve"> </w:t>
      </w:r>
      <w:r w:rsidRPr="00692918">
        <w:rPr>
          <w:rFonts w:ascii="Sylfaen" w:hAnsi="Sylfaen" w:cs="Sylfaen"/>
          <w:sz w:val="20"/>
          <w:szCs w:val="20"/>
        </w:rPr>
        <w:t>რეზისტენტობის</w:t>
      </w:r>
      <w:r w:rsidRPr="00692918">
        <w:rPr>
          <w:sz w:val="20"/>
          <w:szCs w:val="20"/>
        </w:rPr>
        <w:t xml:space="preserve"> </w:t>
      </w:r>
      <w:proofErr w:type="gramStart"/>
      <w:r w:rsidRPr="00692918">
        <w:rPr>
          <w:rFonts w:ascii="Sylfaen" w:hAnsi="Sylfaen" w:cs="Sylfaen"/>
          <w:sz w:val="20"/>
          <w:szCs w:val="20"/>
        </w:rPr>
        <w:t>შესახებ</w:t>
      </w:r>
      <w:r w:rsidRPr="00692918">
        <w:rPr>
          <w:sz w:val="20"/>
          <w:szCs w:val="20"/>
        </w:rPr>
        <w:t xml:space="preserve">  </w:t>
      </w:r>
      <w:r w:rsidRPr="00692918">
        <w:rPr>
          <w:rFonts w:ascii="Sylfaen" w:hAnsi="Sylfaen" w:cs="Sylfaen"/>
          <w:sz w:val="20"/>
          <w:szCs w:val="20"/>
        </w:rPr>
        <w:t>ჩატარდა</w:t>
      </w:r>
      <w:proofErr w:type="gramEnd"/>
      <w:r w:rsidRPr="00692918">
        <w:rPr>
          <w:sz w:val="20"/>
          <w:szCs w:val="20"/>
        </w:rPr>
        <w:t xml:space="preserve"> </w:t>
      </w:r>
      <w:r w:rsidRPr="00692918">
        <w:rPr>
          <w:rFonts w:ascii="Sylfaen" w:hAnsi="Sylfaen" w:cs="Sylfaen"/>
          <w:sz w:val="20"/>
          <w:szCs w:val="20"/>
        </w:rPr>
        <w:t>ათი</w:t>
      </w:r>
      <w:r w:rsidRPr="00692918">
        <w:rPr>
          <w:sz w:val="20"/>
          <w:szCs w:val="20"/>
        </w:rPr>
        <w:t xml:space="preserve"> </w:t>
      </w:r>
      <w:r w:rsidRPr="00692918">
        <w:rPr>
          <w:rFonts w:ascii="Sylfaen" w:hAnsi="Sylfaen" w:cs="Sylfaen"/>
          <w:sz w:val="20"/>
          <w:szCs w:val="20"/>
        </w:rPr>
        <w:t>ტრეინინგი</w:t>
      </w:r>
      <w:r w:rsidRPr="00692918">
        <w:rPr>
          <w:sz w:val="20"/>
          <w:szCs w:val="20"/>
        </w:rPr>
        <w:t xml:space="preserve">, </w:t>
      </w:r>
      <w:r w:rsidRPr="00692918">
        <w:rPr>
          <w:rFonts w:ascii="Sylfaen" w:hAnsi="Sylfaen" w:cs="Sylfaen"/>
          <w:sz w:val="20"/>
          <w:szCs w:val="20"/>
        </w:rPr>
        <w:t>რომლებშიც</w:t>
      </w:r>
      <w:r w:rsidRPr="00692918">
        <w:rPr>
          <w:sz w:val="20"/>
          <w:szCs w:val="20"/>
        </w:rPr>
        <w:t xml:space="preserve"> </w:t>
      </w:r>
      <w:r w:rsidRPr="00692918">
        <w:rPr>
          <w:rFonts w:ascii="Sylfaen" w:hAnsi="Sylfaen" w:cs="Sylfaen"/>
          <w:sz w:val="20"/>
          <w:szCs w:val="20"/>
        </w:rPr>
        <w:t>მონაწილეობდა</w:t>
      </w:r>
      <w:r w:rsidRPr="00692918">
        <w:rPr>
          <w:sz w:val="20"/>
          <w:szCs w:val="20"/>
        </w:rPr>
        <w:t xml:space="preserve"> 250 </w:t>
      </w:r>
      <w:r w:rsidRPr="00692918">
        <w:rPr>
          <w:rFonts w:ascii="Sylfaen" w:hAnsi="Sylfaen" w:cs="Sylfaen"/>
          <w:sz w:val="20"/>
          <w:szCs w:val="20"/>
        </w:rPr>
        <w:t>ექიმი</w:t>
      </w:r>
      <w:r w:rsidRPr="00692918">
        <w:rPr>
          <w:sz w:val="20"/>
          <w:szCs w:val="20"/>
        </w:rPr>
        <w:t xml:space="preserve">.    </w:t>
      </w:r>
      <w:r w:rsidRPr="00692918">
        <w:rPr>
          <w:rFonts w:ascii="Sylfaen" w:hAnsi="Sylfaen" w:cs="Sylfaen"/>
          <w:sz w:val="20"/>
          <w:szCs w:val="20"/>
        </w:rPr>
        <w:t>ქართულად</w:t>
      </w:r>
      <w:r w:rsidRPr="00692918">
        <w:rPr>
          <w:sz w:val="20"/>
          <w:szCs w:val="20"/>
        </w:rPr>
        <w:t xml:space="preserve"> </w:t>
      </w:r>
      <w:r w:rsidRPr="00692918">
        <w:rPr>
          <w:rFonts w:ascii="Sylfaen" w:hAnsi="Sylfaen" w:cs="Sylfaen"/>
          <w:sz w:val="20"/>
          <w:szCs w:val="20"/>
        </w:rPr>
        <w:t>ითარგმნა</w:t>
      </w:r>
      <w:r w:rsidRPr="00692918">
        <w:rPr>
          <w:sz w:val="20"/>
          <w:szCs w:val="20"/>
        </w:rPr>
        <w:t xml:space="preserve"> </w:t>
      </w:r>
      <w:r w:rsidRPr="00692918">
        <w:rPr>
          <w:rFonts w:ascii="Sylfaen" w:hAnsi="Sylfaen" w:cs="Sylfaen"/>
          <w:sz w:val="20"/>
          <w:szCs w:val="20"/>
        </w:rPr>
        <w:t>და</w:t>
      </w:r>
      <w:r w:rsidRPr="00692918">
        <w:rPr>
          <w:sz w:val="20"/>
          <w:szCs w:val="20"/>
        </w:rPr>
        <w:t xml:space="preserve"> 3000-</w:t>
      </w:r>
      <w:r w:rsidRPr="00692918">
        <w:rPr>
          <w:rFonts w:ascii="Sylfaen" w:hAnsi="Sylfaen" w:cs="Sylfaen"/>
          <w:sz w:val="20"/>
          <w:szCs w:val="20"/>
        </w:rPr>
        <w:t>იანი</w:t>
      </w:r>
      <w:r w:rsidRPr="00692918">
        <w:rPr>
          <w:sz w:val="20"/>
          <w:szCs w:val="20"/>
        </w:rPr>
        <w:t xml:space="preserve"> </w:t>
      </w:r>
      <w:r w:rsidRPr="00692918">
        <w:rPr>
          <w:rFonts w:ascii="Sylfaen" w:hAnsi="Sylfaen" w:cs="Sylfaen"/>
          <w:sz w:val="20"/>
          <w:szCs w:val="20"/>
        </w:rPr>
        <w:t>ტირაჟით</w:t>
      </w:r>
      <w:r w:rsidRPr="00692918">
        <w:rPr>
          <w:sz w:val="20"/>
          <w:szCs w:val="20"/>
        </w:rPr>
        <w:t xml:space="preserve"> </w:t>
      </w:r>
      <w:r w:rsidRPr="00692918">
        <w:rPr>
          <w:rFonts w:ascii="Sylfaen" w:hAnsi="Sylfaen" w:cs="Sylfaen"/>
          <w:sz w:val="20"/>
          <w:szCs w:val="20"/>
        </w:rPr>
        <w:t>დაიბეჭდა</w:t>
      </w:r>
      <w:r w:rsidRPr="00692918">
        <w:rPr>
          <w:sz w:val="20"/>
          <w:szCs w:val="20"/>
        </w:rPr>
        <w:t xml:space="preserve"> </w:t>
      </w:r>
      <w:r w:rsidRPr="00692918">
        <w:rPr>
          <w:rFonts w:ascii="Sylfaen" w:hAnsi="Sylfaen" w:cs="Sylfaen"/>
          <w:sz w:val="20"/>
          <w:szCs w:val="20"/>
        </w:rPr>
        <w:t>სენფორდის</w:t>
      </w:r>
      <w:r w:rsidRPr="00692918">
        <w:rPr>
          <w:sz w:val="20"/>
          <w:szCs w:val="20"/>
        </w:rPr>
        <w:t xml:space="preserve"> </w:t>
      </w:r>
      <w:r w:rsidRPr="00692918">
        <w:rPr>
          <w:rFonts w:ascii="Sylfaen" w:hAnsi="Sylfaen" w:cs="Sylfaen"/>
          <w:sz w:val="20"/>
          <w:szCs w:val="20"/>
        </w:rPr>
        <w:t>ანტიმიკრობული</w:t>
      </w:r>
      <w:r w:rsidRPr="00692918">
        <w:rPr>
          <w:sz w:val="20"/>
          <w:szCs w:val="20"/>
        </w:rPr>
        <w:t xml:space="preserve"> </w:t>
      </w:r>
      <w:r w:rsidRPr="00692918">
        <w:rPr>
          <w:rFonts w:ascii="Sylfaen" w:hAnsi="Sylfaen" w:cs="Sylfaen"/>
          <w:sz w:val="20"/>
          <w:szCs w:val="20"/>
        </w:rPr>
        <w:t>თერაპიის</w:t>
      </w:r>
      <w:r w:rsidRPr="00692918">
        <w:rPr>
          <w:sz w:val="20"/>
          <w:szCs w:val="20"/>
        </w:rPr>
        <w:t xml:space="preserve"> </w:t>
      </w:r>
      <w:r w:rsidRPr="00692918">
        <w:rPr>
          <w:rFonts w:ascii="Sylfaen" w:hAnsi="Sylfaen" w:cs="Sylfaen"/>
          <w:sz w:val="20"/>
          <w:szCs w:val="20"/>
        </w:rPr>
        <w:t>გაიდლაინი</w:t>
      </w:r>
      <w:r w:rsidRPr="00692918">
        <w:rPr>
          <w:sz w:val="20"/>
          <w:szCs w:val="20"/>
        </w:rPr>
        <w:t xml:space="preserve"> (2018 </w:t>
      </w:r>
      <w:r w:rsidRPr="00692918">
        <w:rPr>
          <w:rFonts w:ascii="Sylfaen" w:hAnsi="Sylfaen" w:cs="Sylfaen"/>
          <w:sz w:val="20"/>
          <w:szCs w:val="20"/>
        </w:rPr>
        <w:t>წლის</w:t>
      </w:r>
      <w:r w:rsidRPr="00692918">
        <w:rPr>
          <w:sz w:val="20"/>
          <w:szCs w:val="20"/>
        </w:rPr>
        <w:t xml:space="preserve"> </w:t>
      </w:r>
      <w:r w:rsidRPr="00692918">
        <w:rPr>
          <w:rFonts w:ascii="Sylfaen" w:hAnsi="Sylfaen" w:cs="Sylfaen"/>
          <w:sz w:val="20"/>
          <w:szCs w:val="20"/>
        </w:rPr>
        <w:t>გამოცემა</w:t>
      </w:r>
      <w:r w:rsidRPr="00692918">
        <w:rPr>
          <w:sz w:val="20"/>
          <w:szCs w:val="20"/>
        </w:rPr>
        <w:t xml:space="preserve">). </w:t>
      </w:r>
      <w:r w:rsidRPr="00692918">
        <w:rPr>
          <w:rFonts w:ascii="Sylfaen" w:hAnsi="Sylfaen" w:cs="Sylfaen"/>
          <w:sz w:val="20"/>
          <w:szCs w:val="20"/>
        </w:rPr>
        <w:t>აღნიშნული</w:t>
      </w:r>
      <w:r w:rsidRPr="00692918">
        <w:rPr>
          <w:sz w:val="20"/>
          <w:szCs w:val="20"/>
        </w:rPr>
        <w:t xml:space="preserve"> </w:t>
      </w:r>
      <w:r w:rsidRPr="00692918">
        <w:rPr>
          <w:rFonts w:ascii="Sylfaen" w:hAnsi="Sylfaen" w:cs="Sylfaen"/>
          <w:sz w:val="20"/>
          <w:szCs w:val="20"/>
        </w:rPr>
        <w:t>გაიდლაინები</w:t>
      </w:r>
      <w:r w:rsidRPr="00692918">
        <w:rPr>
          <w:sz w:val="20"/>
          <w:szCs w:val="20"/>
        </w:rPr>
        <w:t xml:space="preserve"> </w:t>
      </w:r>
      <w:r w:rsidRPr="00692918">
        <w:rPr>
          <w:rFonts w:ascii="Sylfaen" w:hAnsi="Sylfaen" w:cs="Sylfaen"/>
          <w:sz w:val="20"/>
          <w:szCs w:val="20"/>
        </w:rPr>
        <w:t>უფასოდ</w:t>
      </w:r>
      <w:r w:rsidRPr="00692918">
        <w:rPr>
          <w:sz w:val="20"/>
          <w:szCs w:val="20"/>
        </w:rPr>
        <w:t xml:space="preserve"> </w:t>
      </w:r>
      <w:r w:rsidRPr="00692918">
        <w:rPr>
          <w:rFonts w:ascii="Sylfaen" w:hAnsi="Sylfaen" w:cs="Sylfaen"/>
          <w:sz w:val="20"/>
          <w:szCs w:val="20"/>
        </w:rPr>
        <w:t>გადაეცათ</w:t>
      </w:r>
      <w:r w:rsidRPr="00692918">
        <w:rPr>
          <w:sz w:val="20"/>
          <w:szCs w:val="20"/>
        </w:rPr>
        <w:t xml:space="preserve"> </w:t>
      </w:r>
      <w:r w:rsidRPr="00692918">
        <w:rPr>
          <w:rFonts w:ascii="Sylfaen" w:hAnsi="Sylfaen" w:cs="Sylfaen"/>
          <w:sz w:val="20"/>
          <w:szCs w:val="20"/>
        </w:rPr>
        <w:t>ექიმებს</w:t>
      </w:r>
      <w:r w:rsidRPr="00692918">
        <w:rPr>
          <w:sz w:val="20"/>
          <w:szCs w:val="20"/>
        </w:rPr>
        <w:t xml:space="preserve">.  </w:t>
      </w:r>
      <w:r w:rsidRPr="00692918">
        <w:rPr>
          <w:rFonts w:ascii="Sylfaen" w:hAnsi="Sylfaen" w:cs="Sylfaen"/>
          <w:sz w:val="20"/>
          <w:szCs w:val="20"/>
        </w:rPr>
        <w:t>მოსახლეობისთვის</w:t>
      </w:r>
      <w:r w:rsidRPr="00692918">
        <w:rPr>
          <w:sz w:val="20"/>
          <w:szCs w:val="20"/>
        </w:rPr>
        <w:t xml:space="preserve"> </w:t>
      </w:r>
      <w:r w:rsidRPr="00692918">
        <w:rPr>
          <w:rFonts w:ascii="Sylfaen" w:hAnsi="Sylfaen" w:cs="Sylfaen"/>
          <w:sz w:val="20"/>
          <w:szCs w:val="20"/>
        </w:rPr>
        <w:t>ანტიბიოტიკების</w:t>
      </w:r>
      <w:r w:rsidRPr="00692918">
        <w:rPr>
          <w:sz w:val="20"/>
          <w:szCs w:val="20"/>
        </w:rPr>
        <w:t xml:space="preserve"> </w:t>
      </w:r>
      <w:r w:rsidRPr="00692918">
        <w:rPr>
          <w:rFonts w:ascii="Sylfaen" w:hAnsi="Sylfaen" w:cs="Sylfaen"/>
          <w:sz w:val="20"/>
          <w:szCs w:val="20"/>
        </w:rPr>
        <w:t>მოხმარებაზე</w:t>
      </w:r>
      <w:r w:rsidRPr="00692918">
        <w:rPr>
          <w:sz w:val="20"/>
          <w:szCs w:val="20"/>
        </w:rPr>
        <w:t xml:space="preserve"> </w:t>
      </w:r>
      <w:r w:rsidRPr="00692918">
        <w:rPr>
          <w:rFonts w:ascii="Sylfaen" w:hAnsi="Sylfaen" w:cs="Sylfaen"/>
          <w:sz w:val="20"/>
          <w:szCs w:val="20"/>
        </w:rPr>
        <w:t>ცნობიერების</w:t>
      </w:r>
      <w:r w:rsidRPr="00692918">
        <w:rPr>
          <w:sz w:val="20"/>
          <w:szCs w:val="20"/>
        </w:rPr>
        <w:t xml:space="preserve"> </w:t>
      </w:r>
      <w:proofErr w:type="gramStart"/>
      <w:r w:rsidRPr="00692918">
        <w:rPr>
          <w:rFonts w:ascii="Sylfaen" w:hAnsi="Sylfaen" w:cs="Sylfaen"/>
          <w:sz w:val="20"/>
          <w:szCs w:val="20"/>
        </w:rPr>
        <w:t>ასამაღლებლად</w:t>
      </w:r>
      <w:r w:rsidRPr="00692918">
        <w:rPr>
          <w:sz w:val="20"/>
          <w:szCs w:val="20"/>
        </w:rPr>
        <w:t xml:space="preserve">  </w:t>
      </w:r>
      <w:r w:rsidRPr="00692918">
        <w:rPr>
          <w:rFonts w:ascii="Sylfaen" w:hAnsi="Sylfaen" w:cs="Sylfaen"/>
          <w:sz w:val="20"/>
          <w:szCs w:val="20"/>
        </w:rPr>
        <w:t>მასმედიაში</w:t>
      </w:r>
      <w:proofErr w:type="gramEnd"/>
      <w:r w:rsidRPr="00692918">
        <w:rPr>
          <w:sz w:val="20"/>
          <w:szCs w:val="20"/>
        </w:rPr>
        <w:t xml:space="preserve"> </w:t>
      </w:r>
      <w:r w:rsidRPr="00692918">
        <w:rPr>
          <w:rFonts w:ascii="Sylfaen" w:hAnsi="Sylfaen" w:cs="Sylfaen"/>
          <w:sz w:val="20"/>
          <w:szCs w:val="20"/>
        </w:rPr>
        <w:t>მომზადდა</w:t>
      </w:r>
      <w:r w:rsidRPr="00692918">
        <w:rPr>
          <w:sz w:val="20"/>
          <w:szCs w:val="20"/>
        </w:rPr>
        <w:t xml:space="preserve"> </w:t>
      </w:r>
      <w:r w:rsidRPr="00692918">
        <w:rPr>
          <w:rFonts w:ascii="Sylfaen" w:hAnsi="Sylfaen" w:cs="Sylfaen"/>
          <w:sz w:val="20"/>
          <w:szCs w:val="20"/>
        </w:rPr>
        <w:t>გადაცემები</w:t>
      </w:r>
      <w:r w:rsidRPr="00692918">
        <w:rPr>
          <w:sz w:val="20"/>
          <w:szCs w:val="20"/>
        </w:rPr>
        <w:t xml:space="preserve">.   </w:t>
      </w:r>
      <w:r w:rsidRPr="00692918">
        <w:rPr>
          <w:rFonts w:ascii="Sylfaen" w:hAnsi="Sylfaen" w:cs="Sylfaen"/>
          <w:sz w:val="20"/>
          <w:szCs w:val="20"/>
        </w:rPr>
        <w:t>სენფორდის</w:t>
      </w:r>
      <w:r w:rsidRPr="00692918">
        <w:rPr>
          <w:sz w:val="20"/>
          <w:szCs w:val="20"/>
        </w:rPr>
        <w:t xml:space="preserve"> </w:t>
      </w:r>
      <w:r w:rsidRPr="00692918">
        <w:rPr>
          <w:rFonts w:ascii="Sylfaen" w:hAnsi="Sylfaen" w:cs="Sylfaen"/>
          <w:sz w:val="20"/>
          <w:szCs w:val="20"/>
        </w:rPr>
        <w:t>გაიდლაინის</w:t>
      </w:r>
      <w:r w:rsidRPr="00692918">
        <w:rPr>
          <w:sz w:val="20"/>
          <w:szCs w:val="20"/>
        </w:rPr>
        <w:t xml:space="preserve"> </w:t>
      </w:r>
      <w:r w:rsidRPr="00692918">
        <w:rPr>
          <w:rFonts w:ascii="Sylfaen" w:hAnsi="Sylfaen" w:cs="Sylfaen"/>
          <w:sz w:val="20"/>
          <w:szCs w:val="20"/>
        </w:rPr>
        <w:t>ელექტრონული</w:t>
      </w:r>
      <w:r w:rsidRPr="00692918">
        <w:rPr>
          <w:sz w:val="20"/>
          <w:szCs w:val="20"/>
        </w:rPr>
        <w:t xml:space="preserve"> </w:t>
      </w:r>
      <w:r w:rsidRPr="00692918">
        <w:rPr>
          <w:rFonts w:ascii="Sylfaen" w:hAnsi="Sylfaen" w:cs="Sylfaen"/>
          <w:sz w:val="20"/>
          <w:szCs w:val="20"/>
        </w:rPr>
        <w:t>ვერსია</w:t>
      </w:r>
      <w:r w:rsidRPr="00692918">
        <w:rPr>
          <w:sz w:val="20"/>
          <w:szCs w:val="20"/>
        </w:rPr>
        <w:t xml:space="preserve"> </w:t>
      </w:r>
      <w:r w:rsidRPr="00692918">
        <w:rPr>
          <w:rFonts w:ascii="Sylfaen" w:hAnsi="Sylfaen" w:cs="Sylfaen"/>
          <w:sz w:val="20"/>
          <w:szCs w:val="20"/>
        </w:rPr>
        <w:t>თავისუფალი</w:t>
      </w:r>
      <w:r w:rsidRPr="00692918">
        <w:rPr>
          <w:sz w:val="20"/>
          <w:szCs w:val="20"/>
        </w:rPr>
        <w:t xml:space="preserve"> </w:t>
      </w:r>
      <w:r w:rsidRPr="00692918">
        <w:rPr>
          <w:rFonts w:ascii="Sylfaen" w:hAnsi="Sylfaen" w:cs="Sylfaen"/>
          <w:sz w:val="20"/>
          <w:szCs w:val="20"/>
        </w:rPr>
        <w:t>წვდომით</w:t>
      </w:r>
      <w:r w:rsidRPr="00692918">
        <w:rPr>
          <w:sz w:val="20"/>
          <w:szCs w:val="20"/>
        </w:rPr>
        <w:t xml:space="preserve"> </w:t>
      </w:r>
      <w:r w:rsidRPr="00692918">
        <w:rPr>
          <w:rFonts w:ascii="Sylfaen" w:hAnsi="Sylfaen" w:cs="Sylfaen"/>
          <w:sz w:val="20"/>
          <w:szCs w:val="20"/>
        </w:rPr>
        <w:t>კითხვა</w:t>
      </w:r>
      <w:r w:rsidRPr="00692918">
        <w:rPr>
          <w:sz w:val="20"/>
          <w:szCs w:val="20"/>
        </w:rPr>
        <w:t>-</w:t>
      </w:r>
      <w:r w:rsidRPr="00692918">
        <w:rPr>
          <w:rFonts w:ascii="Sylfaen" w:hAnsi="Sylfaen" w:cs="Sylfaen"/>
          <w:sz w:val="20"/>
          <w:szCs w:val="20"/>
        </w:rPr>
        <w:t>ბეჭვდის</w:t>
      </w:r>
      <w:r w:rsidRPr="00692918">
        <w:rPr>
          <w:sz w:val="20"/>
          <w:szCs w:val="20"/>
        </w:rPr>
        <w:t xml:space="preserve"> </w:t>
      </w:r>
      <w:r w:rsidRPr="00692918">
        <w:rPr>
          <w:rFonts w:ascii="Sylfaen" w:hAnsi="Sylfaen" w:cs="Sylfaen"/>
          <w:sz w:val="20"/>
          <w:szCs w:val="20"/>
        </w:rPr>
        <w:t>შესაძლებლობით</w:t>
      </w:r>
      <w:r w:rsidRPr="00692918">
        <w:rPr>
          <w:sz w:val="20"/>
          <w:szCs w:val="20"/>
        </w:rPr>
        <w:t xml:space="preserve"> </w:t>
      </w:r>
      <w:r w:rsidRPr="00692918">
        <w:rPr>
          <w:rFonts w:ascii="Sylfaen" w:hAnsi="Sylfaen" w:cs="Sylfaen"/>
          <w:sz w:val="20"/>
          <w:szCs w:val="20"/>
        </w:rPr>
        <w:t>განთავსებულია</w:t>
      </w:r>
      <w:r w:rsidRPr="00692918">
        <w:rPr>
          <w:sz w:val="20"/>
          <w:szCs w:val="20"/>
        </w:rPr>
        <w:t xml:space="preserve"> www.ncdc.ge </w:t>
      </w:r>
      <w:r w:rsidRPr="00692918">
        <w:rPr>
          <w:rFonts w:ascii="Sylfaen" w:hAnsi="Sylfaen" w:cs="Sylfaen"/>
          <w:sz w:val="20"/>
          <w:szCs w:val="20"/>
        </w:rPr>
        <w:t>ვებგვერდზე</w:t>
      </w:r>
      <w:r w:rsidRPr="00692918">
        <w:rPr>
          <w:sz w:val="20"/>
          <w:szCs w:val="20"/>
        </w:rPr>
        <w:t xml:space="preserve"> </w:t>
      </w:r>
      <w:r w:rsidRPr="00692918">
        <w:rPr>
          <w:rFonts w:ascii="Sylfaen" w:hAnsi="Sylfaen" w:cs="Sylfaen"/>
          <w:sz w:val="20"/>
          <w:szCs w:val="20"/>
        </w:rPr>
        <w:t>და</w:t>
      </w:r>
      <w:r w:rsidRPr="00692918">
        <w:rPr>
          <w:sz w:val="20"/>
          <w:szCs w:val="20"/>
        </w:rPr>
        <w:t xml:space="preserve"> </w:t>
      </w:r>
      <w:r w:rsidRPr="00692918">
        <w:rPr>
          <w:rFonts w:ascii="Sylfaen" w:hAnsi="Sylfaen" w:cs="Sylfaen"/>
          <w:sz w:val="20"/>
          <w:szCs w:val="20"/>
        </w:rPr>
        <w:t>ყველა</w:t>
      </w:r>
      <w:r w:rsidRPr="00692918">
        <w:rPr>
          <w:sz w:val="20"/>
          <w:szCs w:val="20"/>
        </w:rPr>
        <w:t xml:space="preserve"> </w:t>
      </w:r>
      <w:r w:rsidRPr="00692918">
        <w:rPr>
          <w:rFonts w:ascii="Sylfaen" w:hAnsi="Sylfaen" w:cs="Sylfaen"/>
          <w:sz w:val="20"/>
          <w:szCs w:val="20"/>
        </w:rPr>
        <w:t>დაინტერესებულს</w:t>
      </w:r>
      <w:r w:rsidRPr="00692918">
        <w:rPr>
          <w:sz w:val="20"/>
          <w:szCs w:val="20"/>
        </w:rPr>
        <w:t xml:space="preserve"> </w:t>
      </w:r>
      <w:r w:rsidRPr="00692918">
        <w:rPr>
          <w:rFonts w:ascii="Sylfaen" w:hAnsi="Sylfaen" w:cs="Sylfaen"/>
          <w:sz w:val="20"/>
          <w:szCs w:val="20"/>
        </w:rPr>
        <w:t>აქვს</w:t>
      </w:r>
      <w:r w:rsidRPr="00692918">
        <w:rPr>
          <w:sz w:val="20"/>
          <w:szCs w:val="20"/>
        </w:rPr>
        <w:t xml:space="preserve"> </w:t>
      </w:r>
      <w:r w:rsidRPr="00692918">
        <w:rPr>
          <w:rFonts w:ascii="Sylfaen" w:hAnsi="Sylfaen" w:cs="Sylfaen"/>
          <w:sz w:val="20"/>
          <w:szCs w:val="20"/>
        </w:rPr>
        <w:t>მისით</w:t>
      </w:r>
      <w:r w:rsidRPr="00692918">
        <w:rPr>
          <w:sz w:val="20"/>
          <w:szCs w:val="20"/>
        </w:rPr>
        <w:t xml:space="preserve"> </w:t>
      </w:r>
      <w:r w:rsidRPr="00692918">
        <w:rPr>
          <w:rFonts w:ascii="Sylfaen" w:hAnsi="Sylfaen" w:cs="Sylfaen"/>
          <w:sz w:val="20"/>
          <w:szCs w:val="20"/>
        </w:rPr>
        <w:t>სარგებლობის</w:t>
      </w:r>
      <w:r w:rsidRPr="00692918">
        <w:rPr>
          <w:sz w:val="20"/>
          <w:szCs w:val="20"/>
        </w:rPr>
        <w:t xml:space="preserve"> </w:t>
      </w:r>
      <w:r w:rsidRPr="00692918">
        <w:rPr>
          <w:rFonts w:ascii="Sylfaen" w:hAnsi="Sylfaen" w:cs="Sylfaen"/>
          <w:sz w:val="20"/>
          <w:szCs w:val="20"/>
        </w:rPr>
        <w:t>შესაძლებლობა</w:t>
      </w:r>
      <w:r w:rsidRPr="00692918">
        <w:rPr>
          <w:sz w:val="20"/>
          <w:szCs w:val="20"/>
        </w:rPr>
        <w:t xml:space="preserve">.  </w:t>
      </w:r>
    </w:p>
    <w:p w:rsidR="00B5117E" w:rsidRDefault="00692918" w:rsidP="00B5117E">
      <w:pPr>
        <w:jc w:val="both"/>
        <w:rPr>
          <w:sz w:val="20"/>
          <w:szCs w:val="20"/>
        </w:rPr>
      </w:pPr>
      <w:r w:rsidRPr="00692918">
        <w:rPr>
          <w:rFonts w:ascii="Sylfaen" w:hAnsi="Sylfaen" w:cs="Sylfaen"/>
          <w:sz w:val="20"/>
          <w:szCs w:val="20"/>
        </w:rPr>
        <w:t>შემუშავდა</w:t>
      </w:r>
      <w:r w:rsidRPr="00692918">
        <w:rPr>
          <w:sz w:val="20"/>
          <w:szCs w:val="20"/>
        </w:rPr>
        <w:t xml:space="preserve"> </w:t>
      </w:r>
      <w:r w:rsidRPr="00692918">
        <w:rPr>
          <w:rFonts w:ascii="Sylfaen" w:hAnsi="Sylfaen" w:cs="Sylfaen"/>
          <w:sz w:val="20"/>
          <w:szCs w:val="20"/>
        </w:rPr>
        <w:t>ინფექციების</w:t>
      </w:r>
      <w:r w:rsidRPr="00692918">
        <w:rPr>
          <w:sz w:val="20"/>
          <w:szCs w:val="20"/>
        </w:rPr>
        <w:t xml:space="preserve"> </w:t>
      </w:r>
      <w:r w:rsidRPr="00692918">
        <w:rPr>
          <w:rFonts w:ascii="Sylfaen" w:hAnsi="Sylfaen" w:cs="Sylfaen"/>
          <w:sz w:val="20"/>
          <w:szCs w:val="20"/>
        </w:rPr>
        <w:t>პრევენციისა</w:t>
      </w:r>
      <w:r w:rsidRPr="00692918">
        <w:rPr>
          <w:sz w:val="20"/>
          <w:szCs w:val="20"/>
        </w:rPr>
        <w:t xml:space="preserve"> </w:t>
      </w:r>
      <w:r w:rsidRPr="00692918">
        <w:rPr>
          <w:rFonts w:ascii="Sylfaen" w:hAnsi="Sylfaen" w:cs="Sylfaen"/>
          <w:sz w:val="20"/>
          <w:szCs w:val="20"/>
        </w:rPr>
        <w:t>და</w:t>
      </w:r>
      <w:r w:rsidRPr="00692918">
        <w:rPr>
          <w:sz w:val="20"/>
          <w:szCs w:val="20"/>
        </w:rPr>
        <w:t xml:space="preserve"> </w:t>
      </w:r>
      <w:r w:rsidRPr="00692918">
        <w:rPr>
          <w:rFonts w:ascii="Sylfaen" w:hAnsi="Sylfaen" w:cs="Sylfaen"/>
          <w:sz w:val="20"/>
          <w:szCs w:val="20"/>
        </w:rPr>
        <w:t>კონტროლის</w:t>
      </w:r>
      <w:r w:rsidRPr="00692918">
        <w:rPr>
          <w:sz w:val="20"/>
          <w:szCs w:val="20"/>
        </w:rPr>
        <w:t xml:space="preserve"> </w:t>
      </w:r>
      <w:r w:rsidRPr="00692918">
        <w:rPr>
          <w:rFonts w:ascii="Sylfaen" w:hAnsi="Sylfaen" w:cs="Sylfaen"/>
          <w:sz w:val="20"/>
          <w:szCs w:val="20"/>
        </w:rPr>
        <w:t>ახალი</w:t>
      </w:r>
      <w:r w:rsidRPr="00692918">
        <w:rPr>
          <w:sz w:val="20"/>
          <w:szCs w:val="20"/>
        </w:rPr>
        <w:t xml:space="preserve"> </w:t>
      </w:r>
      <w:r w:rsidRPr="00692918">
        <w:rPr>
          <w:rFonts w:ascii="Sylfaen" w:hAnsi="Sylfaen" w:cs="Sylfaen"/>
          <w:sz w:val="20"/>
          <w:szCs w:val="20"/>
        </w:rPr>
        <w:t>ეროვნული</w:t>
      </w:r>
      <w:r w:rsidRPr="00692918">
        <w:rPr>
          <w:sz w:val="20"/>
          <w:szCs w:val="20"/>
        </w:rPr>
        <w:t xml:space="preserve"> </w:t>
      </w:r>
      <w:r w:rsidRPr="00692918">
        <w:rPr>
          <w:rFonts w:ascii="Sylfaen" w:hAnsi="Sylfaen" w:cs="Sylfaen"/>
          <w:sz w:val="20"/>
          <w:szCs w:val="20"/>
        </w:rPr>
        <w:t>გაიდლაინი</w:t>
      </w:r>
      <w:r w:rsidRPr="00692918">
        <w:rPr>
          <w:sz w:val="20"/>
          <w:szCs w:val="20"/>
        </w:rPr>
        <w:t xml:space="preserve">. </w:t>
      </w:r>
      <w:r w:rsidRPr="00692918">
        <w:rPr>
          <w:rFonts w:ascii="Sylfaen" w:hAnsi="Sylfaen" w:cs="Sylfaen"/>
          <w:sz w:val="20"/>
          <w:szCs w:val="20"/>
        </w:rPr>
        <w:t>ინფექციების</w:t>
      </w:r>
      <w:r w:rsidRPr="00692918">
        <w:rPr>
          <w:sz w:val="20"/>
          <w:szCs w:val="20"/>
        </w:rPr>
        <w:t xml:space="preserve"> </w:t>
      </w:r>
      <w:r w:rsidRPr="00692918">
        <w:rPr>
          <w:rFonts w:ascii="Sylfaen" w:hAnsi="Sylfaen" w:cs="Sylfaen"/>
          <w:sz w:val="20"/>
          <w:szCs w:val="20"/>
        </w:rPr>
        <w:t>პრევენციისა</w:t>
      </w:r>
      <w:r w:rsidRPr="00692918">
        <w:rPr>
          <w:sz w:val="20"/>
          <w:szCs w:val="20"/>
        </w:rPr>
        <w:t xml:space="preserve"> </w:t>
      </w:r>
      <w:r w:rsidRPr="00692918">
        <w:rPr>
          <w:rFonts w:ascii="Sylfaen" w:hAnsi="Sylfaen" w:cs="Sylfaen"/>
          <w:sz w:val="20"/>
          <w:szCs w:val="20"/>
        </w:rPr>
        <w:t>და</w:t>
      </w:r>
      <w:r w:rsidRPr="00692918">
        <w:rPr>
          <w:sz w:val="20"/>
          <w:szCs w:val="20"/>
        </w:rPr>
        <w:t xml:space="preserve"> </w:t>
      </w:r>
      <w:r w:rsidRPr="00692918">
        <w:rPr>
          <w:rFonts w:ascii="Sylfaen" w:hAnsi="Sylfaen" w:cs="Sylfaen"/>
          <w:sz w:val="20"/>
          <w:szCs w:val="20"/>
        </w:rPr>
        <w:t>კონტროლის</w:t>
      </w:r>
      <w:r w:rsidRPr="00692918">
        <w:rPr>
          <w:sz w:val="20"/>
          <w:szCs w:val="20"/>
        </w:rPr>
        <w:t xml:space="preserve"> </w:t>
      </w:r>
      <w:r w:rsidRPr="00692918">
        <w:rPr>
          <w:rFonts w:ascii="Sylfaen" w:hAnsi="Sylfaen" w:cs="Sylfaen"/>
          <w:sz w:val="20"/>
          <w:szCs w:val="20"/>
        </w:rPr>
        <w:t>საკითხებზე</w:t>
      </w:r>
      <w:r w:rsidRPr="00692918">
        <w:rPr>
          <w:sz w:val="20"/>
          <w:szCs w:val="20"/>
        </w:rPr>
        <w:t xml:space="preserve"> </w:t>
      </w:r>
      <w:r w:rsidRPr="00692918">
        <w:rPr>
          <w:rFonts w:ascii="Sylfaen" w:hAnsi="Sylfaen" w:cs="Sylfaen"/>
          <w:sz w:val="20"/>
          <w:szCs w:val="20"/>
        </w:rPr>
        <w:t>სამედიცინო</w:t>
      </w:r>
      <w:r w:rsidRPr="00692918">
        <w:rPr>
          <w:sz w:val="20"/>
          <w:szCs w:val="20"/>
        </w:rPr>
        <w:t xml:space="preserve"> </w:t>
      </w:r>
      <w:r w:rsidRPr="00692918">
        <w:rPr>
          <w:rFonts w:ascii="Sylfaen" w:hAnsi="Sylfaen" w:cs="Sylfaen"/>
          <w:sz w:val="20"/>
          <w:szCs w:val="20"/>
        </w:rPr>
        <w:t>პერსონალის</w:t>
      </w:r>
      <w:r w:rsidRPr="00692918">
        <w:rPr>
          <w:sz w:val="20"/>
          <w:szCs w:val="20"/>
        </w:rPr>
        <w:t xml:space="preserve"> </w:t>
      </w:r>
      <w:r w:rsidRPr="00692918">
        <w:rPr>
          <w:rFonts w:ascii="Sylfaen" w:hAnsi="Sylfaen" w:cs="Sylfaen"/>
          <w:sz w:val="20"/>
          <w:szCs w:val="20"/>
        </w:rPr>
        <w:t>ცოდნის</w:t>
      </w:r>
      <w:r w:rsidRPr="00692918">
        <w:rPr>
          <w:sz w:val="20"/>
          <w:szCs w:val="20"/>
        </w:rPr>
        <w:t xml:space="preserve"> </w:t>
      </w:r>
      <w:r w:rsidRPr="00692918">
        <w:rPr>
          <w:rFonts w:ascii="Sylfaen" w:hAnsi="Sylfaen" w:cs="Sylfaen"/>
          <w:sz w:val="20"/>
          <w:szCs w:val="20"/>
        </w:rPr>
        <w:t>დონის</w:t>
      </w:r>
      <w:r w:rsidRPr="00692918">
        <w:rPr>
          <w:sz w:val="20"/>
          <w:szCs w:val="20"/>
        </w:rPr>
        <w:t xml:space="preserve"> </w:t>
      </w:r>
      <w:r w:rsidRPr="00692918">
        <w:rPr>
          <w:rFonts w:ascii="Sylfaen" w:hAnsi="Sylfaen" w:cs="Sylfaen"/>
          <w:sz w:val="20"/>
          <w:szCs w:val="20"/>
        </w:rPr>
        <w:t>ამაღლების</w:t>
      </w:r>
      <w:r w:rsidRPr="00692918">
        <w:rPr>
          <w:sz w:val="20"/>
          <w:szCs w:val="20"/>
        </w:rPr>
        <w:t xml:space="preserve"> </w:t>
      </w:r>
      <w:r w:rsidRPr="00692918">
        <w:rPr>
          <w:rFonts w:ascii="Sylfaen" w:hAnsi="Sylfaen" w:cs="Sylfaen"/>
          <w:sz w:val="20"/>
          <w:szCs w:val="20"/>
        </w:rPr>
        <w:t>მიზნით</w:t>
      </w:r>
      <w:r w:rsidRPr="00692918">
        <w:rPr>
          <w:sz w:val="20"/>
          <w:szCs w:val="20"/>
        </w:rPr>
        <w:t xml:space="preserve"> </w:t>
      </w:r>
      <w:r w:rsidRPr="00692918">
        <w:rPr>
          <w:rFonts w:ascii="Sylfaen" w:hAnsi="Sylfaen" w:cs="Sylfaen"/>
          <w:sz w:val="20"/>
          <w:szCs w:val="20"/>
        </w:rPr>
        <w:t>ტრეინინგები</w:t>
      </w:r>
      <w:r w:rsidRPr="00692918">
        <w:rPr>
          <w:sz w:val="20"/>
          <w:szCs w:val="20"/>
        </w:rPr>
        <w:t xml:space="preserve"> </w:t>
      </w:r>
      <w:r w:rsidRPr="00692918">
        <w:rPr>
          <w:rFonts w:ascii="Sylfaen" w:hAnsi="Sylfaen" w:cs="Sylfaen"/>
          <w:sz w:val="20"/>
          <w:szCs w:val="20"/>
        </w:rPr>
        <w:t>ჩაუტარდა</w:t>
      </w:r>
      <w:r w:rsidRPr="00692918">
        <w:rPr>
          <w:sz w:val="20"/>
          <w:szCs w:val="20"/>
        </w:rPr>
        <w:t xml:space="preserve"> 500-</w:t>
      </w:r>
      <w:r w:rsidRPr="00692918">
        <w:rPr>
          <w:rFonts w:ascii="Sylfaen" w:hAnsi="Sylfaen" w:cs="Sylfaen"/>
          <w:sz w:val="20"/>
          <w:szCs w:val="20"/>
        </w:rPr>
        <w:t>ზე</w:t>
      </w:r>
      <w:r w:rsidRPr="00692918">
        <w:rPr>
          <w:sz w:val="20"/>
          <w:szCs w:val="20"/>
        </w:rPr>
        <w:t xml:space="preserve"> </w:t>
      </w:r>
      <w:r w:rsidRPr="00692918">
        <w:rPr>
          <w:rFonts w:ascii="Sylfaen" w:hAnsi="Sylfaen" w:cs="Sylfaen"/>
          <w:sz w:val="20"/>
          <w:szCs w:val="20"/>
        </w:rPr>
        <w:t>მეტ</w:t>
      </w:r>
      <w:r w:rsidRPr="00692918">
        <w:rPr>
          <w:sz w:val="20"/>
          <w:szCs w:val="20"/>
        </w:rPr>
        <w:t xml:space="preserve"> </w:t>
      </w:r>
      <w:r w:rsidRPr="00692918">
        <w:rPr>
          <w:rFonts w:ascii="Sylfaen" w:hAnsi="Sylfaen" w:cs="Sylfaen"/>
          <w:sz w:val="20"/>
          <w:szCs w:val="20"/>
        </w:rPr>
        <w:t>ეპიდემიოლოგს</w:t>
      </w:r>
      <w:r w:rsidRPr="00692918">
        <w:rPr>
          <w:sz w:val="20"/>
          <w:szCs w:val="20"/>
        </w:rPr>
        <w:t xml:space="preserve">, </w:t>
      </w:r>
      <w:r w:rsidRPr="00692918">
        <w:rPr>
          <w:rFonts w:ascii="Sylfaen" w:hAnsi="Sylfaen" w:cs="Sylfaen"/>
          <w:sz w:val="20"/>
          <w:szCs w:val="20"/>
        </w:rPr>
        <w:t>კლინიცისტს</w:t>
      </w:r>
      <w:r w:rsidRPr="00692918">
        <w:rPr>
          <w:sz w:val="20"/>
          <w:szCs w:val="20"/>
        </w:rPr>
        <w:t xml:space="preserve">, </w:t>
      </w:r>
      <w:r w:rsidRPr="00692918">
        <w:rPr>
          <w:rFonts w:ascii="Sylfaen" w:hAnsi="Sylfaen" w:cs="Sylfaen"/>
          <w:sz w:val="20"/>
          <w:szCs w:val="20"/>
        </w:rPr>
        <w:t>სტომატოლოგსა</w:t>
      </w:r>
      <w:r w:rsidRPr="00692918">
        <w:rPr>
          <w:sz w:val="20"/>
          <w:szCs w:val="20"/>
        </w:rPr>
        <w:t xml:space="preserve"> </w:t>
      </w:r>
      <w:r w:rsidRPr="00692918">
        <w:rPr>
          <w:rFonts w:ascii="Sylfaen" w:hAnsi="Sylfaen" w:cs="Sylfaen"/>
          <w:sz w:val="20"/>
          <w:szCs w:val="20"/>
        </w:rPr>
        <w:t>და</w:t>
      </w:r>
      <w:r w:rsidRPr="00692918">
        <w:rPr>
          <w:sz w:val="20"/>
          <w:szCs w:val="20"/>
        </w:rPr>
        <w:t xml:space="preserve"> </w:t>
      </w:r>
      <w:r w:rsidRPr="00692918">
        <w:rPr>
          <w:rFonts w:ascii="Sylfaen" w:hAnsi="Sylfaen" w:cs="Sylfaen"/>
          <w:sz w:val="20"/>
          <w:szCs w:val="20"/>
        </w:rPr>
        <w:t>ექთანს</w:t>
      </w:r>
      <w:r w:rsidRPr="00692918">
        <w:rPr>
          <w:sz w:val="20"/>
          <w:szCs w:val="20"/>
        </w:rPr>
        <w:t xml:space="preserve">. </w:t>
      </w:r>
      <w:r w:rsidRPr="00692918">
        <w:rPr>
          <w:rFonts w:ascii="Sylfaen" w:hAnsi="Sylfaen" w:cs="Sylfaen"/>
          <w:sz w:val="20"/>
          <w:szCs w:val="20"/>
        </w:rPr>
        <w:t>ანტიმიკრობული</w:t>
      </w:r>
      <w:r w:rsidRPr="00692918">
        <w:rPr>
          <w:sz w:val="20"/>
          <w:szCs w:val="20"/>
        </w:rPr>
        <w:t xml:space="preserve"> </w:t>
      </w:r>
      <w:r w:rsidRPr="00692918">
        <w:rPr>
          <w:rFonts w:ascii="Sylfaen" w:hAnsi="Sylfaen" w:cs="Sylfaen"/>
          <w:sz w:val="20"/>
          <w:szCs w:val="20"/>
        </w:rPr>
        <w:t>რეზისტენტობის</w:t>
      </w:r>
      <w:r w:rsidRPr="00692918">
        <w:rPr>
          <w:sz w:val="20"/>
          <w:szCs w:val="20"/>
        </w:rPr>
        <w:t xml:space="preserve"> </w:t>
      </w:r>
      <w:r w:rsidRPr="00692918">
        <w:rPr>
          <w:rFonts w:ascii="Sylfaen" w:hAnsi="Sylfaen" w:cs="Sylfaen"/>
          <w:sz w:val="20"/>
          <w:szCs w:val="20"/>
        </w:rPr>
        <w:t>საკითხებზე</w:t>
      </w:r>
      <w:r w:rsidRPr="00692918">
        <w:rPr>
          <w:sz w:val="20"/>
          <w:szCs w:val="20"/>
        </w:rPr>
        <w:t xml:space="preserve"> </w:t>
      </w:r>
      <w:r w:rsidRPr="00692918">
        <w:rPr>
          <w:rFonts w:ascii="Sylfaen" w:hAnsi="Sylfaen" w:cs="Sylfaen"/>
          <w:sz w:val="20"/>
          <w:szCs w:val="20"/>
        </w:rPr>
        <w:t>ტარდება</w:t>
      </w:r>
      <w:r w:rsidRPr="00692918">
        <w:rPr>
          <w:sz w:val="20"/>
          <w:szCs w:val="20"/>
        </w:rPr>
        <w:t xml:space="preserve"> </w:t>
      </w:r>
      <w:r w:rsidRPr="00692918">
        <w:rPr>
          <w:rFonts w:ascii="Sylfaen" w:hAnsi="Sylfaen" w:cs="Sylfaen"/>
          <w:sz w:val="20"/>
          <w:szCs w:val="20"/>
        </w:rPr>
        <w:t>სამედიცინო</w:t>
      </w:r>
      <w:r w:rsidRPr="00692918">
        <w:rPr>
          <w:sz w:val="20"/>
          <w:szCs w:val="20"/>
        </w:rPr>
        <w:t xml:space="preserve"> </w:t>
      </w:r>
      <w:r w:rsidRPr="00692918">
        <w:rPr>
          <w:rFonts w:ascii="Sylfaen" w:hAnsi="Sylfaen" w:cs="Sylfaen"/>
          <w:sz w:val="20"/>
          <w:szCs w:val="20"/>
        </w:rPr>
        <w:t>პერსონალისა</w:t>
      </w:r>
      <w:r w:rsidRPr="00692918">
        <w:rPr>
          <w:sz w:val="20"/>
          <w:szCs w:val="20"/>
        </w:rPr>
        <w:t xml:space="preserve"> </w:t>
      </w:r>
      <w:r w:rsidRPr="00692918">
        <w:rPr>
          <w:rFonts w:ascii="Sylfaen" w:hAnsi="Sylfaen" w:cs="Sylfaen"/>
          <w:sz w:val="20"/>
          <w:szCs w:val="20"/>
        </w:rPr>
        <w:t>და</w:t>
      </w:r>
      <w:r w:rsidRPr="00692918">
        <w:rPr>
          <w:sz w:val="20"/>
          <w:szCs w:val="20"/>
        </w:rPr>
        <w:t xml:space="preserve"> </w:t>
      </w:r>
      <w:r w:rsidRPr="00692918">
        <w:rPr>
          <w:rFonts w:ascii="Sylfaen" w:hAnsi="Sylfaen" w:cs="Sylfaen"/>
          <w:sz w:val="20"/>
          <w:szCs w:val="20"/>
        </w:rPr>
        <w:t>ვეტერინარების</w:t>
      </w:r>
      <w:r w:rsidRPr="00692918">
        <w:rPr>
          <w:sz w:val="20"/>
          <w:szCs w:val="20"/>
        </w:rPr>
        <w:t xml:space="preserve"> </w:t>
      </w:r>
      <w:r w:rsidRPr="00692918">
        <w:rPr>
          <w:rFonts w:ascii="Sylfaen" w:hAnsi="Sylfaen" w:cs="Sylfaen"/>
          <w:sz w:val="20"/>
          <w:szCs w:val="20"/>
        </w:rPr>
        <w:t>ერთობლივი</w:t>
      </w:r>
      <w:r w:rsidRPr="00692918">
        <w:rPr>
          <w:sz w:val="20"/>
          <w:szCs w:val="20"/>
        </w:rPr>
        <w:t xml:space="preserve"> </w:t>
      </w:r>
      <w:r w:rsidRPr="00692918">
        <w:rPr>
          <w:rFonts w:ascii="Sylfaen" w:hAnsi="Sylfaen" w:cs="Sylfaen"/>
          <w:sz w:val="20"/>
          <w:szCs w:val="20"/>
        </w:rPr>
        <w:t>შეხვედრები</w:t>
      </w:r>
      <w:r w:rsidRPr="00692918">
        <w:rPr>
          <w:sz w:val="20"/>
          <w:szCs w:val="20"/>
        </w:rPr>
        <w:t xml:space="preserve">.  </w:t>
      </w:r>
    </w:p>
    <w:p w:rsidR="000D69DF" w:rsidRDefault="000D69DF" w:rsidP="00B5117E">
      <w:pPr>
        <w:jc w:val="both"/>
        <w:rPr>
          <w:sz w:val="20"/>
          <w:szCs w:val="20"/>
        </w:rPr>
      </w:pPr>
    </w:p>
    <w:p w:rsidR="000D69DF" w:rsidRPr="00DB3909" w:rsidRDefault="000D69DF" w:rsidP="000D69DF">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DB3909">
        <w:rPr>
          <w:rFonts w:ascii="Sylfaen" w:eastAsia="Times New Roman" w:hAnsi="Sylfaen" w:cs="Sylfaen"/>
          <w:b/>
          <w:color w:val="1F3864" w:themeColor="accent5" w:themeShade="80"/>
          <w:sz w:val="20"/>
          <w:szCs w:val="20"/>
        </w:rPr>
        <w:t>ანტიმიკრობული რეზისტენტობის ეროვნული პროფილის შექმნა (262.1)</w:t>
      </w:r>
    </w:p>
    <w:p w:rsidR="000D69DF" w:rsidRDefault="000D69DF" w:rsidP="000D69DF">
      <w:pPr>
        <w:jc w:val="both"/>
        <w:rPr>
          <w:rFonts w:ascii="Sylfaen" w:hAnsi="Sylfaen" w:cs="Sylfaen"/>
          <w:sz w:val="20"/>
          <w:szCs w:val="20"/>
          <w:lang w:val="ka-GE"/>
        </w:rPr>
      </w:pPr>
      <w:r w:rsidRPr="00DB3909">
        <w:rPr>
          <w:rFonts w:ascii="Sylfaen" w:hAnsi="Sylfaen" w:cs="Sylfaen"/>
          <w:sz w:val="20"/>
          <w:szCs w:val="20"/>
          <w:lang w:val="ka-GE"/>
        </w:rPr>
        <w:t>CAESAR-ის ქსელში ჩართულია  ქვეყნის წამყვანი ოცდასამი მიკრობიოლოგიური ლაბორატორია, რომლებიც ქვეყნის მასშტაბით დაახლოებით 200 საავადმყოფოს ემსახურებიან და ანხორციელებენ ინფექციების გამომწვევი პათოგენების იდენტიფიცირებას და რეზისტენტობის განსაზღვრას.  მიმდინარეობს ანტიმიკრობული რეზისტენტობის მონაცემთა შეგროვება, დამუშავება და CAESAR ქსელში ინფორმაციის გაზიარება. მიკრობიოლოგებს ჩაუტარდათ მენტორინგი EUCAST-ის სტანდარტით რეზისტენტობის განსაზღვრის შესახებ და ასევე ხარისხის შიდა და გარე კონტროლის პროგრამის შესახებ.</w:t>
      </w:r>
    </w:p>
    <w:p w:rsidR="000D69DF" w:rsidRDefault="000D69DF" w:rsidP="000D69DF">
      <w:pPr>
        <w:jc w:val="both"/>
        <w:rPr>
          <w:rFonts w:ascii="Sylfaen" w:hAnsi="Sylfaen" w:cs="Sylfaen"/>
          <w:sz w:val="20"/>
          <w:szCs w:val="20"/>
          <w:lang w:val="ka-GE"/>
        </w:rPr>
      </w:pPr>
    </w:p>
    <w:p w:rsidR="000D69DF" w:rsidRPr="000D69DF" w:rsidRDefault="000D69DF" w:rsidP="004A2F1C">
      <w:pPr>
        <w:pStyle w:val="ListParagraph"/>
        <w:numPr>
          <w:ilvl w:val="0"/>
          <w:numId w:val="2"/>
        </w:numPr>
        <w:spacing w:after="0" w:line="240" w:lineRule="auto"/>
        <w:jc w:val="both"/>
        <w:rPr>
          <w:rFonts w:ascii="Sylfaen" w:hAnsi="Sylfaen" w:cs="Sylfaen"/>
          <w:sz w:val="20"/>
          <w:szCs w:val="20"/>
          <w:lang w:val="ka-GE"/>
        </w:rPr>
      </w:pPr>
      <w:r w:rsidRPr="000D69DF">
        <w:rPr>
          <w:rFonts w:ascii="Sylfaen" w:eastAsia="Times New Roman" w:hAnsi="Sylfaen" w:cs="Sylfaen"/>
          <w:b/>
          <w:color w:val="1F3864" w:themeColor="accent5" w:themeShade="80"/>
          <w:sz w:val="20"/>
          <w:szCs w:val="20"/>
        </w:rPr>
        <w:t>სტაციონარულ სამედიცინო დაწესებულებებში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კვლევის დანერგვა და ჩატარება</w:t>
      </w:r>
      <w:r w:rsidRPr="000D69DF">
        <w:rPr>
          <w:rFonts w:ascii="Sylfaen" w:eastAsia="Times New Roman" w:hAnsi="Sylfaen" w:cs="Sylfaen"/>
          <w:b/>
          <w:color w:val="1F3864" w:themeColor="accent5" w:themeShade="80"/>
          <w:sz w:val="20"/>
          <w:szCs w:val="20"/>
          <w:lang w:val="ka-GE"/>
        </w:rPr>
        <w:t xml:space="preserve"> (262.2)</w:t>
      </w:r>
      <w:r w:rsidRPr="000D69DF">
        <w:rPr>
          <w:rFonts w:ascii="Sylfaen" w:eastAsia="Times New Roman" w:hAnsi="Sylfaen" w:cs="Sylfaen"/>
          <w:b/>
          <w:color w:val="1F3864" w:themeColor="accent5" w:themeShade="80"/>
          <w:sz w:val="20"/>
          <w:szCs w:val="20"/>
        </w:rPr>
        <w:t>.</w:t>
      </w:r>
    </w:p>
    <w:p w:rsidR="000D69DF" w:rsidRPr="00DB3909" w:rsidRDefault="000D69DF" w:rsidP="000D69DF">
      <w:pPr>
        <w:jc w:val="both"/>
        <w:rPr>
          <w:rFonts w:ascii="Sylfaen" w:hAnsi="Sylfaen" w:cs="Sylfaen"/>
          <w:sz w:val="20"/>
          <w:szCs w:val="20"/>
          <w:lang w:val="ka-GE"/>
        </w:rPr>
      </w:pPr>
      <w:r w:rsidRPr="00DB3909">
        <w:rPr>
          <w:rFonts w:ascii="Sylfaen" w:hAnsi="Sylfaen" w:cs="Sylfaen"/>
          <w:sz w:val="20"/>
          <w:szCs w:val="20"/>
          <w:lang w:val="ka-GE"/>
        </w:rPr>
        <w:t xml:space="preserve">ქვეყნის მასშტაბით ოცდახუთ სტაციონარული სამედიცინო დაწესებულების სამედიცინო პერსონალს ჩაუტარდა ტრეინინგები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კვლევის დიზაინისა და მონაცემთა ანალიზის შესახებ.                                   </w:t>
      </w:r>
      <w:r w:rsidRPr="00DB3909">
        <w:rPr>
          <w:rFonts w:ascii="Sylfaen" w:hAnsi="Sylfaen" w:cs="Sylfaen"/>
          <w:sz w:val="20"/>
          <w:szCs w:val="20"/>
          <w:lang w:val="ka-GE"/>
        </w:rPr>
        <w:cr/>
      </w:r>
    </w:p>
    <w:p w:rsidR="000D69DF" w:rsidRDefault="000D69DF" w:rsidP="000D69DF">
      <w:pPr>
        <w:jc w:val="both"/>
        <w:rPr>
          <w:rFonts w:ascii="Sylfaen" w:hAnsi="Sylfaen" w:cs="Sylfaen"/>
          <w:sz w:val="20"/>
          <w:szCs w:val="20"/>
          <w:lang w:val="ka-GE"/>
        </w:rPr>
      </w:pPr>
      <w:r w:rsidRPr="00DB3909">
        <w:rPr>
          <w:rFonts w:ascii="Sylfaen" w:hAnsi="Sylfaen" w:cs="Sylfaen"/>
          <w:sz w:val="20"/>
          <w:szCs w:val="20"/>
          <w:lang w:val="ka-GE"/>
        </w:rPr>
        <w:lastRenderedPageBreak/>
        <w:t>თოთხმეტ მულტიპროფილურ, რეფერალურ სტაციონარულ სამედიცინო დაწესებულებაში ჩატარდა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პილოტური კვლევა.</w:t>
      </w:r>
    </w:p>
    <w:p w:rsidR="00692918" w:rsidRDefault="00692918" w:rsidP="00B5117E">
      <w:pPr>
        <w:jc w:val="both"/>
        <w:rPr>
          <w:b/>
          <w:sz w:val="20"/>
          <w:szCs w:val="20"/>
        </w:rPr>
      </w:pPr>
    </w:p>
    <w:p w:rsidR="00692918" w:rsidRPr="00692918" w:rsidRDefault="00692918" w:rsidP="00692918">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692918">
        <w:rPr>
          <w:rFonts w:ascii="Sylfaen" w:eastAsia="Times New Roman" w:hAnsi="Sylfaen" w:cs="Sylfaen"/>
          <w:b/>
          <w:color w:val="1F3864" w:themeColor="accent5" w:themeShade="80"/>
          <w:sz w:val="20"/>
          <w:szCs w:val="20"/>
        </w:rPr>
        <w:t>ქართველი რეზიდენტების ჩართვა ხმელთაშუა ზღვის ქვეყნების ეპიდემიოლოგიის სასწავლო პროგრამაში (MediPIET)</w:t>
      </w:r>
      <w:r>
        <w:rPr>
          <w:rFonts w:ascii="Sylfaen" w:eastAsia="Times New Roman" w:hAnsi="Sylfaen" w:cs="Sylfaen"/>
          <w:b/>
          <w:color w:val="1F3864" w:themeColor="accent5" w:themeShade="80"/>
          <w:sz w:val="20"/>
          <w:szCs w:val="20"/>
          <w:lang w:val="ka-GE"/>
        </w:rPr>
        <w:t xml:space="preserve"> (259)</w:t>
      </w:r>
    </w:p>
    <w:p w:rsidR="00692918" w:rsidRDefault="00692918" w:rsidP="00692918">
      <w:pPr>
        <w:spacing w:after="0" w:line="240" w:lineRule="auto"/>
        <w:jc w:val="both"/>
        <w:rPr>
          <w:rFonts w:ascii="Sylfaen" w:eastAsia="Times New Roman" w:hAnsi="Sylfaen" w:cs="Sylfaen"/>
          <w:b/>
          <w:color w:val="1F3864" w:themeColor="accent5" w:themeShade="80"/>
          <w:sz w:val="20"/>
          <w:szCs w:val="20"/>
        </w:rPr>
      </w:pPr>
    </w:p>
    <w:p w:rsidR="00692918" w:rsidRDefault="00692918" w:rsidP="00692918">
      <w:pPr>
        <w:jc w:val="both"/>
        <w:rPr>
          <w:rFonts w:ascii="Sylfaen" w:hAnsi="Sylfaen" w:cs="Sylfaen"/>
          <w:sz w:val="20"/>
          <w:szCs w:val="20"/>
          <w:lang w:val="ka-GE"/>
        </w:rPr>
      </w:pPr>
      <w:r w:rsidRPr="00692918">
        <w:rPr>
          <w:rFonts w:ascii="Sylfaen" w:hAnsi="Sylfaen" w:cs="Sylfaen"/>
          <w:sz w:val="20"/>
          <w:szCs w:val="20"/>
        </w:rPr>
        <w:t>ქართველი რეზიდენტების ჩართვა ხმელთაშუა ზღვის ქვეყნების ეპიდემიოლოგიის სასწავლო პროგრამაში (MediPIET)</w:t>
      </w:r>
      <w:r>
        <w:rPr>
          <w:rFonts w:ascii="Sylfaen" w:hAnsi="Sylfaen" w:cs="Sylfaen"/>
          <w:sz w:val="20"/>
          <w:szCs w:val="20"/>
          <w:lang w:val="ka-GE"/>
        </w:rPr>
        <w:t>.</w:t>
      </w:r>
    </w:p>
    <w:p w:rsidR="00692918" w:rsidRDefault="00692918" w:rsidP="00692918">
      <w:pPr>
        <w:jc w:val="both"/>
        <w:rPr>
          <w:rFonts w:ascii="Sylfaen" w:hAnsi="Sylfaen" w:cs="Sylfaen"/>
          <w:sz w:val="20"/>
          <w:szCs w:val="20"/>
          <w:lang w:val="ka-GE"/>
        </w:rPr>
      </w:pPr>
    </w:p>
    <w:p w:rsidR="00692918" w:rsidRPr="00692918" w:rsidRDefault="00692918" w:rsidP="00692918">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692918">
        <w:rPr>
          <w:rFonts w:ascii="Sylfaen" w:eastAsia="Times New Roman" w:hAnsi="Sylfaen" w:cs="Sylfaen"/>
          <w:b/>
          <w:color w:val="1F3864" w:themeColor="accent5" w:themeShade="80"/>
          <w:sz w:val="20"/>
          <w:szCs w:val="20"/>
        </w:rPr>
        <w:t>აივ ინფექცია/შიდსისა და ტუბერკულოზის მართვის ეროვნული სტრატეგიების შემუშავება  - 2019-2022 წლებისთვის (260)</w:t>
      </w:r>
    </w:p>
    <w:p w:rsidR="00692918" w:rsidRDefault="00692918" w:rsidP="00692918">
      <w:pPr>
        <w:jc w:val="both"/>
        <w:rPr>
          <w:rFonts w:ascii="Sylfaen" w:hAnsi="Sylfaen" w:cs="Sylfaen"/>
          <w:sz w:val="20"/>
          <w:szCs w:val="20"/>
          <w:lang w:val="ka-GE"/>
        </w:rPr>
      </w:pPr>
      <w:r>
        <w:rPr>
          <w:rFonts w:ascii="Sylfaen" w:hAnsi="Sylfaen" w:cs="Sylfaen"/>
          <w:sz w:val="20"/>
          <w:szCs w:val="20"/>
          <w:lang w:val="ka-GE"/>
        </w:rPr>
        <w:t>ა</w:t>
      </w:r>
      <w:r w:rsidRPr="00692918">
        <w:rPr>
          <w:rFonts w:ascii="Sylfaen" w:hAnsi="Sylfaen" w:cs="Sylfaen"/>
          <w:sz w:val="20"/>
          <w:szCs w:val="20"/>
          <w:lang w:val="ka-GE"/>
        </w:rPr>
        <w:t>ივ ინფექცია/შიდსისა და ტუბერკულოზის მართვის განახლებული ეროვნული სტრატეგიები შემუშავდა და დამტკიცებულ იქნა  აივ ინფექცია შიდსთან, ტუბერკულოზთან და მალარიასთან ბრძოლის  ქვეყნის საკოორდინაციო საბჭოს (CCM) მიერ 2018 წელს</w:t>
      </w:r>
      <w:r>
        <w:rPr>
          <w:rFonts w:ascii="Sylfaen" w:hAnsi="Sylfaen" w:cs="Sylfaen"/>
          <w:sz w:val="20"/>
          <w:szCs w:val="20"/>
          <w:lang w:val="ka-GE"/>
        </w:rPr>
        <w:t xml:space="preserve">. </w:t>
      </w:r>
    </w:p>
    <w:p w:rsidR="00724455" w:rsidRDefault="00724455" w:rsidP="00692918">
      <w:pPr>
        <w:jc w:val="both"/>
        <w:rPr>
          <w:rFonts w:ascii="Sylfaen" w:hAnsi="Sylfaen" w:cs="Sylfaen"/>
          <w:sz w:val="20"/>
          <w:szCs w:val="20"/>
          <w:lang w:val="ka-GE"/>
        </w:rPr>
      </w:pPr>
    </w:p>
    <w:p w:rsidR="000D69DF" w:rsidRPr="000D69DF" w:rsidRDefault="000D69DF" w:rsidP="000D69DF">
      <w:pPr>
        <w:pStyle w:val="ListParagraph"/>
        <w:numPr>
          <w:ilvl w:val="0"/>
          <w:numId w:val="2"/>
        </w:numPr>
        <w:spacing w:after="0" w:line="240" w:lineRule="auto"/>
        <w:jc w:val="both"/>
        <w:rPr>
          <w:rFonts w:ascii="Sylfaen" w:hAnsi="Sylfaen" w:cs="Sylfaen"/>
          <w:sz w:val="20"/>
          <w:szCs w:val="20"/>
          <w:lang w:val="ka-GE"/>
        </w:rPr>
      </w:pPr>
      <w:r w:rsidRPr="00DB3909">
        <w:rPr>
          <w:rFonts w:ascii="Sylfaen" w:eastAsia="Times New Roman" w:hAnsi="Sylfaen" w:cs="Sylfaen"/>
          <w:b/>
          <w:color w:val="1F3864" w:themeColor="accent5" w:themeShade="80"/>
          <w:sz w:val="20"/>
          <w:szCs w:val="20"/>
        </w:rPr>
        <w:t>საქართველოში C ჰეპატიტის ელიმინაციის 2016-2020 წლების ეროვნული სტრატეგიის მიხედვით, C ჰეპატიტის სკრინინგის გაფართოება ძირითად სამიზნე პოპულაციაზე აქცენტირებით</w:t>
      </w:r>
      <w:r>
        <w:rPr>
          <w:rFonts w:ascii="Sylfaen" w:eastAsia="Times New Roman" w:hAnsi="Sylfaen" w:cs="Sylfaen"/>
          <w:b/>
          <w:color w:val="1F3864" w:themeColor="accent5" w:themeShade="80"/>
          <w:sz w:val="20"/>
          <w:szCs w:val="20"/>
          <w:lang w:val="ka-GE"/>
        </w:rPr>
        <w:t xml:space="preserve"> (262.3)</w:t>
      </w:r>
    </w:p>
    <w:p w:rsidR="000D69DF" w:rsidRDefault="000D69DF" w:rsidP="000D69DF">
      <w:pPr>
        <w:pStyle w:val="ListParagraph"/>
        <w:spacing w:after="0" w:line="240" w:lineRule="auto"/>
        <w:jc w:val="both"/>
        <w:rPr>
          <w:rFonts w:ascii="Sylfaen" w:hAnsi="Sylfaen" w:cs="Sylfaen"/>
          <w:sz w:val="20"/>
          <w:szCs w:val="20"/>
          <w:lang w:val="ka-GE"/>
        </w:rPr>
      </w:pPr>
    </w:p>
    <w:p w:rsidR="000D69DF" w:rsidRDefault="000D69DF" w:rsidP="000D69DF">
      <w:pPr>
        <w:jc w:val="both"/>
        <w:rPr>
          <w:rFonts w:ascii="Sylfaen" w:hAnsi="Sylfaen" w:cs="Sylfaen"/>
          <w:sz w:val="20"/>
          <w:szCs w:val="20"/>
          <w:lang w:val="ka-GE"/>
        </w:rPr>
      </w:pPr>
      <w:r w:rsidRPr="00DB3909">
        <w:rPr>
          <w:rFonts w:ascii="Sylfaen" w:hAnsi="Sylfaen" w:cs="Sylfaen"/>
          <w:sz w:val="20"/>
          <w:szCs w:val="20"/>
          <w:lang w:val="ka-GE"/>
        </w:rPr>
        <w:t>C ჰეპატიტის სკრინინგის ელექტრონულ ბაზაში, C ჰეპატიტზე 2019 წელს სულ ჩატარებულია  1.187.302 ტსეტირება 578,833 უნიკალურ ბენეფიციარზე, მათგან საეჭვო დადებითი აღმოჩნდა 21,256  უნიკალური პირი</w:t>
      </w:r>
      <w:r>
        <w:rPr>
          <w:rFonts w:ascii="Sylfaen" w:hAnsi="Sylfaen" w:cs="Sylfaen"/>
          <w:sz w:val="20"/>
          <w:szCs w:val="20"/>
          <w:lang w:val="ka-GE"/>
        </w:rPr>
        <w:t xml:space="preserve"> (3,67%). ა</w:t>
      </w:r>
      <w:r w:rsidRPr="00DB3909">
        <w:rPr>
          <w:rFonts w:ascii="Sylfaen" w:hAnsi="Sylfaen" w:cs="Sylfaen"/>
          <w:sz w:val="20"/>
          <w:szCs w:val="20"/>
          <w:lang w:val="ka-GE"/>
        </w:rPr>
        <w:t>მავე პერიოდში, ქვეყანაში სულ ჩატარებულია 21,019 კონფირმაციული კვლევა, რომელთაგან დადასტურდა 15,645 შემთხვევა (74,4%).</w:t>
      </w:r>
      <w:r w:rsidRPr="00DB3909">
        <w:rPr>
          <w:rFonts w:ascii="Sylfaen" w:hAnsi="Sylfaen" w:cs="Sylfaen"/>
          <w:sz w:val="20"/>
          <w:szCs w:val="20"/>
          <w:lang w:val="ka-GE"/>
        </w:rPr>
        <w:cr/>
      </w:r>
    </w:p>
    <w:p w:rsidR="00692918" w:rsidRPr="00DB3909" w:rsidRDefault="00692918" w:rsidP="00DB3909">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DB3909">
        <w:rPr>
          <w:rFonts w:ascii="Sylfaen" w:eastAsia="Times New Roman" w:hAnsi="Sylfaen" w:cs="Sylfaen"/>
          <w:b/>
          <w:color w:val="1F3864" w:themeColor="accent5" w:themeShade="80"/>
          <w:sz w:val="20"/>
          <w:szCs w:val="20"/>
        </w:rPr>
        <w:t>მოსახლეობის ინფორმირებულობის ამაღლება ჯანსაღი ცხოვრების წესის შესახებ, მ.შ.: თამბაქოსა და ალკოჰოლის მავნე ზემოქმედების, ფიზიკური აქტივობის, ჯანსაღი კვებისა და ფსიქიკური ჯანმრთელობის თაობაზე</w:t>
      </w:r>
      <w:r w:rsidR="00DB3909" w:rsidRPr="00DB3909">
        <w:rPr>
          <w:rFonts w:ascii="Sylfaen" w:eastAsia="Times New Roman" w:hAnsi="Sylfaen" w:cs="Sylfaen"/>
          <w:b/>
          <w:color w:val="1F3864" w:themeColor="accent5" w:themeShade="80"/>
          <w:sz w:val="20"/>
          <w:szCs w:val="20"/>
        </w:rPr>
        <w:t xml:space="preserve"> (261)</w:t>
      </w:r>
    </w:p>
    <w:p w:rsidR="00EB4BCE" w:rsidRDefault="00EB4BCE" w:rsidP="00EB4BCE">
      <w:pPr>
        <w:jc w:val="both"/>
        <w:rPr>
          <w:rFonts w:ascii="Sylfaen" w:hAnsi="Sylfaen" w:cs="Sylfaen"/>
          <w:sz w:val="20"/>
          <w:szCs w:val="20"/>
          <w:lang w:val="ka-GE"/>
        </w:rPr>
      </w:pPr>
      <w:r>
        <w:rPr>
          <w:rFonts w:ascii="Sylfaen" w:hAnsi="Sylfaen" w:cs="Sylfaen"/>
          <w:sz w:val="20"/>
          <w:szCs w:val="20"/>
          <w:lang w:val="ka-GE"/>
        </w:rPr>
        <w:t xml:space="preserve">ჯანმრთელობის ხელსეწყობის სახელმწიფო პროგრამა მოიცავს შემდეგ კომპონენტებს: </w:t>
      </w:r>
      <w:r w:rsidRPr="00692918">
        <w:rPr>
          <w:rFonts w:ascii="Sylfaen" w:hAnsi="Sylfaen" w:cs="Sylfaen"/>
          <w:sz w:val="20"/>
          <w:szCs w:val="20"/>
          <w:lang w:val="ka-GE"/>
        </w:rPr>
        <w:t xml:space="preserve">ჯანსაღი კვების შესახებ </w:t>
      </w:r>
      <w:r>
        <w:rPr>
          <w:rFonts w:ascii="Sylfaen" w:hAnsi="Sylfaen" w:cs="Sylfaen"/>
          <w:sz w:val="20"/>
          <w:szCs w:val="20"/>
          <w:lang w:val="ka-GE"/>
        </w:rPr>
        <w:t>განათლებ</w:t>
      </w:r>
      <w:r>
        <w:rPr>
          <w:rFonts w:ascii="Sylfaen" w:hAnsi="Sylfaen" w:cs="Sylfaen"/>
          <w:sz w:val="20"/>
          <w:szCs w:val="20"/>
          <w:lang w:val="ka-GE"/>
        </w:rPr>
        <w:t>ა;</w:t>
      </w:r>
      <w:r w:rsidRPr="00692918">
        <w:rPr>
          <w:rFonts w:ascii="Sylfaen" w:hAnsi="Sylfaen" w:cs="Sylfaen"/>
          <w:sz w:val="20"/>
          <w:szCs w:val="20"/>
          <w:lang w:val="ka-GE"/>
        </w:rPr>
        <w:t xml:space="preserve"> ალკოჰოლის ჭარბი მოხმარების შესახებ ცნობიერების ამაღლებ</w:t>
      </w:r>
      <w:r>
        <w:rPr>
          <w:rFonts w:ascii="Sylfaen" w:hAnsi="Sylfaen" w:cs="Sylfaen"/>
          <w:sz w:val="20"/>
          <w:szCs w:val="20"/>
          <w:lang w:val="ka-GE"/>
        </w:rPr>
        <w:t>ა</w:t>
      </w:r>
      <w:r>
        <w:rPr>
          <w:rFonts w:ascii="Sylfaen" w:hAnsi="Sylfaen" w:cs="Sylfaen"/>
          <w:sz w:val="20"/>
          <w:szCs w:val="20"/>
          <w:lang w:val="ka-GE"/>
        </w:rPr>
        <w:t>,</w:t>
      </w:r>
      <w:r w:rsidRPr="00692918">
        <w:rPr>
          <w:rFonts w:ascii="Sylfaen" w:hAnsi="Sylfaen" w:cs="Sylfaen"/>
          <w:sz w:val="20"/>
          <w:szCs w:val="20"/>
          <w:lang w:val="ka-GE"/>
        </w:rPr>
        <w:t xml:space="preserve"> ფიზიკური აქტივობის ხელშეწყობ</w:t>
      </w:r>
      <w:r>
        <w:rPr>
          <w:rFonts w:ascii="Sylfaen" w:hAnsi="Sylfaen" w:cs="Sylfaen"/>
          <w:sz w:val="20"/>
          <w:szCs w:val="20"/>
          <w:lang w:val="ka-GE"/>
        </w:rPr>
        <w:t>ა</w:t>
      </w:r>
      <w:r>
        <w:rPr>
          <w:rFonts w:ascii="Sylfaen" w:hAnsi="Sylfaen" w:cs="Sylfaen"/>
          <w:sz w:val="20"/>
          <w:szCs w:val="20"/>
          <w:lang w:val="ka-GE"/>
        </w:rPr>
        <w:t>,</w:t>
      </w:r>
      <w:r w:rsidRPr="00692918">
        <w:rPr>
          <w:rFonts w:ascii="Sylfaen" w:hAnsi="Sylfaen" w:cs="Sylfaen"/>
          <w:sz w:val="20"/>
          <w:szCs w:val="20"/>
          <w:lang w:val="ka-GE"/>
        </w:rPr>
        <w:t xml:space="preserve"> C ჰეპატიტის პრევენცი</w:t>
      </w:r>
      <w:r>
        <w:rPr>
          <w:rFonts w:ascii="Sylfaen" w:hAnsi="Sylfaen" w:cs="Sylfaen"/>
          <w:sz w:val="20"/>
          <w:szCs w:val="20"/>
          <w:lang w:val="ka-GE"/>
        </w:rPr>
        <w:t>ისა</w:t>
      </w:r>
      <w:r w:rsidRPr="00692918">
        <w:rPr>
          <w:rFonts w:ascii="Sylfaen" w:hAnsi="Sylfaen" w:cs="Sylfaen"/>
          <w:sz w:val="20"/>
          <w:szCs w:val="20"/>
          <w:lang w:val="ka-GE"/>
        </w:rPr>
        <w:t xml:space="preserve"> და მოსახლეობის განათლების ხელშეწყობ</w:t>
      </w:r>
      <w:r>
        <w:rPr>
          <w:rFonts w:ascii="Sylfaen" w:hAnsi="Sylfaen" w:cs="Sylfaen"/>
          <w:sz w:val="20"/>
          <w:szCs w:val="20"/>
          <w:lang w:val="ka-GE"/>
        </w:rPr>
        <w:t>ა</w:t>
      </w:r>
      <w:r w:rsidRPr="00692918">
        <w:rPr>
          <w:rFonts w:ascii="Sylfaen" w:hAnsi="Sylfaen" w:cs="Sylfaen"/>
          <w:sz w:val="20"/>
          <w:szCs w:val="20"/>
          <w:lang w:val="ka-GE"/>
        </w:rPr>
        <w:t>; ფსიქიკური ჯანმრთელობის ხელშეწყობ</w:t>
      </w:r>
      <w:r>
        <w:rPr>
          <w:rFonts w:ascii="Sylfaen" w:hAnsi="Sylfaen" w:cs="Sylfaen"/>
          <w:sz w:val="20"/>
          <w:szCs w:val="20"/>
          <w:lang w:val="ka-GE"/>
        </w:rPr>
        <w:t>ა</w:t>
      </w:r>
      <w:r w:rsidRPr="00692918">
        <w:rPr>
          <w:rFonts w:ascii="Sylfaen" w:hAnsi="Sylfaen" w:cs="Sylfaen"/>
          <w:sz w:val="20"/>
          <w:szCs w:val="20"/>
          <w:lang w:val="ka-GE"/>
        </w:rPr>
        <w:t>;</w:t>
      </w:r>
      <w:r>
        <w:rPr>
          <w:rFonts w:ascii="Sylfaen" w:hAnsi="Sylfaen" w:cs="Sylfaen"/>
          <w:sz w:val="20"/>
          <w:szCs w:val="20"/>
          <w:lang w:val="ka-GE"/>
        </w:rPr>
        <w:t xml:space="preserve"> </w:t>
      </w:r>
      <w:r w:rsidRPr="00692918">
        <w:rPr>
          <w:rFonts w:ascii="Sylfaen" w:hAnsi="Sylfaen" w:cs="Sylfaen"/>
          <w:sz w:val="20"/>
          <w:szCs w:val="20"/>
          <w:lang w:val="ka-GE"/>
        </w:rPr>
        <w:t>ნივთიერებადამოკიდებულებისა და აზარტულ თამაშებზე დამოკიდებულების პრევენცია და გარემო და ჯანმრთელობის საკითხები.</w:t>
      </w:r>
    </w:p>
    <w:p w:rsidR="00EB4BCE" w:rsidRPr="00692918" w:rsidRDefault="00692918" w:rsidP="00EB4BCE">
      <w:pPr>
        <w:jc w:val="both"/>
        <w:rPr>
          <w:rFonts w:ascii="Sylfaen" w:hAnsi="Sylfaen" w:cs="Sylfaen"/>
          <w:sz w:val="20"/>
          <w:szCs w:val="20"/>
          <w:lang w:val="ka-GE"/>
        </w:rPr>
      </w:pPr>
      <w:r w:rsidRPr="00692918">
        <w:rPr>
          <w:rFonts w:ascii="Sylfaen" w:hAnsi="Sylfaen" w:cs="Sylfaen"/>
          <w:sz w:val="20"/>
          <w:szCs w:val="20"/>
          <w:lang w:val="ka-GE"/>
        </w:rPr>
        <w:t>რუტინულ რეჟიმში ხორციელდებოდა საინფორმაციო სახის შეხვედრები თამბაქოს კონტროლის კანონმდებლობის აღმასრულებელ სტრუქტურებთან და დარგის ექსპერტებთან კანონმდებლობის აღსრულების შეფასების და გაუმჯობესების მიზნით; თამბაქოს კონტროლის  კანონმდებლობის აღსრულების ხელშეწყობის მიზნით სხვადასხვა ტიპის დაწესებულებებში, სავაჭრო ობიექტებსა და საზოგადოებრივ ტრანსპორტში მიმდინარეობს კანონმდებლობის აღსრულების მონიტორინგი  შესაბამისი კითხვარების მეშვეობით, ხორციელდება დარღვევებზე რეაგირება.</w:t>
      </w:r>
      <w:r w:rsidRPr="00692918">
        <w:rPr>
          <w:rFonts w:ascii="Sylfaen" w:hAnsi="Sylfaen" w:cs="Sylfaen"/>
          <w:sz w:val="20"/>
          <w:szCs w:val="20"/>
          <w:lang w:val="ka-GE"/>
        </w:rPr>
        <w:cr/>
      </w:r>
      <w:r w:rsidR="00EB4BCE" w:rsidRPr="00692918">
        <w:rPr>
          <w:rFonts w:ascii="Sylfaen" w:hAnsi="Sylfaen" w:cs="Sylfaen"/>
          <w:sz w:val="20"/>
          <w:szCs w:val="20"/>
          <w:lang w:val="ka-GE"/>
        </w:rPr>
        <w:t xml:space="preserve">რუტინულ რეჟიმში ხორციელდებოდა თამბაქოსათვის თავის დანებებს ცხელი ხაზის ფუნქციონირება (თვეში საშუალოდ ხორციელდება 400-მდე ზარი). </w:t>
      </w:r>
      <w:r w:rsidR="00EB4BCE" w:rsidRPr="00692918">
        <w:rPr>
          <w:rFonts w:ascii="Sylfaen" w:hAnsi="Sylfaen" w:cs="Sylfaen"/>
          <w:sz w:val="20"/>
          <w:szCs w:val="20"/>
          <w:lang w:val="ka-GE"/>
        </w:rPr>
        <w:cr/>
      </w:r>
    </w:p>
    <w:p w:rsidR="00692918" w:rsidRDefault="00724455" w:rsidP="00692918">
      <w:pPr>
        <w:jc w:val="both"/>
        <w:rPr>
          <w:rFonts w:ascii="Sylfaen" w:hAnsi="Sylfaen" w:cs="Sylfaen"/>
          <w:sz w:val="20"/>
          <w:szCs w:val="20"/>
          <w:lang w:val="ka-GE"/>
        </w:rPr>
      </w:pPr>
      <w:r w:rsidRPr="00EB4BCE">
        <w:rPr>
          <w:rFonts w:ascii="Sylfaen" w:hAnsi="Sylfaen" w:cs="Sylfaen"/>
          <w:sz w:val="20"/>
          <w:szCs w:val="20"/>
          <w:lang w:val="ka-GE"/>
        </w:rPr>
        <w:lastRenderedPageBreak/>
        <w:t xml:space="preserve">მზადდება ვიდეორგოლები და ბეჭვდითი </w:t>
      </w:r>
      <w:r w:rsidR="00EB4BCE" w:rsidRPr="00EB4BCE">
        <w:rPr>
          <w:rFonts w:ascii="Sylfaen" w:hAnsi="Sylfaen" w:cs="Sylfaen"/>
          <w:sz w:val="20"/>
          <w:szCs w:val="20"/>
          <w:lang w:val="ka-GE"/>
        </w:rPr>
        <w:t>მასალები</w:t>
      </w:r>
      <w:r w:rsidR="00EB4BCE">
        <w:rPr>
          <w:rFonts w:ascii="Sylfaen" w:hAnsi="Sylfaen" w:cs="Sylfaen"/>
          <w:sz w:val="20"/>
          <w:szCs w:val="20"/>
          <w:lang w:val="ka-GE"/>
        </w:rPr>
        <w:t>,</w:t>
      </w:r>
      <w:r w:rsidRPr="00EB4BCE">
        <w:rPr>
          <w:rFonts w:ascii="Sylfaen" w:hAnsi="Sylfaen" w:cs="Sylfaen"/>
          <w:sz w:val="20"/>
          <w:szCs w:val="20"/>
          <w:lang w:val="ka-GE"/>
        </w:rPr>
        <w:t xml:space="preserve"> ტარდება საინფორმაციო </w:t>
      </w:r>
      <w:r w:rsidR="00EB4BCE">
        <w:rPr>
          <w:rFonts w:ascii="Sylfaen" w:hAnsi="Sylfaen" w:cs="Sylfaen"/>
          <w:sz w:val="20"/>
          <w:szCs w:val="20"/>
          <w:lang w:val="ka-GE"/>
        </w:rPr>
        <w:t xml:space="preserve">შეხვედრები </w:t>
      </w:r>
      <w:r w:rsidR="00692918" w:rsidRPr="00692918">
        <w:rPr>
          <w:rFonts w:ascii="Sylfaen" w:hAnsi="Sylfaen" w:cs="Sylfaen"/>
          <w:sz w:val="20"/>
          <w:szCs w:val="20"/>
          <w:lang w:val="ka-GE"/>
        </w:rPr>
        <w:t xml:space="preserve"> საზოგადოებრივი ჯანმრთელობის ადგილობრივი ცენტრების წარმომადგენელთათვის თამბაქოს კონტროლის</w:t>
      </w:r>
      <w:r w:rsidR="00EB4BCE">
        <w:rPr>
          <w:rFonts w:ascii="Sylfaen" w:hAnsi="Sylfaen" w:cs="Sylfaen"/>
          <w:sz w:val="20"/>
          <w:szCs w:val="20"/>
          <w:lang w:val="ka-GE"/>
        </w:rPr>
        <w:t xml:space="preserve">, </w:t>
      </w:r>
      <w:r w:rsidR="00692918" w:rsidRPr="00692918">
        <w:rPr>
          <w:rFonts w:ascii="Sylfaen" w:hAnsi="Sylfaen" w:cs="Sylfaen"/>
          <w:sz w:val="20"/>
          <w:szCs w:val="20"/>
          <w:lang w:val="ka-GE"/>
        </w:rPr>
        <w:t xml:space="preserve"> </w:t>
      </w:r>
      <w:r w:rsidR="00EB4BCE" w:rsidRPr="00EB4BCE">
        <w:rPr>
          <w:rFonts w:ascii="Sylfaen" w:hAnsi="Sylfaen" w:cs="Sylfaen"/>
          <w:sz w:val="20"/>
          <w:szCs w:val="20"/>
          <w:lang w:val="ka-GE"/>
        </w:rPr>
        <w:t>ფიზიკური აქტივობის, ჯანსაღი კვებისა და ფსიქიკური ჯანმრთელობის</w:t>
      </w:r>
      <w:r w:rsidR="00EB4BCE">
        <w:rPr>
          <w:rFonts w:ascii="Sylfaen" w:hAnsi="Sylfaen" w:cs="Sylfaen"/>
          <w:sz w:val="20"/>
          <w:szCs w:val="20"/>
          <w:lang w:val="ka-GE"/>
        </w:rPr>
        <w:t xml:space="preserve"> </w:t>
      </w:r>
      <w:r w:rsidR="00692918" w:rsidRPr="00692918">
        <w:rPr>
          <w:rFonts w:ascii="Sylfaen" w:hAnsi="Sylfaen" w:cs="Sylfaen"/>
          <w:sz w:val="20"/>
          <w:szCs w:val="20"/>
          <w:lang w:val="ka-GE"/>
        </w:rPr>
        <w:t xml:space="preserve">საკითხებზე.  </w:t>
      </w:r>
      <w:r w:rsidR="00EB4BCE">
        <w:rPr>
          <w:rFonts w:ascii="Sylfaen" w:hAnsi="Sylfaen" w:cs="Sylfaen"/>
          <w:sz w:val="20"/>
          <w:szCs w:val="20"/>
          <w:lang w:val="ka-GE"/>
        </w:rPr>
        <w:t>სამინისტრო ასევე</w:t>
      </w:r>
      <w:r w:rsidR="00692918" w:rsidRPr="00692918">
        <w:rPr>
          <w:rFonts w:ascii="Sylfaen" w:hAnsi="Sylfaen" w:cs="Sylfaen"/>
          <w:sz w:val="20"/>
          <w:szCs w:val="20"/>
          <w:lang w:val="ka-GE"/>
        </w:rPr>
        <w:t>ახორციელებს სისხლის უანგარო, რეგულარული დონორობის საინფორმაციო და კიბოს სკრინიგნის პროგრამების საპოპულარიზაციო კამპანიებს მოსახლეობის ცნობიერების ამაღლების მიზნით.</w:t>
      </w:r>
    </w:p>
    <w:p w:rsidR="00DB3909" w:rsidRDefault="00DB3909" w:rsidP="00DB3909">
      <w:pPr>
        <w:jc w:val="both"/>
        <w:rPr>
          <w:rFonts w:ascii="Sylfaen" w:hAnsi="Sylfaen" w:cs="Sylfaen"/>
          <w:sz w:val="20"/>
          <w:szCs w:val="20"/>
          <w:lang w:val="ka-GE"/>
        </w:rPr>
      </w:pPr>
    </w:p>
    <w:p w:rsidR="00DB3909" w:rsidRPr="00DB3909" w:rsidRDefault="00DB3909" w:rsidP="00DB3909">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DB3909">
        <w:rPr>
          <w:rFonts w:ascii="Sylfaen" w:eastAsia="Times New Roman" w:hAnsi="Sylfaen" w:cs="Sylfaen"/>
          <w:b/>
          <w:color w:val="1F3864" w:themeColor="accent5" w:themeShade="80"/>
          <w:sz w:val="20"/>
          <w:szCs w:val="20"/>
        </w:rPr>
        <w:t>საქართველოს თამბაქოს კონტროლის კანონმდებლობის ევროკავშირის შესაბამის დირექტივებთან დაახლოების ხელშეწყობა, ჯანმრთელობის მსოფლიო ორგანიზაციის თამბაქოს კონტროლის ჩარჩო კონვენციის და მისი აღსრულების გაიდლაინების (WHO FCTC) გათვალისწინებით და ევროკომისიის ტექნიკური დახმარების და ინფორმაციის გაცვლის ინსტრუმენტის (TAIEX) გამოყენებით; თამბაქოს ნაწარმით უკანონო ვაჭრობის აღმოფხვრის ოქმზე მიერთების ხელშეწყობა დაინტერესებულ მხარეთათვის სემინარის ჩატარების გზით</w:t>
      </w:r>
      <w:r>
        <w:rPr>
          <w:rFonts w:ascii="Sylfaen" w:eastAsia="Times New Roman" w:hAnsi="Sylfaen" w:cs="Sylfaen"/>
          <w:b/>
          <w:color w:val="1F3864" w:themeColor="accent5" w:themeShade="80"/>
          <w:sz w:val="20"/>
          <w:szCs w:val="20"/>
          <w:lang w:val="ka-GE"/>
        </w:rPr>
        <w:t xml:space="preserve"> (263.1)</w:t>
      </w:r>
    </w:p>
    <w:p w:rsidR="00DB3909" w:rsidRDefault="00DB3909" w:rsidP="00DB3909">
      <w:pPr>
        <w:jc w:val="both"/>
        <w:rPr>
          <w:rFonts w:ascii="Sylfaen" w:hAnsi="Sylfaen" w:cs="Sylfaen"/>
          <w:sz w:val="20"/>
          <w:szCs w:val="20"/>
          <w:lang w:val="ka-GE"/>
        </w:rPr>
      </w:pPr>
      <w:r w:rsidRPr="00DB3909">
        <w:rPr>
          <w:rFonts w:ascii="Sylfaen" w:hAnsi="Sylfaen" w:cs="Sylfaen"/>
          <w:sz w:val="20"/>
          <w:szCs w:val="20"/>
          <w:lang w:val="ka-GE"/>
        </w:rPr>
        <w:t>ასოცირების შეთანხმების 2019 წლის გეგმის შესაბამისად, ევროკავშირის მიერ ჩატარდა კვლევა, რომლის მიზანი იყო ეროვნული კანონმდებლობის ევროკავშირის შესაბამის დირექტივებთან შედარებითი ანალიზი, ხარვეზების გამოვლენა და რეკომენდაციების შემუშავება. კვლევის საბოლოო შედეგები ჯერ წარდგენილი არ არის, თუმცა საქართველომ ოფ</w:t>
      </w:r>
      <w:r w:rsidR="00552E6C">
        <w:rPr>
          <w:rFonts w:ascii="Sylfaen" w:hAnsi="Sylfaen" w:cs="Sylfaen"/>
          <w:sz w:val="20"/>
          <w:szCs w:val="20"/>
          <w:lang w:val="ka-GE"/>
        </w:rPr>
        <w:t>ი</w:t>
      </w:r>
      <w:bookmarkStart w:id="0" w:name="_GoBack"/>
      <w:bookmarkEnd w:id="0"/>
      <w:r w:rsidRPr="00DB3909">
        <w:rPr>
          <w:rFonts w:ascii="Sylfaen" w:hAnsi="Sylfaen" w:cs="Sylfaen"/>
          <w:sz w:val="20"/>
          <w:szCs w:val="20"/>
          <w:lang w:val="ka-GE"/>
        </w:rPr>
        <w:t xml:space="preserve">ციალური განაცხადი გააკეთა TAIEX-ის ფარგლებში კვლევის შედეგების გაცნობის სემინარის მოწყობასა და უფრო ჩაღრმავებული ანალიზის გაკეთებაში ტექნიკური დახმარების მიღებაზე. ამასთან, TAIEX  განაცხადი ასევე ითვალისწინებს დაინტერესებულ მხარეთა ვორკშოპის ჩატარებას, თამბაქოს ნაწარმის უკანონო ვაჭრობის აღმოფხვრის ოქმთან დაკავშირებით. </w:t>
      </w:r>
      <w:r w:rsidRPr="00DB3909">
        <w:rPr>
          <w:rFonts w:ascii="Sylfaen" w:hAnsi="Sylfaen" w:cs="Sylfaen"/>
          <w:sz w:val="20"/>
          <w:szCs w:val="20"/>
          <w:lang w:val="ka-GE"/>
        </w:rPr>
        <w:cr/>
      </w:r>
    </w:p>
    <w:p w:rsidR="00DB3909" w:rsidRPr="000D69DF" w:rsidRDefault="00DB3909" w:rsidP="004F2AFA">
      <w:pPr>
        <w:pStyle w:val="ListParagraph"/>
        <w:numPr>
          <w:ilvl w:val="0"/>
          <w:numId w:val="2"/>
        </w:numPr>
        <w:spacing w:after="0" w:line="240" w:lineRule="auto"/>
        <w:jc w:val="both"/>
        <w:rPr>
          <w:rFonts w:ascii="Sylfaen" w:hAnsi="Sylfaen" w:cs="Sylfaen"/>
          <w:sz w:val="20"/>
          <w:szCs w:val="20"/>
          <w:lang w:val="ka-GE"/>
        </w:rPr>
      </w:pPr>
      <w:r w:rsidRPr="000D69DF">
        <w:rPr>
          <w:rFonts w:ascii="Sylfaen" w:eastAsia="Times New Roman" w:hAnsi="Sylfaen" w:cs="Sylfaen"/>
          <w:b/>
          <w:color w:val="1F3864" w:themeColor="accent5" w:themeShade="80"/>
          <w:sz w:val="20"/>
          <w:szCs w:val="20"/>
        </w:rPr>
        <w:t>თამბაქოს კონტროლის კანონმდებლობის (2017 წლის მაისში დამტკიცებული საკნონმდებლო ცვლილებების პაკეტის) განხორციელების ხელშეწყობა, ევროკავშირის შესაბამისი დირექტივების აღსრულების ვადების გათვალისწინებით</w:t>
      </w:r>
      <w:r w:rsidRPr="000D69DF">
        <w:rPr>
          <w:rFonts w:ascii="Sylfaen" w:eastAsia="Times New Roman" w:hAnsi="Sylfaen" w:cs="Sylfaen"/>
          <w:b/>
          <w:color w:val="1F3864" w:themeColor="accent5" w:themeShade="80"/>
          <w:sz w:val="20"/>
          <w:szCs w:val="20"/>
          <w:lang w:val="ka-GE"/>
        </w:rPr>
        <w:t xml:space="preserve"> (263.2)</w:t>
      </w:r>
    </w:p>
    <w:p w:rsidR="000D69DF" w:rsidRPr="000D69DF" w:rsidRDefault="000D69DF" w:rsidP="000D69DF">
      <w:pPr>
        <w:spacing w:after="0" w:line="240" w:lineRule="auto"/>
        <w:ind w:left="360"/>
        <w:jc w:val="both"/>
        <w:rPr>
          <w:rFonts w:ascii="Sylfaen" w:hAnsi="Sylfaen" w:cs="Sylfaen"/>
          <w:sz w:val="20"/>
          <w:szCs w:val="20"/>
          <w:lang w:val="ka-GE"/>
        </w:rPr>
      </w:pPr>
      <w:r w:rsidRPr="000D69DF">
        <w:rPr>
          <w:rFonts w:ascii="Sylfaen" w:hAnsi="Sylfaen" w:cs="Sylfaen"/>
          <w:sz w:val="20"/>
          <w:szCs w:val="20"/>
          <w:lang w:val="ka-GE"/>
        </w:rPr>
        <w:t>2019 წლის მაისში დასრულდა თამბაქოს კონტროლის ეროვნული სტრატეგიისა და სამოქმედო გეგმის განახლებულ ვერსიებზე მუშაობა, რაც წარდგენილია დამტკიცებისთვის. ახალი კანონმდებლობის განხოციელებაზე მუშაობა წარმატებით მიმდინარეობს, ჯანმრთელობის ხელშეწყობის სახელმწიფო პროგრამის და სხვა დონორური პროექტების ფარგლებში, რაც მოიცავს რუტინულ მონიტორინგს, ტრენინგებს, ვორკშოპებს, თამბაქოს კონტროლის სხვადასხვა პოლიტიკაზე მუშაობას და კვლევების განხოციელებას.</w:t>
      </w:r>
    </w:p>
    <w:p w:rsidR="00DB3909" w:rsidRDefault="00DB3909" w:rsidP="00DB3909">
      <w:pPr>
        <w:jc w:val="both"/>
        <w:rPr>
          <w:rFonts w:ascii="Sylfaen" w:hAnsi="Sylfaen" w:cs="Sylfaen"/>
          <w:sz w:val="20"/>
          <w:szCs w:val="20"/>
          <w:lang w:val="ka-GE"/>
        </w:rPr>
      </w:pPr>
    </w:p>
    <w:p w:rsidR="00DB3909" w:rsidRPr="000D69DF" w:rsidRDefault="00DB3909" w:rsidP="00DB3909">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DB3909">
        <w:rPr>
          <w:rFonts w:ascii="Sylfaen" w:eastAsia="Times New Roman" w:hAnsi="Sylfaen" w:cs="Sylfaen"/>
          <w:b/>
          <w:color w:val="1F3864" w:themeColor="accent5" w:themeShade="80"/>
          <w:sz w:val="20"/>
          <w:szCs w:val="20"/>
        </w:rPr>
        <w:t xml:space="preserve">სისხლის უსაფრთხოების სფეროში ევროკავშირის დაძმობილების ინსტრუმენტის (EU Twinning instrument) საპროექტო განაცხადის (Twinning Project Fiche) მომზადება </w:t>
      </w:r>
      <w:r>
        <w:rPr>
          <w:rFonts w:ascii="Sylfaen" w:eastAsia="Times New Roman" w:hAnsi="Sylfaen" w:cs="Sylfaen"/>
          <w:b/>
          <w:color w:val="1F3864" w:themeColor="accent5" w:themeShade="80"/>
          <w:sz w:val="20"/>
          <w:szCs w:val="20"/>
          <w:lang w:val="ka-GE"/>
        </w:rPr>
        <w:t>(264.1)</w:t>
      </w:r>
    </w:p>
    <w:p w:rsidR="000D69DF" w:rsidRPr="000D69DF" w:rsidRDefault="000D69DF" w:rsidP="000D69DF">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DB3909">
        <w:rPr>
          <w:rFonts w:ascii="Sylfaen" w:eastAsia="Times New Roman" w:hAnsi="Sylfaen" w:cs="Sylfaen"/>
          <w:b/>
          <w:color w:val="1F3864" w:themeColor="accent5" w:themeShade="80"/>
          <w:sz w:val="20"/>
          <w:szCs w:val="20"/>
        </w:rPr>
        <w:t xml:space="preserve">უსაფრთხო სისხლის დაძმობილების პროექტის </w:t>
      </w:r>
      <w:proofErr w:type="gramStart"/>
      <w:r w:rsidRPr="00DB3909">
        <w:rPr>
          <w:rFonts w:ascii="Sylfaen" w:eastAsia="Times New Roman" w:hAnsi="Sylfaen" w:cs="Sylfaen"/>
          <w:b/>
          <w:color w:val="1F3864" w:themeColor="accent5" w:themeShade="80"/>
          <w:sz w:val="20"/>
          <w:szCs w:val="20"/>
        </w:rPr>
        <w:t>დაწყება  (</w:t>
      </w:r>
      <w:proofErr w:type="gramEnd"/>
      <w:r w:rsidRPr="00DB3909">
        <w:rPr>
          <w:rFonts w:ascii="Sylfaen" w:eastAsia="Times New Roman" w:hAnsi="Sylfaen" w:cs="Sylfaen"/>
          <w:b/>
          <w:color w:val="1F3864" w:themeColor="accent5" w:themeShade="80"/>
          <w:sz w:val="20"/>
          <w:szCs w:val="20"/>
        </w:rPr>
        <w:t>Blood Safety Twinning project)</w:t>
      </w:r>
      <w:r w:rsidRPr="00DB3909">
        <w:rPr>
          <w:rFonts w:ascii="Sylfaen" w:eastAsia="Times New Roman" w:hAnsi="Sylfaen" w:cs="Sylfaen"/>
          <w:b/>
          <w:color w:val="1F3864" w:themeColor="accent5" w:themeShade="80"/>
          <w:sz w:val="20"/>
          <w:szCs w:val="20"/>
        </w:rPr>
        <w:cr/>
      </w:r>
      <w:r>
        <w:rPr>
          <w:rFonts w:ascii="Sylfaen" w:eastAsia="Times New Roman" w:hAnsi="Sylfaen" w:cs="Sylfaen"/>
          <w:b/>
          <w:color w:val="1F3864" w:themeColor="accent5" w:themeShade="80"/>
          <w:sz w:val="20"/>
          <w:szCs w:val="20"/>
          <w:lang w:val="ka-GE"/>
        </w:rPr>
        <w:t>(264.2)</w:t>
      </w:r>
    </w:p>
    <w:p w:rsidR="00DB3909" w:rsidRDefault="00DB3909" w:rsidP="00DB3909">
      <w:pPr>
        <w:jc w:val="both"/>
        <w:rPr>
          <w:rFonts w:ascii="Sylfaen" w:hAnsi="Sylfaen" w:cs="Sylfaen"/>
          <w:sz w:val="20"/>
          <w:szCs w:val="20"/>
          <w:lang w:val="ka-GE"/>
        </w:rPr>
      </w:pPr>
      <w:r w:rsidRPr="00DB3909">
        <w:rPr>
          <w:rFonts w:ascii="Sylfaen" w:hAnsi="Sylfaen" w:cs="Sylfaen"/>
          <w:sz w:val="20"/>
          <w:szCs w:val="20"/>
          <w:lang w:val="ka-GE"/>
        </w:rPr>
        <w:t>ევროკავშირის დაძმობილების პროექტის („სისხლის უსაფრთხოების სისტემის გაძლიერება საქართველოში“) ფარგლებში, კონკურსის წესით, შერჩეულ იქნენ პარტნიორი ქვეყნები: ლიტვის და ჰოლანდიის კონსორციუმი</w:t>
      </w:r>
      <w:r w:rsidR="000D69DF">
        <w:rPr>
          <w:rFonts w:ascii="Sylfaen" w:hAnsi="Sylfaen" w:cs="Sylfaen"/>
          <w:sz w:val="20"/>
          <w:szCs w:val="20"/>
          <w:lang w:val="ka-GE"/>
        </w:rPr>
        <w:t xml:space="preserve">. </w:t>
      </w:r>
      <w:r w:rsidRPr="00DB3909">
        <w:rPr>
          <w:rFonts w:ascii="Sylfaen" w:hAnsi="Sylfaen" w:cs="Sylfaen"/>
          <w:sz w:val="20"/>
          <w:szCs w:val="20"/>
          <w:lang w:val="ka-GE"/>
        </w:rPr>
        <w:t>დაძმობილების პროექტის („სისხლის უსაფრთხოების სისტემის გაძლიერება საქართველოში“) ფარგლებში, გაფორმდა ხელშეკრულებები პარტნიორ ქვეყნებთან. პროექტი დაიწყო 2020 წლის 15 იანვრიდან</w:t>
      </w:r>
      <w:r w:rsidR="000D69DF">
        <w:rPr>
          <w:rFonts w:ascii="Sylfaen" w:hAnsi="Sylfaen" w:cs="Sylfaen"/>
          <w:sz w:val="20"/>
          <w:szCs w:val="20"/>
          <w:lang w:val="ka-GE"/>
        </w:rPr>
        <w:t>.</w:t>
      </w:r>
    </w:p>
    <w:p w:rsidR="00DB3909" w:rsidRDefault="00DB3909" w:rsidP="00DB3909">
      <w:pPr>
        <w:jc w:val="both"/>
        <w:rPr>
          <w:rFonts w:ascii="Sylfaen" w:hAnsi="Sylfaen" w:cs="Sylfaen"/>
          <w:sz w:val="20"/>
          <w:szCs w:val="20"/>
          <w:lang w:val="ka-GE"/>
        </w:rPr>
      </w:pPr>
    </w:p>
    <w:p w:rsidR="00DB3909" w:rsidRPr="00DB3909" w:rsidRDefault="00DB3909" w:rsidP="00DB3909">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DB3909">
        <w:rPr>
          <w:rFonts w:ascii="Sylfaen" w:eastAsia="Times New Roman" w:hAnsi="Sylfaen" w:cs="Sylfaen"/>
          <w:b/>
          <w:color w:val="1F3864" w:themeColor="accent5" w:themeShade="80"/>
          <w:sz w:val="20"/>
          <w:szCs w:val="20"/>
        </w:rPr>
        <w:lastRenderedPageBreak/>
        <w:t>ადამიანის ორგანოების, ორგანოთა ნაწილების, ქსოვილებისა და უჯრედების გადანერგვის მიმარულებით არსებული ეროვნული კანონმდებლობის ევროკავშირის კანონმდებლობასთან ჰარმონიზაცია</w:t>
      </w:r>
      <w:r>
        <w:rPr>
          <w:rFonts w:ascii="Sylfaen" w:eastAsia="Times New Roman" w:hAnsi="Sylfaen" w:cs="Sylfaen"/>
          <w:b/>
          <w:color w:val="1F3864" w:themeColor="accent5" w:themeShade="80"/>
          <w:sz w:val="20"/>
          <w:szCs w:val="20"/>
          <w:lang w:val="ka-GE"/>
        </w:rPr>
        <w:t xml:space="preserve"> (265.1)</w:t>
      </w:r>
    </w:p>
    <w:p w:rsidR="000D69DF" w:rsidRDefault="00DB3909" w:rsidP="00DB3909">
      <w:pPr>
        <w:jc w:val="both"/>
        <w:rPr>
          <w:rFonts w:ascii="Sylfaen" w:hAnsi="Sylfaen" w:cs="Sylfaen"/>
          <w:sz w:val="20"/>
          <w:szCs w:val="20"/>
          <w:lang w:val="ka-GE"/>
        </w:rPr>
      </w:pPr>
      <w:r w:rsidRPr="00DB3909">
        <w:rPr>
          <w:rFonts w:ascii="Sylfaen" w:hAnsi="Sylfaen" w:cs="Sylfaen"/>
          <w:sz w:val="20"/>
          <w:szCs w:val="20"/>
          <w:lang w:val="ka-GE"/>
        </w:rPr>
        <w:t xml:space="preserve">ორგანოთა ტრანსპლანტაციის მიმართულებით დირექტივების იმპლემენტაციის მიზნით საქართველო აქტიურად თანამშრომლობს ევროკავშირთან ევროკომისიის ტექნიკური დახმარებისა და ინფორმაციის გაცვლის ინსტრუმენტის (TAIEX) ფარგლებში. </w:t>
      </w:r>
      <w:r w:rsidR="000D69DF">
        <w:rPr>
          <w:rFonts w:ascii="Sylfaen" w:hAnsi="Sylfaen" w:cs="Sylfaen"/>
          <w:sz w:val="20"/>
          <w:szCs w:val="20"/>
          <w:lang w:val="ka-GE"/>
        </w:rPr>
        <w:t xml:space="preserve"> ექსპერტამ მიერ</w:t>
      </w:r>
      <w:r w:rsidRPr="00DB3909">
        <w:rPr>
          <w:rFonts w:ascii="Sylfaen" w:hAnsi="Sylfaen" w:cs="Sylfaen"/>
          <w:sz w:val="20"/>
          <w:szCs w:val="20"/>
          <w:lang w:val="ka-GE"/>
        </w:rPr>
        <w:t xml:space="preserve"> მოამზადა რეკომენდაციების ორგანოთა, ქსოვილთა და უჯრედების სფეროში მოქმედი ეროვნული კანონმდებლობის ევროდირექტივებთან შესაბამისობაში მოყვანის მიზნით. რეკომენდაციების საფუძველზე სამინისტროში მომზადდა დეტალური სამოქმედო გეგმა და დაიწყო აღნიშნული გეგმის იმპლემენტაციის პროცესი. </w:t>
      </w:r>
    </w:p>
    <w:p w:rsidR="00DB3909" w:rsidRPr="00692918" w:rsidRDefault="00DB3909" w:rsidP="00DB3909">
      <w:pPr>
        <w:jc w:val="both"/>
        <w:rPr>
          <w:rFonts w:ascii="Sylfaen" w:hAnsi="Sylfaen" w:cs="Sylfaen"/>
          <w:sz w:val="20"/>
          <w:szCs w:val="20"/>
          <w:lang w:val="ka-GE"/>
        </w:rPr>
      </w:pPr>
      <w:r w:rsidRPr="00DB3909">
        <w:rPr>
          <w:rFonts w:ascii="Sylfaen" w:hAnsi="Sylfaen" w:cs="Sylfaen"/>
          <w:sz w:val="20"/>
          <w:szCs w:val="20"/>
          <w:lang w:val="ka-GE"/>
        </w:rPr>
        <w:t xml:space="preserve">მომზადდა ორი კანონპროექტის („ადამიანის ორგანოთა გადანერგვის შესახებ“ და „უჯრედებისა და ქსოვილების გადანერგვის შესახებ“) პირველადი ვერსიები და TAIEX-ის   ექსპერტული მისიის ფარგლებში განხორციელდა მათი ექსპერტიზა.  ექსპერტულმა მისიის რეკომენდაციით, დაიწყო მუშაობა რეპროდუქციული ტექნოლოგიების შესახებ კანონპროექტზე. </w:t>
      </w:r>
      <w:r w:rsidRPr="00DB3909">
        <w:rPr>
          <w:rFonts w:ascii="Sylfaen" w:hAnsi="Sylfaen" w:cs="Sylfaen"/>
          <w:sz w:val="20"/>
          <w:szCs w:val="20"/>
          <w:lang w:val="ka-GE"/>
        </w:rPr>
        <w:cr/>
      </w:r>
    </w:p>
    <w:sectPr w:rsidR="00DB3909" w:rsidRPr="0069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C6D0A"/>
    <w:multiLevelType w:val="hybridMultilevel"/>
    <w:tmpl w:val="30AEC810"/>
    <w:lvl w:ilvl="0" w:tplc="23F83B24">
      <w:start w:val="2019"/>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C37F5"/>
    <w:multiLevelType w:val="hybridMultilevel"/>
    <w:tmpl w:val="CCD8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27AC0"/>
    <w:multiLevelType w:val="hybridMultilevel"/>
    <w:tmpl w:val="5E68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748C2"/>
    <w:multiLevelType w:val="hybridMultilevel"/>
    <w:tmpl w:val="4D0C38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7E"/>
    <w:rsid w:val="000D69DF"/>
    <w:rsid w:val="001E40D7"/>
    <w:rsid w:val="00261524"/>
    <w:rsid w:val="002E0197"/>
    <w:rsid w:val="00552E6C"/>
    <w:rsid w:val="00617B9A"/>
    <w:rsid w:val="00656A8B"/>
    <w:rsid w:val="00692918"/>
    <w:rsid w:val="00724455"/>
    <w:rsid w:val="009326B8"/>
    <w:rsid w:val="00943393"/>
    <w:rsid w:val="009814D0"/>
    <w:rsid w:val="00A801C2"/>
    <w:rsid w:val="00AE262F"/>
    <w:rsid w:val="00B5117E"/>
    <w:rsid w:val="00DB3909"/>
    <w:rsid w:val="00EB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9290"/>
  <w15:chartTrackingRefBased/>
  <w15:docId w15:val="{60775026-6451-4D2D-8A44-AC7154C3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487">
      <w:bodyDiv w:val="1"/>
      <w:marLeft w:val="0"/>
      <w:marRight w:val="0"/>
      <w:marTop w:val="0"/>
      <w:marBottom w:val="0"/>
      <w:divBdr>
        <w:top w:val="none" w:sz="0" w:space="0" w:color="auto"/>
        <w:left w:val="none" w:sz="0" w:space="0" w:color="auto"/>
        <w:bottom w:val="none" w:sz="0" w:space="0" w:color="auto"/>
        <w:right w:val="none" w:sz="0" w:space="0" w:color="auto"/>
      </w:divBdr>
    </w:div>
    <w:div w:id="99033624">
      <w:bodyDiv w:val="1"/>
      <w:marLeft w:val="0"/>
      <w:marRight w:val="0"/>
      <w:marTop w:val="0"/>
      <w:marBottom w:val="0"/>
      <w:divBdr>
        <w:top w:val="none" w:sz="0" w:space="0" w:color="auto"/>
        <w:left w:val="none" w:sz="0" w:space="0" w:color="auto"/>
        <w:bottom w:val="none" w:sz="0" w:space="0" w:color="auto"/>
        <w:right w:val="none" w:sz="0" w:space="0" w:color="auto"/>
      </w:divBdr>
    </w:div>
    <w:div w:id="163590656">
      <w:bodyDiv w:val="1"/>
      <w:marLeft w:val="0"/>
      <w:marRight w:val="0"/>
      <w:marTop w:val="0"/>
      <w:marBottom w:val="0"/>
      <w:divBdr>
        <w:top w:val="none" w:sz="0" w:space="0" w:color="auto"/>
        <w:left w:val="none" w:sz="0" w:space="0" w:color="auto"/>
        <w:bottom w:val="none" w:sz="0" w:space="0" w:color="auto"/>
        <w:right w:val="none" w:sz="0" w:space="0" w:color="auto"/>
      </w:divBdr>
    </w:div>
    <w:div w:id="237058950">
      <w:bodyDiv w:val="1"/>
      <w:marLeft w:val="0"/>
      <w:marRight w:val="0"/>
      <w:marTop w:val="0"/>
      <w:marBottom w:val="0"/>
      <w:divBdr>
        <w:top w:val="none" w:sz="0" w:space="0" w:color="auto"/>
        <w:left w:val="none" w:sz="0" w:space="0" w:color="auto"/>
        <w:bottom w:val="none" w:sz="0" w:space="0" w:color="auto"/>
        <w:right w:val="none" w:sz="0" w:space="0" w:color="auto"/>
      </w:divBdr>
    </w:div>
    <w:div w:id="252865013">
      <w:bodyDiv w:val="1"/>
      <w:marLeft w:val="0"/>
      <w:marRight w:val="0"/>
      <w:marTop w:val="0"/>
      <w:marBottom w:val="0"/>
      <w:divBdr>
        <w:top w:val="none" w:sz="0" w:space="0" w:color="auto"/>
        <w:left w:val="none" w:sz="0" w:space="0" w:color="auto"/>
        <w:bottom w:val="none" w:sz="0" w:space="0" w:color="auto"/>
        <w:right w:val="none" w:sz="0" w:space="0" w:color="auto"/>
      </w:divBdr>
    </w:div>
    <w:div w:id="359552401">
      <w:bodyDiv w:val="1"/>
      <w:marLeft w:val="0"/>
      <w:marRight w:val="0"/>
      <w:marTop w:val="0"/>
      <w:marBottom w:val="0"/>
      <w:divBdr>
        <w:top w:val="none" w:sz="0" w:space="0" w:color="auto"/>
        <w:left w:val="none" w:sz="0" w:space="0" w:color="auto"/>
        <w:bottom w:val="none" w:sz="0" w:space="0" w:color="auto"/>
        <w:right w:val="none" w:sz="0" w:space="0" w:color="auto"/>
      </w:divBdr>
    </w:div>
    <w:div w:id="369376376">
      <w:bodyDiv w:val="1"/>
      <w:marLeft w:val="0"/>
      <w:marRight w:val="0"/>
      <w:marTop w:val="0"/>
      <w:marBottom w:val="0"/>
      <w:divBdr>
        <w:top w:val="none" w:sz="0" w:space="0" w:color="auto"/>
        <w:left w:val="none" w:sz="0" w:space="0" w:color="auto"/>
        <w:bottom w:val="none" w:sz="0" w:space="0" w:color="auto"/>
        <w:right w:val="none" w:sz="0" w:space="0" w:color="auto"/>
      </w:divBdr>
    </w:div>
    <w:div w:id="402413890">
      <w:bodyDiv w:val="1"/>
      <w:marLeft w:val="0"/>
      <w:marRight w:val="0"/>
      <w:marTop w:val="0"/>
      <w:marBottom w:val="0"/>
      <w:divBdr>
        <w:top w:val="none" w:sz="0" w:space="0" w:color="auto"/>
        <w:left w:val="none" w:sz="0" w:space="0" w:color="auto"/>
        <w:bottom w:val="none" w:sz="0" w:space="0" w:color="auto"/>
        <w:right w:val="none" w:sz="0" w:space="0" w:color="auto"/>
      </w:divBdr>
    </w:div>
    <w:div w:id="472677465">
      <w:bodyDiv w:val="1"/>
      <w:marLeft w:val="0"/>
      <w:marRight w:val="0"/>
      <w:marTop w:val="0"/>
      <w:marBottom w:val="0"/>
      <w:divBdr>
        <w:top w:val="none" w:sz="0" w:space="0" w:color="auto"/>
        <w:left w:val="none" w:sz="0" w:space="0" w:color="auto"/>
        <w:bottom w:val="none" w:sz="0" w:space="0" w:color="auto"/>
        <w:right w:val="none" w:sz="0" w:space="0" w:color="auto"/>
      </w:divBdr>
    </w:div>
    <w:div w:id="559167949">
      <w:bodyDiv w:val="1"/>
      <w:marLeft w:val="0"/>
      <w:marRight w:val="0"/>
      <w:marTop w:val="0"/>
      <w:marBottom w:val="0"/>
      <w:divBdr>
        <w:top w:val="none" w:sz="0" w:space="0" w:color="auto"/>
        <w:left w:val="none" w:sz="0" w:space="0" w:color="auto"/>
        <w:bottom w:val="none" w:sz="0" w:space="0" w:color="auto"/>
        <w:right w:val="none" w:sz="0" w:space="0" w:color="auto"/>
      </w:divBdr>
    </w:div>
    <w:div w:id="568883333">
      <w:bodyDiv w:val="1"/>
      <w:marLeft w:val="0"/>
      <w:marRight w:val="0"/>
      <w:marTop w:val="0"/>
      <w:marBottom w:val="0"/>
      <w:divBdr>
        <w:top w:val="none" w:sz="0" w:space="0" w:color="auto"/>
        <w:left w:val="none" w:sz="0" w:space="0" w:color="auto"/>
        <w:bottom w:val="none" w:sz="0" w:space="0" w:color="auto"/>
        <w:right w:val="none" w:sz="0" w:space="0" w:color="auto"/>
      </w:divBdr>
    </w:div>
    <w:div w:id="577254385">
      <w:bodyDiv w:val="1"/>
      <w:marLeft w:val="0"/>
      <w:marRight w:val="0"/>
      <w:marTop w:val="0"/>
      <w:marBottom w:val="0"/>
      <w:divBdr>
        <w:top w:val="none" w:sz="0" w:space="0" w:color="auto"/>
        <w:left w:val="none" w:sz="0" w:space="0" w:color="auto"/>
        <w:bottom w:val="none" w:sz="0" w:space="0" w:color="auto"/>
        <w:right w:val="none" w:sz="0" w:space="0" w:color="auto"/>
      </w:divBdr>
    </w:div>
    <w:div w:id="725566800">
      <w:bodyDiv w:val="1"/>
      <w:marLeft w:val="0"/>
      <w:marRight w:val="0"/>
      <w:marTop w:val="0"/>
      <w:marBottom w:val="0"/>
      <w:divBdr>
        <w:top w:val="none" w:sz="0" w:space="0" w:color="auto"/>
        <w:left w:val="none" w:sz="0" w:space="0" w:color="auto"/>
        <w:bottom w:val="none" w:sz="0" w:space="0" w:color="auto"/>
        <w:right w:val="none" w:sz="0" w:space="0" w:color="auto"/>
      </w:divBdr>
    </w:div>
    <w:div w:id="860556462">
      <w:bodyDiv w:val="1"/>
      <w:marLeft w:val="0"/>
      <w:marRight w:val="0"/>
      <w:marTop w:val="0"/>
      <w:marBottom w:val="0"/>
      <w:divBdr>
        <w:top w:val="none" w:sz="0" w:space="0" w:color="auto"/>
        <w:left w:val="none" w:sz="0" w:space="0" w:color="auto"/>
        <w:bottom w:val="none" w:sz="0" w:space="0" w:color="auto"/>
        <w:right w:val="none" w:sz="0" w:space="0" w:color="auto"/>
      </w:divBdr>
    </w:div>
    <w:div w:id="977495894">
      <w:bodyDiv w:val="1"/>
      <w:marLeft w:val="0"/>
      <w:marRight w:val="0"/>
      <w:marTop w:val="0"/>
      <w:marBottom w:val="0"/>
      <w:divBdr>
        <w:top w:val="none" w:sz="0" w:space="0" w:color="auto"/>
        <w:left w:val="none" w:sz="0" w:space="0" w:color="auto"/>
        <w:bottom w:val="none" w:sz="0" w:space="0" w:color="auto"/>
        <w:right w:val="none" w:sz="0" w:space="0" w:color="auto"/>
      </w:divBdr>
    </w:div>
    <w:div w:id="1047870757">
      <w:bodyDiv w:val="1"/>
      <w:marLeft w:val="0"/>
      <w:marRight w:val="0"/>
      <w:marTop w:val="0"/>
      <w:marBottom w:val="0"/>
      <w:divBdr>
        <w:top w:val="none" w:sz="0" w:space="0" w:color="auto"/>
        <w:left w:val="none" w:sz="0" w:space="0" w:color="auto"/>
        <w:bottom w:val="none" w:sz="0" w:space="0" w:color="auto"/>
        <w:right w:val="none" w:sz="0" w:space="0" w:color="auto"/>
      </w:divBdr>
    </w:div>
    <w:div w:id="1146359530">
      <w:bodyDiv w:val="1"/>
      <w:marLeft w:val="0"/>
      <w:marRight w:val="0"/>
      <w:marTop w:val="0"/>
      <w:marBottom w:val="0"/>
      <w:divBdr>
        <w:top w:val="none" w:sz="0" w:space="0" w:color="auto"/>
        <w:left w:val="none" w:sz="0" w:space="0" w:color="auto"/>
        <w:bottom w:val="none" w:sz="0" w:space="0" w:color="auto"/>
        <w:right w:val="none" w:sz="0" w:space="0" w:color="auto"/>
      </w:divBdr>
    </w:div>
    <w:div w:id="1336306785">
      <w:bodyDiv w:val="1"/>
      <w:marLeft w:val="0"/>
      <w:marRight w:val="0"/>
      <w:marTop w:val="0"/>
      <w:marBottom w:val="0"/>
      <w:divBdr>
        <w:top w:val="none" w:sz="0" w:space="0" w:color="auto"/>
        <w:left w:val="none" w:sz="0" w:space="0" w:color="auto"/>
        <w:bottom w:val="none" w:sz="0" w:space="0" w:color="auto"/>
        <w:right w:val="none" w:sz="0" w:space="0" w:color="auto"/>
      </w:divBdr>
    </w:div>
    <w:div w:id="1408847386">
      <w:bodyDiv w:val="1"/>
      <w:marLeft w:val="0"/>
      <w:marRight w:val="0"/>
      <w:marTop w:val="0"/>
      <w:marBottom w:val="0"/>
      <w:divBdr>
        <w:top w:val="none" w:sz="0" w:space="0" w:color="auto"/>
        <w:left w:val="none" w:sz="0" w:space="0" w:color="auto"/>
        <w:bottom w:val="none" w:sz="0" w:space="0" w:color="auto"/>
        <w:right w:val="none" w:sz="0" w:space="0" w:color="auto"/>
      </w:divBdr>
    </w:div>
    <w:div w:id="1451515326">
      <w:bodyDiv w:val="1"/>
      <w:marLeft w:val="0"/>
      <w:marRight w:val="0"/>
      <w:marTop w:val="0"/>
      <w:marBottom w:val="0"/>
      <w:divBdr>
        <w:top w:val="none" w:sz="0" w:space="0" w:color="auto"/>
        <w:left w:val="none" w:sz="0" w:space="0" w:color="auto"/>
        <w:bottom w:val="none" w:sz="0" w:space="0" w:color="auto"/>
        <w:right w:val="none" w:sz="0" w:space="0" w:color="auto"/>
      </w:divBdr>
    </w:div>
    <w:div w:id="1453019581">
      <w:bodyDiv w:val="1"/>
      <w:marLeft w:val="0"/>
      <w:marRight w:val="0"/>
      <w:marTop w:val="0"/>
      <w:marBottom w:val="0"/>
      <w:divBdr>
        <w:top w:val="none" w:sz="0" w:space="0" w:color="auto"/>
        <w:left w:val="none" w:sz="0" w:space="0" w:color="auto"/>
        <w:bottom w:val="none" w:sz="0" w:space="0" w:color="auto"/>
        <w:right w:val="none" w:sz="0" w:space="0" w:color="auto"/>
      </w:divBdr>
    </w:div>
    <w:div w:id="1505582830">
      <w:bodyDiv w:val="1"/>
      <w:marLeft w:val="0"/>
      <w:marRight w:val="0"/>
      <w:marTop w:val="0"/>
      <w:marBottom w:val="0"/>
      <w:divBdr>
        <w:top w:val="none" w:sz="0" w:space="0" w:color="auto"/>
        <w:left w:val="none" w:sz="0" w:space="0" w:color="auto"/>
        <w:bottom w:val="none" w:sz="0" w:space="0" w:color="auto"/>
        <w:right w:val="none" w:sz="0" w:space="0" w:color="auto"/>
      </w:divBdr>
    </w:div>
    <w:div w:id="1548683790">
      <w:bodyDiv w:val="1"/>
      <w:marLeft w:val="0"/>
      <w:marRight w:val="0"/>
      <w:marTop w:val="0"/>
      <w:marBottom w:val="0"/>
      <w:divBdr>
        <w:top w:val="none" w:sz="0" w:space="0" w:color="auto"/>
        <w:left w:val="none" w:sz="0" w:space="0" w:color="auto"/>
        <w:bottom w:val="none" w:sz="0" w:space="0" w:color="auto"/>
        <w:right w:val="none" w:sz="0" w:space="0" w:color="auto"/>
      </w:divBdr>
    </w:div>
    <w:div w:id="1627395411">
      <w:bodyDiv w:val="1"/>
      <w:marLeft w:val="0"/>
      <w:marRight w:val="0"/>
      <w:marTop w:val="0"/>
      <w:marBottom w:val="0"/>
      <w:divBdr>
        <w:top w:val="none" w:sz="0" w:space="0" w:color="auto"/>
        <w:left w:val="none" w:sz="0" w:space="0" w:color="auto"/>
        <w:bottom w:val="none" w:sz="0" w:space="0" w:color="auto"/>
        <w:right w:val="none" w:sz="0" w:space="0" w:color="auto"/>
      </w:divBdr>
    </w:div>
    <w:div w:id="1628704352">
      <w:bodyDiv w:val="1"/>
      <w:marLeft w:val="0"/>
      <w:marRight w:val="0"/>
      <w:marTop w:val="0"/>
      <w:marBottom w:val="0"/>
      <w:divBdr>
        <w:top w:val="none" w:sz="0" w:space="0" w:color="auto"/>
        <w:left w:val="none" w:sz="0" w:space="0" w:color="auto"/>
        <w:bottom w:val="none" w:sz="0" w:space="0" w:color="auto"/>
        <w:right w:val="none" w:sz="0" w:space="0" w:color="auto"/>
      </w:divBdr>
    </w:div>
    <w:div w:id="1649280966">
      <w:bodyDiv w:val="1"/>
      <w:marLeft w:val="0"/>
      <w:marRight w:val="0"/>
      <w:marTop w:val="0"/>
      <w:marBottom w:val="0"/>
      <w:divBdr>
        <w:top w:val="none" w:sz="0" w:space="0" w:color="auto"/>
        <w:left w:val="none" w:sz="0" w:space="0" w:color="auto"/>
        <w:bottom w:val="none" w:sz="0" w:space="0" w:color="auto"/>
        <w:right w:val="none" w:sz="0" w:space="0" w:color="auto"/>
      </w:divBdr>
    </w:div>
    <w:div w:id="1734965582">
      <w:bodyDiv w:val="1"/>
      <w:marLeft w:val="0"/>
      <w:marRight w:val="0"/>
      <w:marTop w:val="0"/>
      <w:marBottom w:val="0"/>
      <w:divBdr>
        <w:top w:val="none" w:sz="0" w:space="0" w:color="auto"/>
        <w:left w:val="none" w:sz="0" w:space="0" w:color="auto"/>
        <w:bottom w:val="none" w:sz="0" w:space="0" w:color="auto"/>
        <w:right w:val="none" w:sz="0" w:space="0" w:color="auto"/>
      </w:divBdr>
    </w:div>
    <w:div w:id="1765881182">
      <w:bodyDiv w:val="1"/>
      <w:marLeft w:val="0"/>
      <w:marRight w:val="0"/>
      <w:marTop w:val="0"/>
      <w:marBottom w:val="0"/>
      <w:divBdr>
        <w:top w:val="none" w:sz="0" w:space="0" w:color="auto"/>
        <w:left w:val="none" w:sz="0" w:space="0" w:color="auto"/>
        <w:bottom w:val="none" w:sz="0" w:space="0" w:color="auto"/>
        <w:right w:val="none" w:sz="0" w:space="0" w:color="auto"/>
      </w:divBdr>
    </w:div>
    <w:div w:id="1796212411">
      <w:bodyDiv w:val="1"/>
      <w:marLeft w:val="0"/>
      <w:marRight w:val="0"/>
      <w:marTop w:val="0"/>
      <w:marBottom w:val="0"/>
      <w:divBdr>
        <w:top w:val="none" w:sz="0" w:space="0" w:color="auto"/>
        <w:left w:val="none" w:sz="0" w:space="0" w:color="auto"/>
        <w:bottom w:val="none" w:sz="0" w:space="0" w:color="auto"/>
        <w:right w:val="none" w:sz="0" w:space="0" w:color="auto"/>
      </w:divBdr>
    </w:div>
    <w:div w:id="1993294978">
      <w:bodyDiv w:val="1"/>
      <w:marLeft w:val="0"/>
      <w:marRight w:val="0"/>
      <w:marTop w:val="0"/>
      <w:marBottom w:val="0"/>
      <w:divBdr>
        <w:top w:val="none" w:sz="0" w:space="0" w:color="auto"/>
        <w:left w:val="none" w:sz="0" w:space="0" w:color="auto"/>
        <w:bottom w:val="none" w:sz="0" w:space="0" w:color="auto"/>
        <w:right w:val="none" w:sz="0" w:space="0" w:color="auto"/>
      </w:divBdr>
    </w:div>
    <w:div w:id="209905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Ketevan Goginashvili</cp:lastModifiedBy>
  <cp:revision>8</cp:revision>
  <dcterms:created xsi:type="dcterms:W3CDTF">2020-07-07T11:55:00Z</dcterms:created>
  <dcterms:modified xsi:type="dcterms:W3CDTF">2020-07-07T13:50:00Z</dcterms:modified>
</cp:coreProperties>
</file>