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BCA" w:rsidRDefault="00B47BCA" w:rsidP="00E555E5">
      <w:pPr>
        <w:spacing w:after="120" w:line="276" w:lineRule="auto"/>
        <w:contextualSpacing/>
        <w:jc w:val="center"/>
        <w:rPr>
          <w:rFonts w:ascii="Sylfaen" w:eastAsia="Helvetica" w:hAnsi="Sylfaen" w:cs="Sylfaen"/>
          <w:b/>
          <w:lang w:val="ka-GE"/>
        </w:rPr>
      </w:pPr>
    </w:p>
    <w:p w:rsidR="0004048F" w:rsidRPr="007B0967" w:rsidRDefault="007B0967" w:rsidP="0004048F">
      <w:pPr>
        <w:spacing w:after="120" w:line="276" w:lineRule="auto"/>
        <w:contextualSpacing/>
        <w:jc w:val="center"/>
        <w:rPr>
          <w:rFonts w:ascii="Sylfaen" w:eastAsia="Helvetica" w:hAnsi="Sylfaen" w:cs="Sylfaen"/>
          <w:b/>
          <w:bCs/>
          <w:lang w:val="ka-GE"/>
        </w:rPr>
      </w:pPr>
      <w:r w:rsidRPr="007B0967">
        <w:rPr>
          <w:rFonts w:ascii="Sylfaen" w:eastAsia="Helvetica" w:hAnsi="Sylfaen" w:cs="Sylfaen"/>
          <w:b/>
          <w:bCs/>
          <w:lang w:val="ka-GE"/>
        </w:rPr>
        <w:t>ევროკავშირსა და საქართველოს შორის ურთიერთგაგების მემორანდუმი საქართველოს მაკრო-ფინანსური დახმარების შესახებ (45 მლნ ევრო)</w:t>
      </w:r>
    </w:p>
    <w:p w:rsidR="007B0967" w:rsidRDefault="007B0967" w:rsidP="0004048F">
      <w:pPr>
        <w:spacing w:after="120" w:line="276" w:lineRule="auto"/>
        <w:contextualSpacing/>
        <w:jc w:val="center"/>
        <w:rPr>
          <w:rFonts w:ascii="Sylfaen" w:eastAsia="Helvetica" w:hAnsi="Sylfaen" w:cs="Sylfaen"/>
          <w:b/>
          <w:bCs/>
        </w:rPr>
      </w:pPr>
    </w:p>
    <w:p w:rsidR="0004048F" w:rsidRPr="0004048F" w:rsidRDefault="0004048F" w:rsidP="0004048F">
      <w:pPr>
        <w:spacing w:after="120" w:line="276" w:lineRule="auto"/>
        <w:contextualSpacing/>
        <w:jc w:val="center"/>
        <w:rPr>
          <w:rFonts w:ascii="Sylfaen" w:eastAsia="Helvetica" w:hAnsi="Sylfaen" w:cs="Sylfaen"/>
          <w:b/>
          <w:bCs/>
        </w:rPr>
      </w:pPr>
      <w:r w:rsidRPr="0004048F">
        <w:rPr>
          <w:rFonts w:ascii="Sylfaen" w:eastAsia="Helvetica" w:hAnsi="Sylfaen" w:cs="Sylfaen"/>
          <w:b/>
          <w:bCs/>
          <w:lang w:val="ka-GE"/>
        </w:rPr>
        <w:t>აღებული ვალდებულებების შესრულების შესახებ ინფორმაცია</w:t>
      </w:r>
    </w:p>
    <w:p w:rsidR="0004048F" w:rsidRDefault="0004048F" w:rsidP="00E555E5">
      <w:pPr>
        <w:spacing w:after="120" w:line="276" w:lineRule="auto"/>
        <w:contextualSpacing/>
        <w:jc w:val="center"/>
        <w:rPr>
          <w:rFonts w:ascii="Sylfaen" w:eastAsia="Helvetica" w:hAnsi="Sylfaen" w:cs="Sylfaen"/>
          <w:b/>
          <w:bCs/>
        </w:rPr>
      </w:pPr>
    </w:p>
    <w:p w:rsidR="0004048F" w:rsidRPr="0004048F" w:rsidRDefault="0004048F" w:rsidP="00E555E5">
      <w:pPr>
        <w:spacing w:after="120" w:line="276" w:lineRule="auto"/>
        <w:contextualSpacing/>
        <w:jc w:val="center"/>
        <w:rPr>
          <w:rFonts w:ascii="Sylfaen" w:eastAsia="Helvetica" w:hAnsi="Sylfaen" w:cstheme="minorHAnsi"/>
          <w:b/>
        </w:rPr>
      </w:pPr>
    </w:p>
    <w:p w:rsidR="00EF6A8E" w:rsidRPr="00B47BCA" w:rsidRDefault="00EF6A8E" w:rsidP="005F7E39">
      <w:pPr>
        <w:spacing w:after="120" w:line="276" w:lineRule="auto"/>
        <w:contextualSpacing/>
        <w:jc w:val="both"/>
        <w:rPr>
          <w:rFonts w:ascii="Sylfaen" w:hAnsi="Sylfaen" w:cs="Sylfaen"/>
          <w:b/>
          <w:u w:val="single"/>
          <w:lang w:val="ka-GE"/>
        </w:rPr>
      </w:pPr>
      <w:r w:rsidRPr="00B47BCA">
        <w:rPr>
          <w:rFonts w:ascii="Sylfaen" w:hAnsi="Sylfaen" w:cs="Sylfaen"/>
          <w:b/>
          <w:u w:val="single"/>
          <w:lang w:val="ka-GE"/>
        </w:rPr>
        <w:t>ჯან</w:t>
      </w:r>
      <w:r w:rsidR="00302E54" w:rsidRPr="00B47BCA">
        <w:rPr>
          <w:rFonts w:ascii="Sylfaen" w:hAnsi="Sylfaen" w:cs="Sylfaen"/>
          <w:b/>
          <w:u w:val="single"/>
          <w:lang w:val="ka-GE"/>
        </w:rPr>
        <w:t>მრთელობის დაცვის მიმართულებით:</w:t>
      </w:r>
    </w:p>
    <w:p w:rsidR="00EF6A8E" w:rsidRDefault="00EF6A8E" w:rsidP="005F7E39">
      <w:pPr>
        <w:spacing w:after="120" w:line="276" w:lineRule="auto"/>
        <w:contextualSpacing/>
        <w:jc w:val="both"/>
        <w:rPr>
          <w:rFonts w:ascii="Sylfaen" w:hAnsi="Sylfaen" w:cstheme="minorHAnsi"/>
          <w:lang w:val="ka-GE"/>
        </w:rPr>
      </w:pPr>
      <w:r w:rsidRPr="00B47BCA">
        <w:rPr>
          <w:rFonts w:ascii="Sylfaen" w:hAnsi="Sylfaen" w:cs="Sylfaen"/>
          <w:lang w:val="ka-GE"/>
        </w:rPr>
        <w:t>მე</w:t>
      </w:r>
      <w:r w:rsidRPr="00B47BCA">
        <w:rPr>
          <w:rFonts w:ascii="Sylfaen" w:hAnsi="Sylfaen" w:cstheme="minorHAnsi"/>
          <w:lang w:val="ka-GE"/>
        </w:rPr>
        <w:t xml:space="preserve">-6 </w:t>
      </w:r>
      <w:r w:rsidRPr="00B47BCA">
        <w:rPr>
          <w:rFonts w:ascii="Sylfaen" w:hAnsi="Sylfaen" w:cs="Sylfaen"/>
          <w:lang w:val="ka-GE"/>
        </w:rPr>
        <w:t>პარაგრაფი</w:t>
      </w:r>
      <w:r w:rsidRPr="00B47BCA">
        <w:rPr>
          <w:rFonts w:ascii="Sylfaen" w:hAnsi="Sylfaen" w:cstheme="minorHAnsi"/>
          <w:lang w:val="ka-GE"/>
        </w:rPr>
        <w:t xml:space="preserve">: </w:t>
      </w:r>
      <w:r w:rsidRPr="00B47BCA">
        <w:rPr>
          <w:rFonts w:ascii="Sylfaen" w:hAnsi="Sylfaen" w:cs="Sylfaen"/>
          <w:lang w:val="ka-GE"/>
        </w:rPr>
        <w:t>საყოველთაო</w:t>
      </w:r>
      <w:r w:rsidRPr="00B47BCA">
        <w:rPr>
          <w:rFonts w:ascii="Sylfaen" w:hAnsi="Sylfaen" w:cstheme="minorHAnsi"/>
          <w:lang w:val="ka-GE"/>
        </w:rPr>
        <w:t xml:space="preserve"> </w:t>
      </w:r>
      <w:r w:rsidRPr="00B47BCA">
        <w:rPr>
          <w:rFonts w:ascii="Sylfaen" w:hAnsi="Sylfaen" w:cs="Sylfaen"/>
          <w:lang w:val="ka-GE"/>
        </w:rPr>
        <w:t>ჯანდაცვა</w:t>
      </w:r>
      <w:r w:rsidRPr="00B47BCA">
        <w:rPr>
          <w:rFonts w:ascii="Sylfaen" w:hAnsi="Sylfaen" w:cstheme="minorHAnsi"/>
          <w:lang w:val="ka-GE"/>
        </w:rPr>
        <w:t xml:space="preserve">: </w:t>
      </w:r>
      <w:r w:rsidRPr="00B47BCA">
        <w:rPr>
          <w:rFonts w:ascii="Sylfaen" w:hAnsi="Sylfaen" w:cs="Sylfaen"/>
          <w:lang w:val="ka-GE"/>
        </w:rPr>
        <w:t>საყოველთაო</w:t>
      </w:r>
      <w:r w:rsidRPr="00B47BCA">
        <w:rPr>
          <w:rFonts w:ascii="Sylfaen" w:hAnsi="Sylfaen" w:cstheme="minorHAnsi"/>
          <w:lang w:val="ka-GE"/>
        </w:rPr>
        <w:t xml:space="preserve"> </w:t>
      </w:r>
      <w:r w:rsidRPr="00B47BCA">
        <w:rPr>
          <w:rFonts w:ascii="Sylfaen" w:hAnsi="Sylfaen" w:cs="Sylfaen"/>
          <w:lang w:val="ka-GE"/>
        </w:rPr>
        <w:t>ჯანდაცვის</w:t>
      </w:r>
      <w:r w:rsidRPr="00B47BCA">
        <w:rPr>
          <w:rFonts w:ascii="Sylfaen" w:hAnsi="Sylfaen" w:cstheme="minorHAnsi"/>
          <w:lang w:val="ka-GE"/>
        </w:rPr>
        <w:t xml:space="preserve"> </w:t>
      </w:r>
      <w:r w:rsidRPr="00B47BCA">
        <w:rPr>
          <w:rFonts w:ascii="Sylfaen" w:hAnsi="Sylfaen" w:cs="Sylfaen"/>
          <w:lang w:val="ka-GE"/>
        </w:rPr>
        <w:t>სერვისების</w:t>
      </w:r>
      <w:r w:rsidRPr="00B47BCA">
        <w:rPr>
          <w:rFonts w:ascii="Sylfaen" w:hAnsi="Sylfaen" w:cstheme="minorHAnsi"/>
          <w:lang w:val="ka-GE"/>
        </w:rPr>
        <w:t xml:space="preserve"> </w:t>
      </w:r>
      <w:r w:rsidRPr="00B47BCA">
        <w:rPr>
          <w:rFonts w:ascii="Sylfaen" w:hAnsi="Sylfaen" w:cs="Sylfaen"/>
          <w:lang w:val="ka-GE"/>
        </w:rPr>
        <w:t>მდგრადობის</w:t>
      </w:r>
      <w:r w:rsidRPr="00B47BCA">
        <w:rPr>
          <w:rFonts w:ascii="Sylfaen" w:hAnsi="Sylfaen" w:cstheme="minorHAnsi"/>
          <w:lang w:val="ka-GE"/>
        </w:rPr>
        <w:t xml:space="preserve"> </w:t>
      </w:r>
      <w:r w:rsidRPr="00B47BCA">
        <w:rPr>
          <w:rFonts w:ascii="Sylfaen" w:hAnsi="Sylfaen" w:cs="Sylfaen"/>
          <w:lang w:val="ka-GE"/>
        </w:rPr>
        <w:t>უზრუნველყოფის</w:t>
      </w:r>
      <w:r w:rsidRPr="00B47BCA">
        <w:rPr>
          <w:rFonts w:ascii="Sylfaen" w:hAnsi="Sylfaen" w:cstheme="minorHAnsi"/>
          <w:lang w:val="ka-GE"/>
        </w:rPr>
        <w:t xml:space="preserve"> </w:t>
      </w:r>
      <w:r w:rsidRPr="00B47BCA">
        <w:rPr>
          <w:rFonts w:ascii="Sylfaen" w:hAnsi="Sylfaen" w:cs="Sylfaen"/>
          <w:lang w:val="ka-GE"/>
        </w:rPr>
        <w:t>მიზნით</w:t>
      </w:r>
      <w:r w:rsidRPr="00B47BCA">
        <w:rPr>
          <w:rFonts w:ascii="Sylfaen" w:hAnsi="Sylfaen" w:cstheme="minorHAnsi"/>
          <w:lang w:val="ka-GE"/>
        </w:rPr>
        <w:t xml:space="preserve">, </w:t>
      </w:r>
      <w:r w:rsidRPr="00B47BCA">
        <w:rPr>
          <w:rFonts w:ascii="Sylfaen" w:hAnsi="Sylfaen" w:cs="Sylfaen"/>
          <w:lang w:val="ka-GE"/>
        </w:rPr>
        <w:t>სოციალური</w:t>
      </w:r>
      <w:r w:rsidRPr="00B47BCA">
        <w:rPr>
          <w:rFonts w:ascii="Sylfaen" w:hAnsi="Sylfaen" w:cstheme="minorHAnsi"/>
          <w:lang w:val="ka-GE"/>
        </w:rPr>
        <w:t xml:space="preserve"> </w:t>
      </w:r>
      <w:r w:rsidRPr="00B47BCA">
        <w:rPr>
          <w:rFonts w:ascii="Sylfaen" w:hAnsi="Sylfaen" w:cs="Sylfaen"/>
          <w:lang w:val="ka-GE"/>
        </w:rPr>
        <w:t>მომსახურების</w:t>
      </w:r>
      <w:r w:rsidRPr="00B47BCA">
        <w:rPr>
          <w:rFonts w:ascii="Sylfaen" w:hAnsi="Sylfaen" w:cstheme="minorHAnsi"/>
          <w:lang w:val="ka-GE"/>
        </w:rPr>
        <w:t xml:space="preserve"> </w:t>
      </w:r>
      <w:r w:rsidRPr="00B47BCA">
        <w:rPr>
          <w:rFonts w:ascii="Sylfaen" w:hAnsi="Sylfaen" w:cs="Sylfaen"/>
          <w:lang w:val="ka-GE"/>
        </w:rPr>
        <w:t>სააგენტო</w:t>
      </w:r>
      <w:r w:rsidRPr="00B47BCA">
        <w:rPr>
          <w:rFonts w:ascii="Sylfaen" w:hAnsi="Sylfaen" w:cstheme="minorHAnsi"/>
          <w:lang w:val="ka-GE"/>
        </w:rPr>
        <w:t xml:space="preserve"> </w:t>
      </w:r>
      <w:r w:rsidRPr="00B47BCA">
        <w:rPr>
          <w:rFonts w:ascii="Sylfaen" w:hAnsi="Sylfaen" w:cs="Sylfaen"/>
          <w:lang w:val="ka-GE"/>
        </w:rPr>
        <w:t>გააგრძელებს</w:t>
      </w:r>
      <w:r w:rsidRPr="00B47BCA">
        <w:rPr>
          <w:rFonts w:ascii="Sylfaen" w:hAnsi="Sylfaen" w:cstheme="minorHAnsi"/>
          <w:lang w:val="ka-GE"/>
        </w:rPr>
        <w:t xml:space="preserve"> </w:t>
      </w:r>
      <w:r w:rsidRPr="00B47BCA">
        <w:rPr>
          <w:rFonts w:ascii="Sylfaen" w:hAnsi="Sylfaen" w:cs="Sylfaen"/>
          <w:lang w:val="ka-GE"/>
        </w:rPr>
        <w:t>სელექტიური</w:t>
      </w:r>
      <w:r w:rsidRPr="00B47BCA">
        <w:rPr>
          <w:rFonts w:ascii="Sylfaen" w:hAnsi="Sylfaen" w:cstheme="minorHAnsi"/>
          <w:lang w:val="ka-GE"/>
        </w:rPr>
        <w:t xml:space="preserve"> </w:t>
      </w:r>
      <w:r w:rsidRPr="00B47BCA">
        <w:rPr>
          <w:rFonts w:ascii="Sylfaen" w:hAnsi="Sylfaen" w:cs="Sylfaen"/>
          <w:lang w:val="ka-GE"/>
        </w:rPr>
        <w:t>კონტრაქტების</w:t>
      </w:r>
      <w:r w:rsidRPr="00B47BCA">
        <w:rPr>
          <w:rFonts w:ascii="Sylfaen" w:hAnsi="Sylfaen" w:cstheme="minorHAnsi"/>
          <w:lang w:val="ka-GE"/>
        </w:rPr>
        <w:t xml:space="preserve"> </w:t>
      </w:r>
      <w:r w:rsidRPr="00B47BCA">
        <w:rPr>
          <w:rFonts w:ascii="Sylfaen" w:hAnsi="Sylfaen" w:cs="Sylfaen"/>
          <w:lang w:val="ka-GE"/>
        </w:rPr>
        <w:t>დანერგვის</w:t>
      </w:r>
      <w:r w:rsidRPr="00B47BCA">
        <w:rPr>
          <w:rFonts w:ascii="Sylfaen" w:hAnsi="Sylfaen" w:cstheme="minorHAnsi"/>
          <w:lang w:val="ka-GE"/>
        </w:rPr>
        <w:t xml:space="preserve"> </w:t>
      </w:r>
      <w:r w:rsidR="00302E54" w:rsidRPr="00B47BCA">
        <w:rPr>
          <w:rFonts w:ascii="Sylfaen" w:hAnsi="Sylfaen" w:cs="Sylfaen"/>
          <w:lang w:val="ka-GE"/>
        </w:rPr>
        <w:t>გაფართო</w:t>
      </w:r>
      <w:r w:rsidRPr="00B47BCA">
        <w:rPr>
          <w:rFonts w:ascii="Sylfaen" w:hAnsi="Sylfaen" w:cs="Sylfaen"/>
          <w:lang w:val="ka-GE"/>
        </w:rPr>
        <w:t>ებას</w:t>
      </w:r>
      <w:r w:rsidRPr="00B47BCA">
        <w:rPr>
          <w:rFonts w:ascii="Sylfaen" w:hAnsi="Sylfaen" w:cstheme="minorHAnsi"/>
          <w:lang w:val="ka-GE"/>
        </w:rPr>
        <w:t xml:space="preserve"> </w:t>
      </w:r>
      <w:r w:rsidRPr="00B47BCA">
        <w:rPr>
          <w:rFonts w:ascii="Sylfaen" w:hAnsi="Sylfaen" w:cs="Sylfaen"/>
          <w:lang w:val="ka-GE"/>
        </w:rPr>
        <w:t>უფრო</w:t>
      </w:r>
      <w:r w:rsidRPr="00B47BCA">
        <w:rPr>
          <w:rFonts w:ascii="Sylfaen" w:hAnsi="Sylfaen" w:cstheme="minorHAnsi"/>
          <w:lang w:val="ka-GE"/>
        </w:rPr>
        <w:t xml:space="preserve"> </w:t>
      </w:r>
      <w:r w:rsidRPr="00B47BCA">
        <w:rPr>
          <w:rFonts w:ascii="Sylfaen" w:hAnsi="Sylfaen" w:cs="Sylfaen"/>
          <w:lang w:val="ka-GE"/>
        </w:rPr>
        <w:t>მარალფასიანი</w:t>
      </w:r>
      <w:r w:rsidRPr="00B47BCA">
        <w:rPr>
          <w:rFonts w:ascii="Sylfaen" w:hAnsi="Sylfaen" w:cstheme="minorHAnsi"/>
          <w:lang w:val="ka-GE"/>
        </w:rPr>
        <w:t xml:space="preserve"> </w:t>
      </w:r>
      <w:r w:rsidRPr="00B47BCA">
        <w:rPr>
          <w:rFonts w:ascii="Sylfaen" w:hAnsi="Sylfaen" w:cs="Sylfaen"/>
          <w:lang w:val="ka-GE"/>
        </w:rPr>
        <w:t>სერვისებისთვის</w:t>
      </w:r>
      <w:r w:rsidRPr="00B47BCA">
        <w:rPr>
          <w:rFonts w:ascii="Sylfaen" w:hAnsi="Sylfaen" w:cstheme="minorHAnsi"/>
          <w:lang w:val="ka-GE"/>
        </w:rPr>
        <w:t xml:space="preserve">, </w:t>
      </w:r>
      <w:r w:rsidRPr="00B47BCA">
        <w:rPr>
          <w:rFonts w:ascii="Sylfaen" w:hAnsi="Sylfaen" w:cs="Sylfaen"/>
          <w:lang w:val="ka-GE"/>
        </w:rPr>
        <w:t>რომელიც</w:t>
      </w:r>
      <w:r w:rsidRPr="00B47BCA">
        <w:rPr>
          <w:rFonts w:ascii="Sylfaen" w:hAnsi="Sylfaen" w:cstheme="minorHAnsi"/>
          <w:lang w:val="ka-GE"/>
        </w:rPr>
        <w:t xml:space="preserve"> </w:t>
      </w:r>
      <w:r w:rsidRPr="00B47BCA">
        <w:rPr>
          <w:rFonts w:ascii="Sylfaen" w:hAnsi="Sylfaen" w:cs="Sylfaen"/>
          <w:lang w:val="ka-GE"/>
        </w:rPr>
        <w:t>ამჟამად</w:t>
      </w:r>
      <w:r w:rsidRPr="00B47BCA">
        <w:rPr>
          <w:rFonts w:ascii="Sylfaen" w:hAnsi="Sylfaen" w:cstheme="minorHAnsi"/>
          <w:lang w:val="ka-GE"/>
        </w:rPr>
        <w:t xml:space="preserve"> </w:t>
      </w:r>
      <w:r w:rsidRPr="00B47BCA">
        <w:rPr>
          <w:rFonts w:ascii="Sylfaen" w:hAnsi="Sylfaen" w:cs="Sylfaen"/>
          <w:lang w:val="ka-GE"/>
        </w:rPr>
        <w:t>ფარავს</w:t>
      </w:r>
      <w:r w:rsidRPr="00B47BCA">
        <w:rPr>
          <w:rFonts w:ascii="Sylfaen" w:hAnsi="Sylfaen" w:cstheme="minorHAnsi"/>
          <w:lang w:val="ka-GE"/>
        </w:rPr>
        <w:t xml:space="preserve"> </w:t>
      </w:r>
      <w:r w:rsidRPr="00B47BCA">
        <w:rPr>
          <w:rFonts w:ascii="Sylfaen" w:hAnsi="Sylfaen" w:cs="Sylfaen"/>
          <w:lang w:val="ka-GE"/>
        </w:rPr>
        <w:t>მშობიარობისა</w:t>
      </w:r>
      <w:r w:rsidRPr="00B47BCA">
        <w:rPr>
          <w:rFonts w:ascii="Sylfaen" w:hAnsi="Sylfaen" w:cstheme="minorHAnsi"/>
          <w:lang w:val="ka-GE"/>
        </w:rPr>
        <w:t xml:space="preserve"> </w:t>
      </w:r>
      <w:r w:rsidRPr="00B47BCA">
        <w:rPr>
          <w:rFonts w:ascii="Sylfaen" w:hAnsi="Sylfaen" w:cs="Sylfaen"/>
          <w:lang w:val="ka-GE"/>
        </w:rPr>
        <w:t>და</w:t>
      </w:r>
      <w:r w:rsidRPr="00B47BCA">
        <w:rPr>
          <w:rFonts w:ascii="Sylfaen" w:hAnsi="Sylfaen" w:cstheme="minorHAnsi"/>
          <w:lang w:val="ka-GE"/>
        </w:rPr>
        <w:t xml:space="preserve"> </w:t>
      </w:r>
      <w:r w:rsidRPr="00B47BCA">
        <w:rPr>
          <w:rFonts w:ascii="Sylfaen" w:hAnsi="Sylfaen" w:cs="Sylfaen"/>
          <w:lang w:val="ka-GE"/>
        </w:rPr>
        <w:t>საკეისრო</w:t>
      </w:r>
      <w:r w:rsidRPr="00B47BCA">
        <w:rPr>
          <w:rFonts w:ascii="Sylfaen" w:hAnsi="Sylfaen" w:cstheme="minorHAnsi"/>
          <w:lang w:val="ka-GE"/>
        </w:rPr>
        <w:t xml:space="preserve"> </w:t>
      </w:r>
      <w:r w:rsidRPr="00B47BCA">
        <w:rPr>
          <w:rFonts w:ascii="Sylfaen" w:hAnsi="Sylfaen" w:cs="Sylfaen"/>
          <w:lang w:val="ka-GE"/>
        </w:rPr>
        <w:t>კვეთის</w:t>
      </w:r>
      <w:r w:rsidRPr="00B47BCA">
        <w:rPr>
          <w:rFonts w:ascii="Sylfaen" w:hAnsi="Sylfaen" w:cstheme="minorHAnsi"/>
          <w:lang w:val="ka-GE"/>
        </w:rPr>
        <w:t xml:space="preserve"> </w:t>
      </w:r>
      <w:r w:rsidRPr="00B47BCA">
        <w:rPr>
          <w:rFonts w:ascii="Sylfaen" w:hAnsi="Sylfaen" w:cs="Sylfaen"/>
          <w:lang w:val="ka-GE"/>
        </w:rPr>
        <w:t>სერვისებს</w:t>
      </w:r>
      <w:r w:rsidRPr="00B47BCA">
        <w:rPr>
          <w:rFonts w:ascii="Sylfaen" w:hAnsi="Sylfaen" w:cstheme="minorHAnsi"/>
          <w:lang w:val="ka-GE"/>
        </w:rPr>
        <w:t xml:space="preserve">.  </w:t>
      </w:r>
    </w:p>
    <w:p w:rsidR="00032D6E" w:rsidRPr="00840DAF" w:rsidRDefault="00032D6E" w:rsidP="00032D6E">
      <w:pPr>
        <w:pStyle w:val="ListParagraph"/>
        <w:numPr>
          <w:ilvl w:val="0"/>
          <w:numId w:val="2"/>
        </w:numPr>
        <w:spacing w:after="120" w:line="276" w:lineRule="auto"/>
        <w:ind w:left="360"/>
        <w:jc w:val="both"/>
        <w:rPr>
          <w:rFonts w:ascii="Sylfaen" w:hAnsi="Sylfaen" w:cstheme="minorHAnsi"/>
          <w:lang w:val="ka-GE"/>
        </w:rPr>
      </w:pPr>
      <w:r>
        <w:rPr>
          <w:rFonts w:ascii="Sylfaen" w:hAnsi="Sylfaen" w:cs="Sylfaen"/>
          <w:lang w:val="ka-GE"/>
        </w:rPr>
        <w:t xml:space="preserve">2020 წლის იანვარში სამინისტრომ, ჯანმრთელობის მსოფლიო ორგანიზაციასთან ერთად, მოამზადა საყოველთაო ჯანდაცვის პროგრამაში მონაწილე პირველადი ჯანდაცვის დაწესებულებების სელექციის კრიტერიუმები, რომელთა დანერგვა განხორციელდება სამ დიდ ქალაქში: თბილისში, ქუთაისსა და ბათუმში (საქართველოს მთავრობის </w:t>
      </w:r>
      <w:r>
        <w:rPr>
          <w:rFonts w:ascii="Sylfaen" w:hAnsi="Sylfaen" w:cs="Sylfaen"/>
        </w:rPr>
        <w:t xml:space="preserve">2020 </w:t>
      </w:r>
      <w:r>
        <w:rPr>
          <w:rFonts w:ascii="Sylfaen" w:hAnsi="Sylfaen" w:cs="Sylfaen"/>
          <w:lang w:val="ka-GE"/>
        </w:rPr>
        <w:t>წლის 9 იანვარის N15 დადგენილება). დანერგვის პროცესის დაწყება დაგეგმილია 1 მაისიდან.</w:t>
      </w:r>
    </w:p>
    <w:p w:rsidR="00032D6E" w:rsidRDefault="00032D6E" w:rsidP="00032D6E">
      <w:pPr>
        <w:pStyle w:val="ListParagraph"/>
        <w:numPr>
          <w:ilvl w:val="0"/>
          <w:numId w:val="2"/>
        </w:numPr>
        <w:spacing w:after="120" w:line="276" w:lineRule="auto"/>
        <w:ind w:left="360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2020 წლის იანვარ-მარტში, </w:t>
      </w:r>
      <w:r w:rsidRPr="00840DAF">
        <w:rPr>
          <w:rFonts w:ascii="Sylfaen" w:hAnsi="Sylfaen" w:cs="Sylfaen"/>
          <w:lang w:val="ka-GE"/>
        </w:rPr>
        <w:t>ახალი კორონავირუსით (SARS-CoV-2) გამოწვეულ ინფექციებ</w:t>
      </w:r>
      <w:r>
        <w:rPr>
          <w:rFonts w:ascii="Sylfaen" w:hAnsi="Sylfaen" w:cs="Sylfaen"/>
          <w:lang w:val="ka-GE"/>
        </w:rPr>
        <w:t>ის</w:t>
      </w:r>
      <w:r w:rsidRPr="00840DAF">
        <w:rPr>
          <w:rFonts w:ascii="Sylfaen" w:hAnsi="Sylfaen" w:cs="Sylfaen"/>
          <w:lang w:val="ka-GE"/>
        </w:rPr>
        <w:t xml:space="preserve"> (COVID-19)</w:t>
      </w:r>
      <w:r w:rsidRPr="00EA3E56">
        <w:rPr>
          <w:rFonts w:ascii="Sylfaen" w:hAnsi="Sylfaen" w:cs="Sylfaen"/>
          <w:lang w:val="ka-GE"/>
        </w:rPr>
        <w:t xml:space="preserve"> პრევენციის, დიაგნოსტიკისა და მკურნალობისთვის შემუშავდა </w:t>
      </w:r>
      <w:r>
        <w:rPr>
          <w:rFonts w:ascii="Sylfaen" w:hAnsi="Sylfaen" w:cs="Sylfaen"/>
          <w:lang w:val="ka-GE"/>
        </w:rPr>
        <w:t xml:space="preserve">პირველადი ჯანდაცვის და სტაციონარული დაწესებულებების სელექციის კრიტერიუმები, რომლებიც ჩაერთვებიან საყოველთაო ჯანდაცვის პროგრამაში ქვეყნის მასშტაბით როგორც ონლაინ, </w:t>
      </w:r>
      <w:r w:rsidRPr="00494B2F">
        <w:rPr>
          <w:rFonts w:ascii="Sylfaen" w:hAnsi="Sylfaen" w:cs="Sylfaen"/>
          <w:lang w:val="ka-GE"/>
        </w:rPr>
        <w:t xml:space="preserve">“COVID19” </w:t>
      </w:r>
      <w:r>
        <w:rPr>
          <w:rFonts w:ascii="Sylfaen" w:hAnsi="Sylfaen" w:cs="Sylfaen"/>
          <w:lang w:val="ka-GE"/>
        </w:rPr>
        <w:t xml:space="preserve">ან „ცხელების“ კლინიკები (საქართველოს ოკუპირებული ტერიტორიბიდან დევნილთა, შრომის ჯანმრთელობისა  და სოციალური დაცვის მინისტრის 30 მარტის N01-136/ო ბრძანება)  </w:t>
      </w:r>
    </w:p>
    <w:p w:rsidR="00032D6E" w:rsidRPr="00B47BCA" w:rsidRDefault="00032D6E" w:rsidP="005F7E39">
      <w:pPr>
        <w:spacing w:after="120" w:line="276" w:lineRule="auto"/>
        <w:contextualSpacing/>
        <w:jc w:val="both"/>
        <w:rPr>
          <w:rFonts w:ascii="Sylfaen" w:hAnsi="Sylfaen" w:cstheme="minorHAnsi"/>
          <w:lang w:val="ka-GE"/>
        </w:rPr>
      </w:pPr>
      <w:bookmarkStart w:id="0" w:name="_GoBack"/>
      <w:bookmarkEnd w:id="0"/>
    </w:p>
    <w:sectPr w:rsidR="00032D6E" w:rsidRPr="00B47BCA" w:rsidSect="00302E54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cadNusx">
    <w:panose1 w:val="00000000000000000000"/>
    <w:charset w:val="00"/>
    <w:family w:val="auto"/>
    <w:pitch w:val="variable"/>
    <w:sig w:usb0="00000287" w:usb1="00000000" w:usb2="00000000" w:usb3="00000000" w:csb0="0000001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50D81"/>
    <w:multiLevelType w:val="hybridMultilevel"/>
    <w:tmpl w:val="6C125E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C57348"/>
    <w:multiLevelType w:val="hybridMultilevel"/>
    <w:tmpl w:val="8C9E31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752614"/>
    <w:multiLevelType w:val="hybridMultilevel"/>
    <w:tmpl w:val="FB6639D2"/>
    <w:lvl w:ilvl="0" w:tplc="8990F9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AF87B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2D834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1A6DD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F5C77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3F884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88E6C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FC8C4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41ECC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4B151D1A"/>
    <w:multiLevelType w:val="hybridMultilevel"/>
    <w:tmpl w:val="282EF4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DD5F35"/>
    <w:multiLevelType w:val="hybridMultilevel"/>
    <w:tmpl w:val="69C05D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48B"/>
    <w:rsid w:val="000102BC"/>
    <w:rsid w:val="00032D6E"/>
    <w:rsid w:val="0004048F"/>
    <w:rsid w:val="00070114"/>
    <w:rsid w:val="000B3972"/>
    <w:rsid w:val="001B3586"/>
    <w:rsid w:val="002F337C"/>
    <w:rsid w:val="00302E54"/>
    <w:rsid w:val="00345870"/>
    <w:rsid w:val="003A100A"/>
    <w:rsid w:val="00473811"/>
    <w:rsid w:val="00494B2F"/>
    <w:rsid w:val="00560342"/>
    <w:rsid w:val="0057787F"/>
    <w:rsid w:val="005B3E6F"/>
    <w:rsid w:val="005C106B"/>
    <w:rsid w:val="005F7E39"/>
    <w:rsid w:val="006227BB"/>
    <w:rsid w:val="006A22E8"/>
    <w:rsid w:val="006E7411"/>
    <w:rsid w:val="007B0967"/>
    <w:rsid w:val="007F5831"/>
    <w:rsid w:val="00840DAF"/>
    <w:rsid w:val="008628C4"/>
    <w:rsid w:val="009046C9"/>
    <w:rsid w:val="00955957"/>
    <w:rsid w:val="009C1189"/>
    <w:rsid w:val="00A801C2"/>
    <w:rsid w:val="00AA566C"/>
    <w:rsid w:val="00B052CD"/>
    <w:rsid w:val="00B47BCA"/>
    <w:rsid w:val="00B67113"/>
    <w:rsid w:val="00C03991"/>
    <w:rsid w:val="00C14FE3"/>
    <w:rsid w:val="00CA035D"/>
    <w:rsid w:val="00CF29A9"/>
    <w:rsid w:val="00D10047"/>
    <w:rsid w:val="00D70E7D"/>
    <w:rsid w:val="00D93B9D"/>
    <w:rsid w:val="00E555E5"/>
    <w:rsid w:val="00EA3E56"/>
    <w:rsid w:val="00EE4E00"/>
    <w:rsid w:val="00EF048B"/>
    <w:rsid w:val="00EF6A8E"/>
    <w:rsid w:val="00F45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cadNusx" w:eastAsiaTheme="minorHAnsi" w:hAnsi="AcadNusx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commendation,List Paragraph1,Dot pt,F5 List Paragraph,List Paragraph Char Char Char,Indicator Text,Numbered Para 1,Bullet 1,Bullet Points,List Paragraph2,MAIN CONTENT,Normal numbered,Issue Action POC,3,POCG Table Text,Ha,Bullet1"/>
    <w:basedOn w:val="Normal"/>
    <w:link w:val="ListParagraphChar"/>
    <w:uiPriority w:val="34"/>
    <w:qFormat/>
    <w:rsid w:val="00EF6A8E"/>
    <w:pPr>
      <w:ind w:left="720"/>
      <w:contextualSpacing/>
    </w:pPr>
  </w:style>
  <w:style w:type="character" w:customStyle="1" w:styleId="ListParagraphChar">
    <w:name w:val="List Paragraph Char"/>
    <w:aliases w:val="Recommendation Char,List Paragraph1 Char,Dot pt Char,F5 List Paragraph Char,List Paragraph Char Char Char Char,Indicator Text Char,Numbered Para 1 Char,Bullet 1 Char,Bullet Points Char,List Paragraph2 Char,MAIN CONTENT Char,3 Char"/>
    <w:link w:val="ListParagraph"/>
    <w:uiPriority w:val="34"/>
    <w:qFormat/>
    <w:locked/>
    <w:rsid w:val="0007011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cadNusx" w:eastAsiaTheme="minorHAnsi" w:hAnsi="AcadNusx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commendation,List Paragraph1,Dot pt,F5 List Paragraph,List Paragraph Char Char Char,Indicator Text,Numbered Para 1,Bullet 1,Bullet Points,List Paragraph2,MAIN CONTENT,Normal numbered,Issue Action POC,3,POCG Table Text,Ha,Bullet1"/>
    <w:basedOn w:val="Normal"/>
    <w:link w:val="ListParagraphChar"/>
    <w:uiPriority w:val="34"/>
    <w:qFormat/>
    <w:rsid w:val="00EF6A8E"/>
    <w:pPr>
      <w:ind w:left="720"/>
      <w:contextualSpacing/>
    </w:pPr>
  </w:style>
  <w:style w:type="character" w:customStyle="1" w:styleId="ListParagraphChar">
    <w:name w:val="List Paragraph Char"/>
    <w:aliases w:val="Recommendation Char,List Paragraph1 Char,Dot pt Char,F5 List Paragraph Char,List Paragraph Char Char Char Char,Indicator Text Char,Numbered Para 1 Char,Bullet 1 Char,Bullet Points Char,List Paragraph2 Char,MAIN CONTENT Char,3 Char"/>
    <w:link w:val="ListParagraph"/>
    <w:uiPriority w:val="34"/>
    <w:qFormat/>
    <w:locked/>
    <w:rsid w:val="000701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44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0254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6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Lika Klimiashvili</dc:creator>
  <cp:lastModifiedBy>Ketevan Goginashvili</cp:lastModifiedBy>
  <cp:revision>3</cp:revision>
  <dcterms:created xsi:type="dcterms:W3CDTF">2020-04-06T11:03:00Z</dcterms:created>
  <dcterms:modified xsi:type="dcterms:W3CDTF">2020-04-06T11:04:00Z</dcterms:modified>
</cp:coreProperties>
</file>