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2755"/>
        <w:gridCol w:w="1603"/>
        <w:gridCol w:w="2403"/>
      </w:tblGrid>
      <w:tr w:rsidR="001009B8" w:rsidTr="001009B8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Milestone by 2017 Summit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Implementation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Main actors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Target by 2020</w:t>
            </w:r>
          </w:p>
        </w:tc>
      </w:tr>
      <w:tr w:rsidR="001009B8" w:rsidTr="001009B8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Commitment  by  Partners to  adopt  eHeal</w:t>
            </w: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th-related EU acquis (if not in</w:t>
            </w:r>
            <w:r>
              <w:rPr>
                <w:rFonts w:ascii="Sylfaen" w:hAnsi="Sylfaen"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place).  eHealth  study  completed  - regional  recommendations and  national  roadmaps issued  for  harmonised eHealth  systems  among the  Partners,  in  line  with EU norms.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EU4Digital  Alignment  of  funding approach with IFIs  HDM Panel  Relevant  EU  Member States' programmes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Partner  Countries' relevant Ministries  eHealth network  European Commission  EU Member States  IFIs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Harmonised  legislation for  eHealth  among  the Partners  and  with  the EU.  Pilot  in  place  for  cross- border eHealth services among  Partners  and with the EU.</w:t>
            </w:r>
          </w:p>
        </w:tc>
      </w:tr>
    </w:tbl>
    <w:p w:rsidR="000C25EB" w:rsidRDefault="000C25EB"/>
    <w:p w:rsidR="001009B8" w:rsidRDefault="001009B8"/>
    <w:p w:rsidR="00330905" w:rsidRPr="00330905" w:rsidRDefault="00330905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ელექტრონული ჯანდაცვის სისტემებზე (</w:t>
      </w:r>
      <w:r>
        <w:rPr>
          <w:rFonts w:ascii="Sylfaen" w:hAnsi="Sylfaen"/>
        </w:rPr>
        <w:t xml:space="preserve">eHealth) </w:t>
      </w:r>
      <w:r>
        <w:rPr>
          <w:rFonts w:ascii="Sylfaen" w:hAnsi="Sylfaen"/>
          <w:lang w:val="ka-GE"/>
        </w:rPr>
        <w:t>ინტენსიური მუშაობა დაიწყო 2013 წლიდან, საყოველთაო ჯანდაცვის სახელმწიფო პროგრამის ამოქმედების შემდეგ. დაინერგა სამედიცინო შემთხვევების რეგისტრაციის, დამუშავებისა და მონიტორინგის, დაფინანსების ელექტორნული მოდულები.</w:t>
      </w:r>
    </w:p>
    <w:p w:rsidR="00330905" w:rsidRPr="00330905" w:rsidRDefault="00330905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2014 წლებში ამოქმედდა სტაციონარული შემთხვევების, ხოლო 2016 წელს ამბულატორიული შემთხვევების ელექტრონული რეგისტრაციის მოდული. </w:t>
      </w:r>
    </w:p>
    <w:p w:rsidR="00330905" w:rsidRPr="00330905" w:rsidRDefault="00330905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2015 წელს დაინერგა ე.წ. კიბოს პოპულაციური რეგისტრი და ხოლო 2016 წელს „დაბადების“ რეგისტრი.</w:t>
      </w:r>
    </w:p>
    <w:p w:rsidR="00332B60" w:rsidRPr="00332B60" w:rsidRDefault="00332B60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2017 წელს </w:t>
      </w:r>
      <w:r w:rsidR="00330905">
        <w:rPr>
          <w:rFonts w:ascii="Sylfaen" w:hAnsi="Sylfaen"/>
          <w:lang w:val="ka-GE"/>
        </w:rPr>
        <w:t>დაბადების და გარდაცვალების ელექტრონული რეესტრების ადმინისტრირება ხდება დაავადებათა კონტროლისა და საზოგადოებრივი ჯანმრთელობის ეროვნული ცენტრის მიერ, რამაც საგრძნობლად გაზარდა მონაცემთა ხარისხი.</w:t>
      </w:r>
    </w:p>
    <w:p w:rsidR="001009B8" w:rsidRPr="001009B8" w:rsidRDefault="001009B8" w:rsidP="00332B60">
      <w:pPr>
        <w:pStyle w:val="ListParagraph"/>
        <w:numPr>
          <w:ilvl w:val="0"/>
          <w:numId w:val="1"/>
        </w:numPr>
        <w:jc w:val="both"/>
      </w:pPr>
      <w:r>
        <w:t xml:space="preserve">2017 </w:t>
      </w:r>
      <w:r>
        <w:rPr>
          <w:rFonts w:ascii="Sylfaen" w:hAnsi="Sylfaen"/>
          <w:lang w:val="ka-GE"/>
        </w:rPr>
        <w:t xml:space="preserve">წელს </w:t>
      </w:r>
      <w:r w:rsidR="00332B60">
        <w:rPr>
          <w:rFonts w:ascii="Sylfaen" w:hAnsi="Sylfaen"/>
          <w:lang w:val="ka-GE"/>
        </w:rPr>
        <w:t xml:space="preserve">დაინერგა </w:t>
      </w:r>
      <w:r>
        <w:rPr>
          <w:rFonts w:ascii="Sylfaen" w:hAnsi="Sylfaen"/>
          <w:lang w:val="ka-GE"/>
        </w:rPr>
        <w:t xml:space="preserve">ელექტრონული რეცეპტის სისტემა. 2018 წლის თებერვლიდან მან სრულად ჩაანაცვლა ქალაღლდმატარებელი თბილისის საავადმყოფოებსა და მათში შემავალ ამბულატორიულ და პოლიკლინიკურ დაწესებულებებეში </w:t>
      </w:r>
      <w:r w:rsidR="00332B60">
        <w:rPr>
          <w:rFonts w:ascii="Sylfaen" w:hAnsi="Sylfaen"/>
          <w:lang w:val="ka-GE"/>
        </w:rPr>
        <w:t>და გახდა საყოველთაო ჯანდაცვის სახელმწიფო პროგრამაში მონაწილეობის ერთ-ერთი პირობა</w:t>
      </w:r>
    </w:p>
    <w:p w:rsidR="001009B8" w:rsidRPr="00332B60" w:rsidRDefault="001009B8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2017 წელს მუშაობა დაიყო ჯანმრთელობის ელექტრონულ ჩანაწერებზე </w:t>
      </w:r>
      <w:r>
        <w:rPr>
          <w:rFonts w:ascii="Sylfaen" w:hAnsi="Sylfaen"/>
        </w:rPr>
        <w:t xml:space="preserve">(EHR), </w:t>
      </w:r>
      <w:r w:rsidR="00332B60">
        <w:rPr>
          <w:rFonts w:ascii="Sylfaen" w:hAnsi="Sylfaen"/>
          <w:lang w:val="ka-GE"/>
        </w:rPr>
        <w:t>რომლის პილოტირებაც გაგრძელდა 2018 წელს. მიმდინარე წლის მაისიდან მისი გამოყენება სავალდებულოა ჯანმრთელობის სახელმწიფო პროგრამებში მონაწილე სტაციონარული დაწესებულებისთვის ქვეყნის მასშტაბით. 2020 წლისთვის იგი სავალდებულო გახდება ყველა სტაციონარული და ამბულატორიული დაწესებულებისთვის.</w:t>
      </w:r>
    </w:p>
    <w:p w:rsidR="00332B60" w:rsidRPr="001009B8" w:rsidRDefault="00332B60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2018 წელს ამოქმედდა პაციენტის პორტალი, რომელიც მოიცავს ინფორმაციას სახელმწიფოს მიერ როგორც ჯანმრთელობის დაცვის პროგრამების, ისე სოციალური დახმარებებისა და პენსიების შესახებ მომხმარებლის ასაკობრივი და სოციალური სტატუსიდან გამომდინარე </w:t>
      </w:r>
    </w:p>
    <w:p w:rsidR="001009B8" w:rsidRDefault="001009B8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საქართველო არის </w:t>
      </w:r>
      <w:r w:rsidR="00332B60">
        <w:rPr>
          <w:rFonts w:ascii="Sylfaen" w:hAnsi="Sylfaen"/>
          <w:lang w:val="ka-GE"/>
        </w:rPr>
        <w:t>ევროპის ჯანმრთელობის ინფორმაციის ინიციატივის (</w:t>
      </w:r>
      <w:r w:rsidR="00332B60">
        <w:rPr>
          <w:rFonts w:ascii="Sylfaen" w:hAnsi="Sylfaen"/>
        </w:rPr>
        <w:t xml:space="preserve">EHII) </w:t>
      </w:r>
      <w:r w:rsidR="00332B60">
        <w:rPr>
          <w:rFonts w:ascii="Sylfaen" w:hAnsi="Sylfaen"/>
          <w:lang w:val="ka-GE"/>
        </w:rPr>
        <w:t>წევრი, რომელიც ფუნქციონირებს ჯანმრთელობის მსოფლიო ორგანიზაციის ქოლგის ქვეშ და რომლის მიზანია სტრატეგიული და პოლიტიკური გადაწვეტილებების დროს გამოყენებული ინფორმაციის ხარისხის გაუმჯობესება</w:t>
      </w:r>
      <w:r w:rsidR="00330905"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1009B8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35AD"/>
    <w:multiLevelType w:val="hybridMultilevel"/>
    <w:tmpl w:val="E29C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B8"/>
    <w:rsid w:val="000C25EB"/>
    <w:rsid w:val="001009B8"/>
    <w:rsid w:val="00330905"/>
    <w:rsid w:val="00332B60"/>
    <w:rsid w:val="005B4AE3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2019-07-10T11:48:00Z</dcterms:created>
  <dcterms:modified xsi:type="dcterms:W3CDTF">2019-07-10T12:16:00Z</dcterms:modified>
</cp:coreProperties>
</file>