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F9B3C" w14:textId="77777777" w:rsidR="00772FD9" w:rsidRDefault="00772FD9" w:rsidP="00772FD9">
      <w:pPr>
        <w:pStyle w:val="Default"/>
      </w:pPr>
    </w:p>
    <w:p w14:paraId="1A230DC3" w14:textId="77777777" w:rsidR="00772FD9" w:rsidRDefault="00772FD9" w:rsidP="00772FD9">
      <w:pPr>
        <w:jc w:val="center"/>
        <w:rPr>
          <w:sz w:val="22"/>
          <w:szCs w:val="22"/>
        </w:rPr>
      </w:pPr>
      <w:r>
        <w:rPr>
          <w:sz w:val="22"/>
          <w:szCs w:val="22"/>
        </w:rPr>
        <w:t>UN Migration Agency, Mission to Georgia</w:t>
      </w:r>
    </w:p>
    <w:p w14:paraId="4DD3B7D3" w14:textId="77777777" w:rsidR="00772FD9" w:rsidRDefault="00772FD9" w:rsidP="00772FD9">
      <w:pPr>
        <w:jc w:val="center"/>
        <w:rPr>
          <w:sz w:val="22"/>
          <w:szCs w:val="22"/>
        </w:rPr>
      </w:pPr>
    </w:p>
    <w:p w14:paraId="4E3FE627" w14:textId="77777777" w:rsidR="00772FD9" w:rsidRDefault="00772FD9" w:rsidP="00772FD9">
      <w:pPr>
        <w:pStyle w:val="Default"/>
        <w:jc w:val="center"/>
      </w:pPr>
      <w:r>
        <w:rPr>
          <w:sz w:val="22"/>
          <w:szCs w:val="22"/>
        </w:rPr>
        <w:t>Regional Conference on Migration and Health</w:t>
      </w:r>
    </w:p>
    <w:p w14:paraId="206C0B09" w14:textId="57F7FD15" w:rsidR="00AB4DA0" w:rsidRPr="00FF437E" w:rsidRDefault="00772FD9" w:rsidP="00FF437E">
      <w:pPr>
        <w:jc w:val="center"/>
        <w:rPr>
          <w:sz w:val="22"/>
          <w:szCs w:val="22"/>
        </w:rPr>
      </w:pPr>
      <w:r>
        <w:rPr>
          <w:b/>
          <w:bCs/>
          <w:sz w:val="22"/>
          <w:szCs w:val="22"/>
        </w:rPr>
        <w:t xml:space="preserve">Enhancing Mechanisms for Prevention, Detection and Treatment of HIV/AIDS and Tuberculosis among Migrant and Mobile Populations in the South Caucasus (SC) countries </w:t>
      </w:r>
      <w:r>
        <w:rPr>
          <w:sz w:val="22"/>
          <w:szCs w:val="22"/>
        </w:rPr>
        <w:t>of Armenia, Azerbaijan and Georgia</w:t>
      </w:r>
    </w:p>
    <w:p w14:paraId="79BAB091" w14:textId="77777777" w:rsidR="00CC52FD" w:rsidRDefault="00CC52FD" w:rsidP="00D537DA">
      <w:pPr>
        <w:jc w:val="both"/>
        <w:rPr>
          <w:rFonts w:eastAsia="Sylfaen" w:cstheme="minorHAnsi"/>
        </w:rPr>
      </w:pPr>
    </w:p>
    <w:p w14:paraId="47E8B15E" w14:textId="1E6D9E45" w:rsidR="00CC52FD" w:rsidRDefault="00CC52FD" w:rsidP="00D537DA">
      <w:pPr>
        <w:jc w:val="both"/>
        <w:rPr>
          <w:rFonts w:eastAsia="Sylfaen" w:cstheme="minorHAnsi"/>
        </w:rPr>
      </w:pPr>
      <w:r w:rsidRPr="00CC52FD">
        <w:rPr>
          <w:rFonts w:eastAsia="Sylfaen" w:cstheme="minorHAnsi"/>
        </w:rPr>
        <w:t xml:space="preserve">The International Organization for Migration has been cooperating with Georgia from 1993. Migration and health care are one of the most important activities of the project. To this end, I would like to thank you on behalf of the country, more than 20% of whose territories are occupied and the creeping occupation is still ongoing. Thank you very much for the name of the country that has more than 273 thousand IDPs, 5285 eco-migrants, 215 refugees and 1,477 people with humanitarian status. </w:t>
      </w:r>
      <w:r>
        <w:rPr>
          <w:rFonts w:eastAsia="Sylfaen" w:cstheme="minorHAnsi"/>
        </w:rPr>
        <w:t xml:space="preserve"> </w:t>
      </w:r>
    </w:p>
    <w:p w14:paraId="6E5D8871" w14:textId="15484CEA" w:rsidR="00B20A19" w:rsidRDefault="00B20A19" w:rsidP="00D537DA">
      <w:pPr>
        <w:jc w:val="both"/>
        <w:rPr>
          <w:rFonts w:eastAsia="Sylfaen" w:cstheme="minorHAnsi"/>
        </w:rPr>
      </w:pPr>
    </w:p>
    <w:p w14:paraId="767D67D6" w14:textId="37BD56C8" w:rsidR="00D537DA" w:rsidRPr="00B20A19" w:rsidRDefault="00B20A19" w:rsidP="00D537DA">
      <w:pPr>
        <w:jc w:val="both"/>
        <w:rPr>
          <w:rFonts w:eastAsia="Sylfaen" w:cstheme="minorHAnsi"/>
          <w:lang w:val="ka-GE"/>
        </w:rPr>
      </w:pPr>
      <w:r w:rsidRPr="00B20A19">
        <w:rPr>
          <w:rFonts w:eastAsia="Sylfaen" w:cstheme="minorHAnsi"/>
          <w:lang w:val="ka-GE"/>
        </w:rPr>
        <w:t>The right to health is one of the most important human rights that is declared by the Human Rights Declaration</w:t>
      </w:r>
      <w:r>
        <w:rPr>
          <w:rFonts w:eastAsia="Sylfaen" w:cstheme="minorHAnsi"/>
          <w:lang w:val="ka-GE"/>
        </w:rPr>
        <w:t xml:space="preserve">. </w:t>
      </w:r>
      <w:r w:rsidR="00E07255" w:rsidRPr="00D537DA">
        <w:rPr>
          <w:rFonts w:eastAsia="Sylfaen" w:cstheme="minorHAnsi"/>
        </w:rPr>
        <w:t xml:space="preserve">The performance of health system and its ability to provide services to all without risk of financial hardship must be a fundamental priority. Universal health coverage - is the best way to achieve the health Sustainable Development Goal – and is an important way to expand access to effective health-care services, reduce financial hardship during illness, and improve health outcomes. </w:t>
      </w:r>
    </w:p>
    <w:p w14:paraId="44056CE9" w14:textId="77777777" w:rsidR="00E07255" w:rsidRPr="00D537DA" w:rsidRDefault="00E07255" w:rsidP="00C84E9F">
      <w:pPr>
        <w:jc w:val="both"/>
        <w:rPr>
          <w:rFonts w:eastAsia="Sylfaen" w:cstheme="minorHAnsi"/>
        </w:rPr>
      </w:pPr>
    </w:p>
    <w:p w14:paraId="1F2FFD57" w14:textId="77777777" w:rsidR="00E07255" w:rsidRPr="00D537DA" w:rsidRDefault="00E07255" w:rsidP="00C84E9F">
      <w:pPr>
        <w:jc w:val="both"/>
        <w:rPr>
          <w:rFonts w:eastAsia="Sylfaen" w:cstheme="minorHAnsi"/>
        </w:rPr>
      </w:pPr>
      <w:r w:rsidRPr="00D537DA">
        <w:rPr>
          <w:rFonts w:eastAsia="Sylfaen" w:cstheme="minorHAnsi"/>
        </w:rPr>
        <w:t>Universal heath care and health policy oriented towards the population health and well-being is confirmed by unprecedented increase in state allocations for healthcare sector in the last few years, from GEL 450 million in 2012 to GEL 986.2 million in 2017. Public health spending as a share of GDP has also increased from 1.7% in 2012 to 3% in 2017.</w:t>
      </w:r>
    </w:p>
    <w:p w14:paraId="0F16AC27" w14:textId="77777777" w:rsidR="00E07255" w:rsidRDefault="00E07255" w:rsidP="00C84E9F">
      <w:pPr>
        <w:jc w:val="both"/>
        <w:rPr>
          <w:rFonts w:cstheme="minorHAnsi"/>
        </w:rPr>
      </w:pPr>
    </w:p>
    <w:p w14:paraId="73D71AD3" w14:textId="77777777" w:rsidR="00D537DA" w:rsidRDefault="00E07255" w:rsidP="00D537DA">
      <w:pPr>
        <w:jc w:val="both"/>
        <w:rPr>
          <w:rFonts w:eastAsia="Sylfaen" w:cstheme="minorHAnsi"/>
        </w:rPr>
      </w:pPr>
      <w:r w:rsidRPr="00636AE2">
        <w:rPr>
          <w:rFonts w:cstheme="minorHAnsi"/>
        </w:rPr>
        <w:t>The Universal Health Care Program launched by the Government of Georgia in 2013 has led to a major expansion in population entitlement to publicly financed health services, from 29% to over 90% of the population.</w:t>
      </w:r>
      <w:r>
        <w:rPr>
          <w:rFonts w:cstheme="minorHAnsi"/>
        </w:rPr>
        <w:t xml:space="preserve"> </w:t>
      </w:r>
      <w:r w:rsidR="00D537DA" w:rsidRPr="00ED071B">
        <w:rPr>
          <w:rFonts w:eastAsia="Sylfaen" w:cstheme="minorHAnsi"/>
        </w:rPr>
        <w:t>The program beneficiaries are Georgian citizens, holders of a status-neutral ID, a status-neutral travel document; as well as stateless persons in Georgia, persons with refugee or humanitarian status and asylum-seekers.</w:t>
      </w:r>
      <w:r w:rsidR="00C746FF">
        <w:rPr>
          <w:rFonts w:eastAsia="Sylfaen" w:cstheme="minorHAnsi"/>
        </w:rPr>
        <w:t xml:space="preserve"> </w:t>
      </w:r>
    </w:p>
    <w:p w14:paraId="1E2CF582" w14:textId="77777777" w:rsidR="00C746FF" w:rsidRDefault="00C746FF" w:rsidP="00D537DA">
      <w:pPr>
        <w:jc w:val="both"/>
        <w:rPr>
          <w:rFonts w:eastAsia="Sylfaen" w:cstheme="minorHAnsi"/>
        </w:rPr>
      </w:pPr>
    </w:p>
    <w:p w14:paraId="3DD34296" w14:textId="77777777" w:rsidR="00C746FF" w:rsidRDefault="00C746FF" w:rsidP="00D537DA">
      <w:pPr>
        <w:jc w:val="both"/>
        <w:rPr>
          <w:rFonts w:eastAsia="Sylfaen" w:cstheme="minorHAnsi"/>
        </w:rPr>
      </w:pPr>
      <w:r w:rsidRPr="00ED071B">
        <w:rPr>
          <w:rFonts w:eastAsia="Times New Roman" w:cstheme="minorHAnsi"/>
          <w:bCs/>
          <w:color w:val="000000"/>
        </w:rPr>
        <w:t>The survey carried out by the World Bank, the World Health Organization and the US Agency for International Development showed the main achievements of the Universal Healthcare Program: increased access to medical services, increased utilization of medical services, reduced financial barriers and enhanced coverage.</w:t>
      </w:r>
    </w:p>
    <w:p w14:paraId="6CAE3D78" w14:textId="77777777" w:rsidR="00772FD9" w:rsidRDefault="00772FD9" w:rsidP="00772FD9"/>
    <w:p w14:paraId="737921A5" w14:textId="77777777" w:rsidR="00591F03" w:rsidRDefault="00C746FF" w:rsidP="00772FD9">
      <w:pPr>
        <w:rPr>
          <w:rFonts w:cstheme="minorHAnsi"/>
        </w:rPr>
      </w:pPr>
      <w:r w:rsidRPr="00C746FF">
        <w:rPr>
          <w:rFonts w:cstheme="minorHAnsi"/>
        </w:rPr>
        <w:t>With towards achieving the health-related SDG 2030 Agenda - leaving no one behind, I want to highlight our sharper focus on innovative approaches for improving HIV/AIDS, TB and Hepatitis C prevention, management and treatment.</w:t>
      </w:r>
    </w:p>
    <w:p w14:paraId="090CBD4B" w14:textId="77777777" w:rsidR="00BC4569" w:rsidRDefault="00BC4569" w:rsidP="00772FD9">
      <w:pPr>
        <w:rPr>
          <w:rFonts w:cstheme="minorHAnsi"/>
        </w:rPr>
      </w:pPr>
    </w:p>
    <w:p w14:paraId="48C68D95" w14:textId="77777777" w:rsidR="00BC4569" w:rsidRPr="00AB4DA0" w:rsidRDefault="00BC4569" w:rsidP="00AB4DA0">
      <w:pPr>
        <w:jc w:val="both"/>
        <w:rPr>
          <w:rFonts w:eastAsia="Sylfaen" w:cstheme="minorHAnsi"/>
        </w:rPr>
      </w:pPr>
      <w:r w:rsidRPr="00AB4DA0">
        <w:rPr>
          <w:rFonts w:eastAsia="Sylfaen" w:cstheme="minorHAnsi"/>
        </w:rPr>
        <w:t xml:space="preserve">Our flagship program – the world first Hepatitis C elimination – implemented in 2015 by the Ministry with support of our international partners US CDC, WHO and pharmaceutical company Gilead Sciences. I would like to share with you the recent progress and the numbers. But these are not only the numbers. Beyond these numbers are people’s lives, their families and prospects for an entire society. In just 4 years, we enrolled over 37,500 and over 29,000 </w:t>
      </w:r>
      <w:r w:rsidRPr="00AB4DA0">
        <w:rPr>
          <w:rFonts w:eastAsia="Sylfaen" w:cstheme="minorHAnsi"/>
        </w:rPr>
        <w:lastRenderedPageBreak/>
        <w:t xml:space="preserve">completed the treatment with free high-quality Hepatitis C drugs – Harvoni, provided by Gilead. We have over 98% treatment success rate.  </w:t>
      </w:r>
    </w:p>
    <w:p w14:paraId="043274D5" w14:textId="77777777" w:rsidR="00BC4569" w:rsidRPr="00AB4DA0" w:rsidRDefault="00BC4569" w:rsidP="00AB4DA0">
      <w:pPr>
        <w:jc w:val="both"/>
        <w:rPr>
          <w:rFonts w:eastAsia="Sylfaen" w:cstheme="minorHAnsi"/>
        </w:rPr>
      </w:pPr>
    </w:p>
    <w:p w14:paraId="1EB8D1D8" w14:textId="77777777" w:rsidR="00BC4569" w:rsidRPr="00AB4DA0" w:rsidRDefault="00BC4569" w:rsidP="00AB4DA0">
      <w:pPr>
        <w:jc w:val="both"/>
        <w:rPr>
          <w:rFonts w:eastAsia="Sylfaen" w:cstheme="minorHAnsi"/>
        </w:rPr>
      </w:pPr>
      <w:r w:rsidRPr="00AB4DA0">
        <w:rPr>
          <w:rFonts w:eastAsia="Sylfaen" w:cstheme="minorHAnsi"/>
        </w:rPr>
        <w:t xml:space="preserve">This public-private partnership established to tackle Hepatitis C shows that access to medicines and quality of care can be improved through stronger partnership among governments, pharmaceutical companies, health services providers and the civil society. </w:t>
      </w:r>
    </w:p>
    <w:p w14:paraId="3357035E" w14:textId="77777777" w:rsidR="00BC4569" w:rsidRPr="00AB4DA0" w:rsidRDefault="00BC4569" w:rsidP="00AB4DA0">
      <w:pPr>
        <w:jc w:val="both"/>
        <w:rPr>
          <w:rFonts w:eastAsia="Sylfaen" w:cstheme="minorHAnsi"/>
        </w:rPr>
      </w:pPr>
    </w:p>
    <w:p w14:paraId="2C28F3F5" w14:textId="77777777" w:rsidR="00BC4569" w:rsidRPr="00AB4DA0" w:rsidRDefault="00BC4569" w:rsidP="00AB4DA0">
      <w:pPr>
        <w:jc w:val="both"/>
        <w:rPr>
          <w:rFonts w:eastAsia="Sylfaen" w:cstheme="minorHAnsi"/>
        </w:rPr>
      </w:pPr>
      <w:r w:rsidRPr="00AB4DA0">
        <w:rPr>
          <w:rFonts w:eastAsia="Sylfaen" w:cstheme="minorHAnsi"/>
        </w:rPr>
        <w:t>No doubt, that this public-private partnership is an excellent opportunity and also a development model to upgrade and advance healthcare system in Georgia given the policies and improvements introduced in the area of infection prevention and control in health care settings (and beyond), blood bank standards, and linkages of care.</w:t>
      </w:r>
    </w:p>
    <w:p w14:paraId="3A23CA6E" w14:textId="77777777" w:rsidR="00C746FF" w:rsidRPr="00AB4DA0" w:rsidRDefault="00C746FF" w:rsidP="00AB4DA0">
      <w:pPr>
        <w:jc w:val="both"/>
        <w:rPr>
          <w:rFonts w:eastAsia="Sylfaen" w:cstheme="minorHAnsi"/>
        </w:rPr>
      </w:pPr>
    </w:p>
    <w:p w14:paraId="0A19C24B" w14:textId="77777777" w:rsidR="008777BB" w:rsidRPr="00AB4DA0" w:rsidRDefault="00591F03" w:rsidP="00AB4DA0">
      <w:pPr>
        <w:jc w:val="both"/>
        <w:rPr>
          <w:rFonts w:eastAsia="Sylfaen" w:cstheme="minorHAnsi"/>
        </w:rPr>
      </w:pPr>
      <w:r w:rsidRPr="00AB4DA0">
        <w:rPr>
          <w:rFonts w:eastAsia="Sylfaen" w:cstheme="minorHAnsi"/>
        </w:rPr>
        <w:t xml:space="preserve">Georgia has achieved remarkable progress in fight against Tuberculosis. </w:t>
      </w:r>
      <w:r w:rsidR="008777BB" w:rsidRPr="00AB4DA0">
        <w:rPr>
          <w:rFonts w:eastAsia="Sylfaen" w:cstheme="minorHAnsi"/>
        </w:rPr>
        <w:t xml:space="preserve">The country met MDG 6c and the Stop TB Partnership 2015 targets of reducing the prevalence and mortality rates of TB by 50% compared to 1990 and demonstrated commitment to achieve the milestone of further reducing TB incidence as part of the End TB strategy. </w:t>
      </w:r>
    </w:p>
    <w:p w14:paraId="193F730B" w14:textId="77777777" w:rsidR="008777BB" w:rsidRPr="00AB4DA0" w:rsidRDefault="008777BB" w:rsidP="00AB4DA0">
      <w:pPr>
        <w:jc w:val="both"/>
        <w:rPr>
          <w:rFonts w:eastAsia="Sylfaen" w:cstheme="minorHAnsi"/>
        </w:rPr>
      </w:pPr>
    </w:p>
    <w:p w14:paraId="322D1E86" w14:textId="77777777" w:rsidR="00C746FF" w:rsidRPr="00AB4DA0" w:rsidRDefault="00591F03" w:rsidP="00AB4DA0">
      <w:pPr>
        <w:jc w:val="both"/>
        <w:rPr>
          <w:rFonts w:eastAsia="Sylfaen" w:cstheme="minorHAnsi"/>
        </w:rPr>
      </w:pPr>
      <w:r w:rsidRPr="00AB4DA0">
        <w:rPr>
          <w:rFonts w:eastAsia="Sylfaen" w:cstheme="minorHAnsi"/>
        </w:rPr>
        <w:t>During the last several years TB case notification has been decreasing on average by 9% annually and based on a robust and sustainable surveillance system, this trend seems to reflect a genuine reduction in incidence</w:t>
      </w:r>
      <w:r w:rsidR="00C746FF" w:rsidRPr="00AB4DA0">
        <w:rPr>
          <w:rFonts w:eastAsia="Sylfaen" w:cstheme="minorHAnsi"/>
        </w:rPr>
        <w:t xml:space="preserve">. </w:t>
      </w:r>
      <w:r w:rsidRPr="00AB4DA0">
        <w:rPr>
          <w:rFonts w:eastAsia="Sylfaen" w:cstheme="minorHAnsi"/>
        </w:rPr>
        <w:t>From 2016 Georgia is not listed among the high MDR TB burden countries</w:t>
      </w:r>
      <w:r w:rsidR="008777BB" w:rsidRPr="00AB4DA0">
        <w:rPr>
          <w:rFonts w:eastAsia="Sylfaen" w:cstheme="minorHAnsi"/>
        </w:rPr>
        <w:t xml:space="preserve">. </w:t>
      </w:r>
    </w:p>
    <w:p w14:paraId="07F8D6FF" w14:textId="77777777" w:rsidR="008777BB" w:rsidRPr="00AB4DA0" w:rsidRDefault="008777BB" w:rsidP="00AB4DA0">
      <w:pPr>
        <w:jc w:val="both"/>
        <w:rPr>
          <w:rFonts w:eastAsia="Sylfaen" w:cstheme="minorHAnsi"/>
        </w:rPr>
      </w:pPr>
    </w:p>
    <w:p w14:paraId="705C9FB8" w14:textId="77777777" w:rsidR="008777BB" w:rsidRPr="00AB4DA0" w:rsidRDefault="008777BB" w:rsidP="00AB4DA0">
      <w:pPr>
        <w:jc w:val="both"/>
        <w:rPr>
          <w:rFonts w:eastAsia="Sylfaen" w:cstheme="minorHAnsi"/>
        </w:rPr>
      </w:pPr>
      <w:r w:rsidRPr="00AB4DA0">
        <w:rPr>
          <w:rFonts w:eastAsia="Sylfaen" w:cstheme="minorHAnsi"/>
        </w:rPr>
        <w:t>The country introduced modern diagnostic methods approved by the WHO: culture on solid and liquid media, GeneXpert MTB/RIF systems for rapid diagnosis of TB and MDR-TB. FAST strategy was successfully piloted and rolled out to promote early detection and prevent disease transmission in general healthcare facilities. Georgia was one of the first countries to ensure programmatic use of the new TB drugs. Diverse approaches are used to strengthen PHC provider engagement in TB control countrywide.</w:t>
      </w:r>
    </w:p>
    <w:p w14:paraId="2C6840B1" w14:textId="77777777" w:rsidR="008777BB" w:rsidRPr="00AB4DA0" w:rsidRDefault="008777BB" w:rsidP="00AB4DA0">
      <w:pPr>
        <w:jc w:val="both"/>
        <w:rPr>
          <w:rFonts w:eastAsia="Sylfaen" w:cstheme="minorHAnsi"/>
        </w:rPr>
      </w:pPr>
    </w:p>
    <w:p w14:paraId="3686A10A" w14:textId="77777777" w:rsidR="008777BB" w:rsidRPr="00AB4DA0" w:rsidRDefault="008777BB" w:rsidP="00AB4DA0">
      <w:pPr>
        <w:jc w:val="both"/>
        <w:rPr>
          <w:rFonts w:eastAsia="Sylfaen" w:cstheme="minorHAnsi"/>
        </w:rPr>
      </w:pPr>
      <w:r w:rsidRPr="00AB4DA0">
        <w:rPr>
          <w:rFonts w:eastAsia="Sylfaen" w:cstheme="minorHAnsi"/>
        </w:rPr>
        <w:t xml:space="preserve">However, significant share of multi-drug resistant (MDR) TB and high loss to follow up rate are the key challenges for the national TB program and the main obstacle for effective TB control in the country. As a response to these challenges, the country elaborated and has started implementation a national strategy to stop the spread of TB in Georgia and reduce the burden of MDR and especially extensively drug resistant (XDR) TB. </w:t>
      </w:r>
    </w:p>
    <w:p w14:paraId="65DCD532" w14:textId="77777777" w:rsidR="008777BB" w:rsidRPr="00AB4DA0" w:rsidRDefault="008777BB" w:rsidP="00AB4DA0">
      <w:pPr>
        <w:jc w:val="both"/>
        <w:rPr>
          <w:rFonts w:eastAsia="Sylfaen" w:cstheme="minorHAnsi"/>
        </w:rPr>
      </w:pPr>
    </w:p>
    <w:p w14:paraId="63EBD3D3" w14:textId="77777777" w:rsidR="008777BB" w:rsidRPr="00AB4DA0" w:rsidRDefault="008777BB" w:rsidP="00AB4DA0">
      <w:pPr>
        <w:jc w:val="both"/>
        <w:rPr>
          <w:rFonts w:eastAsia="Sylfaen" w:cstheme="minorHAnsi"/>
        </w:rPr>
      </w:pPr>
      <w:r w:rsidRPr="00AB4DA0">
        <w:rPr>
          <w:rFonts w:eastAsia="Sylfaen" w:cstheme="minorHAnsi"/>
        </w:rPr>
        <w:t xml:space="preserve">The Georgian Antiretroviral therapy (ART) program was recognized by the international experts as one of the best in the region due to universal access to HIV treatment, high coverage of target populations and improved quality of the program interventions. Also, Georgia one of the first in the region started implementation of WHO “Treat ALL” strategy from December 2015. However, the detection rate of new HIV infection cases remains a main challenge for the National HIV Program. Ministry works closely with KAPs through NCDC, National AIDS Center, NGO and CBO networks to increase the coverage of key affected groups and test new approaches of integrated screening of HIV, TB and hepatitis C, implementing mobile outreach services, etc. Georgia one of the first counties in the region has started pilot </w:t>
      </w:r>
      <w:proofErr w:type="spellStart"/>
      <w:r w:rsidRPr="00AB4DA0">
        <w:rPr>
          <w:rFonts w:eastAsia="Sylfaen" w:cstheme="minorHAnsi"/>
        </w:rPr>
        <w:t>PrEP</w:t>
      </w:r>
      <w:proofErr w:type="spellEnd"/>
      <w:r w:rsidRPr="00AB4DA0">
        <w:rPr>
          <w:rFonts w:eastAsia="Sylfaen" w:cstheme="minorHAnsi"/>
        </w:rPr>
        <w:t xml:space="preserve"> program among MSM in 2017.</w:t>
      </w:r>
    </w:p>
    <w:p w14:paraId="692A3EBC" w14:textId="77777777" w:rsidR="005541D3" w:rsidRPr="00AB4DA0" w:rsidRDefault="005541D3" w:rsidP="00AB4DA0">
      <w:pPr>
        <w:jc w:val="both"/>
        <w:rPr>
          <w:rFonts w:eastAsia="Sylfaen" w:cstheme="minorHAnsi"/>
        </w:rPr>
      </w:pPr>
    </w:p>
    <w:p w14:paraId="14B5A085" w14:textId="77777777" w:rsidR="005541D3" w:rsidRPr="00AB4DA0" w:rsidRDefault="005541D3" w:rsidP="00AB4DA0">
      <w:pPr>
        <w:jc w:val="both"/>
        <w:rPr>
          <w:rFonts w:eastAsia="Sylfaen" w:cstheme="minorHAnsi"/>
        </w:rPr>
      </w:pPr>
      <w:r w:rsidRPr="00AB4DA0">
        <w:rPr>
          <w:rFonts w:eastAsia="Sylfaen" w:cstheme="minorHAnsi"/>
        </w:rPr>
        <w:lastRenderedPageBreak/>
        <w:t>Since 2018, in the Samegrelo-Zemo Svaneti region there is an integrated screening pilot program at HCP, HIV and Tuberculosis  in Primary Health Care level, which provides timely detection of C hepatitis, HIV / AIDS and TB and "under the one umbrela".</w:t>
      </w:r>
    </w:p>
    <w:p w14:paraId="16DBC936" w14:textId="77777777" w:rsidR="00BC4569" w:rsidRPr="00AB4DA0" w:rsidRDefault="00BC4569" w:rsidP="00AB4DA0">
      <w:pPr>
        <w:jc w:val="both"/>
        <w:rPr>
          <w:rFonts w:eastAsia="Sylfaen" w:cstheme="minorHAnsi"/>
        </w:rPr>
      </w:pPr>
    </w:p>
    <w:p w14:paraId="08C2ED9E" w14:textId="77777777" w:rsidR="00AB4DA0" w:rsidRPr="00AB4DA0" w:rsidRDefault="00AB4DA0" w:rsidP="00AB4DA0">
      <w:pPr>
        <w:jc w:val="both"/>
        <w:rPr>
          <w:rFonts w:eastAsia="Sylfaen" w:cstheme="minorHAnsi"/>
        </w:rPr>
      </w:pPr>
      <w:r w:rsidRPr="00AB4DA0">
        <w:rPr>
          <w:rFonts w:eastAsia="Sylfaen" w:cstheme="minorHAnsi"/>
        </w:rPr>
        <w:t>On the background of the above-mentioned successes and challenges, it should be considered separately the vulterability of migrants and IDPs from occupied territories in the direction of HIV and TB.</w:t>
      </w:r>
    </w:p>
    <w:p w14:paraId="39228770" w14:textId="77777777" w:rsidR="00AB4DA0" w:rsidRPr="00AB4DA0" w:rsidRDefault="00AB4DA0" w:rsidP="00AB4DA0">
      <w:pPr>
        <w:jc w:val="both"/>
        <w:rPr>
          <w:rFonts w:eastAsia="Sylfaen" w:cstheme="minorHAnsi"/>
        </w:rPr>
      </w:pPr>
    </w:p>
    <w:p w14:paraId="7CB2A0A3" w14:textId="77777777" w:rsidR="00AB4DA0" w:rsidRDefault="00772FD9" w:rsidP="00AB4DA0">
      <w:pPr>
        <w:jc w:val="both"/>
        <w:rPr>
          <w:rFonts w:eastAsia="Sylfaen" w:cstheme="minorHAnsi"/>
        </w:rPr>
      </w:pPr>
      <w:r w:rsidRPr="00AB4DA0">
        <w:rPr>
          <w:rFonts w:eastAsia="Sylfaen" w:cstheme="minorHAnsi"/>
        </w:rPr>
        <w:t>Migration, which is driven by a number of complex economic, social, political and environmental factors, is a social determinant of health, and the health conditions of migrants are affected by the various dimensions of the migration process. Migrants with low socioeconomic status and travelling in irregular conditions are particularly vulnerable to diseases such as TB and HIV/AIDS.</w:t>
      </w:r>
      <w:r w:rsidR="00AB4DA0" w:rsidRPr="00AB4DA0">
        <w:rPr>
          <w:rFonts w:eastAsia="Sylfaen" w:cstheme="minorHAnsi"/>
        </w:rPr>
        <w:t xml:space="preserve"> TB and HIV does not stop at national borders, so policies to address TB and HIV/AIDS for this population should go beyond national contexts. </w:t>
      </w:r>
    </w:p>
    <w:p w14:paraId="6BC97BF5" w14:textId="77777777" w:rsidR="00AB4DA0" w:rsidRDefault="00AB4DA0" w:rsidP="00AB4DA0">
      <w:pPr>
        <w:jc w:val="both"/>
        <w:rPr>
          <w:rFonts w:eastAsia="Sylfaen" w:cstheme="minorHAnsi"/>
        </w:rPr>
      </w:pPr>
    </w:p>
    <w:p w14:paraId="0040F42E" w14:textId="06BEC65E" w:rsidR="00AB4DA0" w:rsidRDefault="00893932" w:rsidP="00AB4DA0">
      <w:pPr>
        <w:jc w:val="both"/>
        <w:rPr>
          <w:rFonts w:eastAsia="Sylfaen" w:cstheme="minorHAnsi"/>
        </w:rPr>
      </w:pPr>
      <w:r w:rsidRPr="00893932">
        <w:rPr>
          <w:rFonts w:eastAsia="Sylfaen" w:cstheme="minorHAnsi"/>
        </w:rPr>
        <w:t xml:space="preserve">Based on the coordinated migrant-centered approach, IOM support to Georgia through enhancement of transnational mechanisms for the prevention, increased detection, referral and treatment of TB and HIV/AIDS among migrant and mobile populations in </w:t>
      </w:r>
      <w:r>
        <w:rPr>
          <w:rFonts w:eastAsia="Sylfaen" w:cstheme="minorHAnsi"/>
        </w:rPr>
        <w:t>country</w:t>
      </w:r>
      <w:r w:rsidRPr="00893932">
        <w:rPr>
          <w:rFonts w:eastAsia="Sylfaen" w:cstheme="minorHAnsi"/>
        </w:rPr>
        <w:t>, considering how age, gender and education level of migrants influence their experiences and needs.</w:t>
      </w:r>
    </w:p>
    <w:p w14:paraId="05FDC669" w14:textId="77777777" w:rsidR="00E32DEA" w:rsidRDefault="00E32DEA" w:rsidP="00E32DEA">
      <w:pPr>
        <w:jc w:val="both"/>
      </w:pPr>
    </w:p>
    <w:p w14:paraId="265B716C" w14:textId="4F3B8ACD" w:rsidR="00E32DEA" w:rsidRDefault="00E32DEA" w:rsidP="00E32DEA">
      <w:pPr>
        <w:jc w:val="both"/>
        <w:rPr>
          <w:lang w:val="ka-GE"/>
        </w:rPr>
      </w:pPr>
      <w:r w:rsidRPr="00E32DEA">
        <w:t>Implementing adequate health standards for migrants and internally displaced persons and simultaneously reducing the health risks associated with migration and displacement requires specific commitments and actions that must be carried out on their own and as part of the realization of the many sustainable development goals.</w:t>
      </w:r>
      <w:r>
        <w:rPr>
          <w:lang w:val="ka-GE"/>
        </w:rPr>
        <w:t xml:space="preserve"> </w:t>
      </w:r>
    </w:p>
    <w:p w14:paraId="3A48AAF2" w14:textId="10D2E2E7" w:rsidR="00B20A19" w:rsidRDefault="00B20A19" w:rsidP="00E32DEA">
      <w:pPr>
        <w:jc w:val="both"/>
        <w:rPr>
          <w:lang w:val="ka-GE"/>
        </w:rPr>
      </w:pPr>
    </w:p>
    <w:p w14:paraId="05577B5B" w14:textId="3B86F7C3" w:rsidR="00B20A19" w:rsidRPr="00B20A19" w:rsidRDefault="00B20A19" w:rsidP="00E32DEA">
      <w:pPr>
        <w:jc w:val="both"/>
        <w:rPr>
          <w:rFonts w:eastAsia="Sylfaen" w:cstheme="minorHAnsi"/>
        </w:rPr>
      </w:pPr>
      <w:r w:rsidRPr="00E32DEA">
        <w:rPr>
          <w:rFonts w:eastAsia="Sylfaen" w:cstheme="minorHAnsi"/>
        </w:rPr>
        <w:t>The multi-country cooperation process launched in the framework of this regional project has established frameworks of cross-sectoral and transnational partnership comprising multidisciplinary teams of committed decision-makers and professionals in the area of healthcare and border control that are sensitized and capacitated on migrant oriented healthcare service delivery.</w:t>
      </w:r>
    </w:p>
    <w:p w14:paraId="39373EE5" w14:textId="122CE468" w:rsidR="00E32DEA" w:rsidRDefault="00E32DEA" w:rsidP="00E32DEA">
      <w:pPr>
        <w:jc w:val="both"/>
        <w:rPr>
          <w:lang w:val="ka-GE"/>
        </w:rPr>
      </w:pPr>
    </w:p>
    <w:p w14:paraId="5F4311DE" w14:textId="62E71873" w:rsidR="00FF437E" w:rsidRPr="00FF437E" w:rsidRDefault="00FF437E" w:rsidP="00E32DEA">
      <w:pPr>
        <w:jc w:val="both"/>
      </w:pPr>
      <w:r w:rsidRPr="00FF437E">
        <w:rPr>
          <w:lang w:val="ka-GE"/>
        </w:rPr>
        <w:t>To this effect, To this end, the government, NGOs, health services and all other staff should jointly create comprehensive and cross-sector approaches to develop migration-sensitive health systems</w:t>
      </w:r>
      <w:r w:rsidR="00B20A19">
        <w:rPr>
          <w:lang w:val="ka-GE"/>
        </w:rPr>
        <w:t xml:space="preserve">. </w:t>
      </w:r>
      <w:bookmarkStart w:id="0" w:name="_GoBack"/>
      <w:bookmarkEnd w:id="0"/>
    </w:p>
    <w:p w14:paraId="612500F3" w14:textId="2ED7ED38" w:rsidR="00E32DEA" w:rsidRDefault="00E32DEA" w:rsidP="00AB4DA0">
      <w:pPr>
        <w:jc w:val="both"/>
        <w:rPr>
          <w:rFonts w:eastAsia="Sylfaen" w:cstheme="minorHAnsi"/>
        </w:rPr>
      </w:pPr>
    </w:p>
    <w:p w14:paraId="2CB448B7" w14:textId="1B5654BC" w:rsidR="00FF437E" w:rsidRDefault="00FF437E" w:rsidP="00AB4DA0">
      <w:pPr>
        <w:jc w:val="both"/>
        <w:rPr>
          <w:rFonts w:eastAsia="Sylfaen" w:cstheme="minorHAnsi"/>
        </w:rPr>
      </w:pPr>
    </w:p>
    <w:p w14:paraId="59FD6DA0" w14:textId="77777777" w:rsidR="00FF437E" w:rsidRDefault="00FF437E" w:rsidP="00AB4DA0">
      <w:pPr>
        <w:jc w:val="both"/>
        <w:rPr>
          <w:rFonts w:eastAsia="Sylfaen" w:cstheme="minorHAnsi"/>
        </w:rPr>
      </w:pPr>
    </w:p>
    <w:p w14:paraId="67BC4F49" w14:textId="77777777" w:rsidR="00E32DEA" w:rsidRDefault="00E32DEA" w:rsidP="00AB4DA0">
      <w:pPr>
        <w:jc w:val="both"/>
        <w:rPr>
          <w:rFonts w:eastAsia="Sylfaen" w:cstheme="minorHAnsi"/>
        </w:rPr>
      </w:pPr>
    </w:p>
    <w:p w14:paraId="4A3A777B" w14:textId="540D6791" w:rsidR="00893932" w:rsidRDefault="00893932" w:rsidP="00AB4DA0">
      <w:pPr>
        <w:jc w:val="both"/>
        <w:rPr>
          <w:rFonts w:eastAsia="Sylfaen" w:cstheme="minorHAnsi"/>
        </w:rPr>
      </w:pPr>
    </w:p>
    <w:p w14:paraId="07DF4549" w14:textId="77777777" w:rsidR="00D537DA" w:rsidRPr="00AB4DA0" w:rsidRDefault="00D537DA" w:rsidP="00AB4DA0">
      <w:pPr>
        <w:jc w:val="both"/>
        <w:rPr>
          <w:rFonts w:eastAsia="Sylfaen" w:cstheme="minorHAnsi"/>
        </w:rPr>
      </w:pPr>
    </w:p>
    <w:sectPr w:rsidR="00D537DA" w:rsidRPr="00AB4DA0"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4DBF69"/>
    <w:multiLevelType w:val="hybridMultilevel"/>
    <w:tmpl w:val="97AE46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86F564"/>
    <w:multiLevelType w:val="hybridMultilevel"/>
    <w:tmpl w:val="B3DAC5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3108C"/>
    <w:multiLevelType w:val="hybridMultilevel"/>
    <w:tmpl w:val="0714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AA6DA"/>
    <w:multiLevelType w:val="hybridMultilevel"/>
    <w:tmpl w:val="76B9D3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27341DE"/>
    <w:multiLevelType w:val="hybridMultilevel"/>
    <w:tmpl w:val="BA18E2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6341673"/>
    <w:multiLevelType w:val="hybridMultilevel"/>
    <w:tmpl w:val="017C5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D9"/>
    <w:rsid w:val="00271658"/>
    <w:rsid w:val="005541D3"/>
    <w:rsid w:val="00591F03"/>
    <w:rsid w:val="0061386F"/>
    <w:rsid w:val="00772FD9"/>
    <w:rsid w:val="00792D18"/>
    <w:rsid w:val="008777BB"/>
    <w:rsid w:val="00893932"/>
    <w:rsid w:val="00AB4DA0"/>
    <w:rsid w:val="00B20A19"/>
    <w:rsid w:val="00BC4569"/>
    <w:rsid w:val="00C746FF"/>
    <w:rsid w:val="00C84E9F"/>
    <w:rsid w:val="00CC52FD"/>
    <w:rsid w:val="00CE1CC6"/>
    <w:rsid w:val="00D537DA"/>
    <w:rsid w:val="00E07255"/>
    <w:rsid w:val="00E32DEA"/>
    <w:rsid w:val="00EC2353"/>
    <w:rsid w:val="00FF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3FB4"/>
  <w15:chartTrackingRefBased/>
  <w15:docId w15:val="{A8C95EBC-943F-0C41-9530-CEEC38B6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2FD9"/>
    <w:pPr>
      <w:autoSpaceDE w:val="0"/>
      <w:autoSpaceDN w:val="0"/>
      <w:adjustRightInd w:val="0"/>
    </w:pPr>
    <w:rPr>
      <w:rFonts w:ascii="Calibri" w:hAnsi="Calibri" w:cs="Calibri"/>
      <w:color w:val="000000"/>
    </w:rPr>
  </w:style>
  <w:style w:type="character" w:customStyle="1" w:styleId="apple-converted-space">
    <w:name w:val="apple-converted-space"/>
    <w:basedOn w:val="DefaultParagraphFont"/>
    <w:rsid w:val="00772FD9"/>
  </w:style>
  <w:style w:type="paragraph" w:styleId="ListParagraph">
    <w:name w:val="List Paragraph"/>
    <w:basedOn w:val="Normal"/>
    <w:uiPriority w:val="34"/>
    <w:qFormat/>
    <w:rsid w:val="008777BB"/>
    <w:pPr>
      <w:ind w:left="720"/>
      <w:contextualSpacing/>
    </w:pPr>
    <w:rPr>
      <w:rFonts w:ascii="Times New Roman" w:eastAsiaTheme="minorEastAsia"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12675">
      <w:bodyDiv w:val="1"/>
      <w:marLeft w:val="0"/>
      <w:marRight w:val="0"/>
      <w:marTop w:val="0"/>
      <w:marBottom w:val="0"/>
      <w:divBdr>
        <w:top w:val="none" w:sz="0" w:space="0" w:color="auto"/>
        <w:left w:val="none" w:sz="0" w:space="0" w:color="auto"/>
        <w:bottom w:val="none" w:sz="0" w:space="0" w:color="auto"/>
        <w:right w:val="none" w:sz="0" w:space="0" w:color="auto"/>
      </w:divBdr>
    </w:div>
    <w:div w:id="583951835">
      <w:bodyDiv w:val="1"/>
      <w:marLeft w:val="0"/>
      <w:marRight w:val="0"/>
      <w:marTop w:val="0"/>
      <w:marBottom w:val="0"/>
      <w:divBdr>
        <w:top w:val="none" w:sz="0" w:space="0" w:color="auto"/>
        <w:left w:val="none" w:sz="0" w:space="0" w:color="auto"/>
        <w:bottom w:val="none" w:sz="0" w:space="0" w:color="auto"/>
        <w:right w:val="none" w:sz="0" w:space="0" w:color="auto"/>
      </w:divBdr>
    </w:div>
    <w:div w:id="18126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2018-11-25T23:24:00Z</dcterms:created>
  <dcterms:modified xsi:type="dcterms:W3CDTF">2018-11-26T02:54:00Z</dcterms:modified>
</cp:coreProperties>
</file>