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AED" w:rsidRDefault="007D4AED" w:rsidP="007D4AED">
      <w:pPr>
        <w:jc w:val="both"/>
        <w:rPr>
          <w:rFonts w:ascii="Sylfaen" w:hAnsi="Sylfaen"/>
          <w:color w:val="000000"/>
          <w:sz w:val="24"/>
          <w:szCs w:val="24"/>
          <w:lang w:val="en-GB" w:eastAsia="ka-GE"/>
        </w:rPr>
      </w:pPr>
      <w:r w:rsidRPr="00832565">
        <w:rPr>
          <w:rFonts w:ascii="Sylfaen" w:hAnsi="Sylfaen"/>
          <w:color w:val="000000"/>
          <w:sz w:val="24"/>
          <w:szCs w:val="24"/>
          <w:lang w:val="en-GB" w:eastAsia="ka-GE"/>
        </w:rPr>
        <w:t>Georgia has achieved remarkable progress in reducing under–five and neonatal mortality rates to 10.2 and 6.1 per 1000 live births respectively by 2015 thus accomplishing the Millennium Development Goal #4 (MDG) set at the 2000 Millennium Summit: Reduce by two-thirds, between 1990 and 2015, the under-five mortality rate. Infant mortality rate decrease</w:t>
      </w:r>
      <w:r>
        <w:rPr>
          <w:rFonts w:ascii="Sylfaen" w:hAnsi="Sylfaen"/>
          <w:color w:val="000000"/>
          <w:sz w:val="24"/>
          <w:szCs w:val="24"/>
          <w:lang w:val="en-GB" w:eastAsia="ka-GE"/>
        </w:rPr>
        <w:t>d</w:t>
      </w:r>
      <w:r w:rsidRPr="00832565">
        <w:rPr>
          <w:rFonts w:ascii="Sylfaen" w:hAnsi="Sylfaen"/>
          <w:color w:val="000000"/>
          <w:sz w:val="24"/>
          <w:szCs w:val="24"/>
          <w:lang w:val="en-GB" w:eastAsia="ka-GE"/>
        </w:rPr>
        <w:t xml:space="preserve"> dramatically since 2000-2017 from 27.3 to 9.6 per 1000 live birth.</w:t>
      </w:r>
    </w:p>
    <w:p w:rsidR="007D4AED" w:rsidRPr="00832565" w:rsidRDefault="007D4AED" w:rsidP="007D4AED">
      <w:pPr>
        <w:jc w:val="both"/>
        <w:rPr>
          <w:rFonts w:ascii="Sylfaen" w:hAnsi="Sylfaen"/>
          <w:color w:val="000000"/>
          <w:sz w:val="24"/>
          <w:szCs w:val="24"/>
          <w:lang w:val="en-GB" w:eastAsia="ka-GE"/>
        </w:rPr>
      </w:pPr>
    </w:p>
    <w:p w:rsidR="007D4AED" w:rsidRDefault="007D4AED" w:rsidP="007D4AED">
      <w:pPr>
        <w:jc w:val="both"/>
        <w:rPr>
          <w:rFonts w:ascii="Sylfaen" w:hAnsi="Sylfaen"/>
          <w:color w:val="000000"/>
          <w:sz w:val="24"/>
          <w:szCs w:val="24"/>
          <w:lang w:val="en-GB" w:eastAsia="ka-GE"/>
        </w:rPr>
      </w:pPr>
      <w:r>
        <w:rPr>
          <w:rFonts w:ascii="Sylfaen" w:hAnsi="Sylfaen" w:cstheme="minorHAnsi"/>
          <w:color w:val="000000" w:themeColor="text1"/>
          <w:kern w:val="24"/>
          <w:sz w:val="24"/>
          <w:szCs w:val="24"/>
          <w:lang w:val="en-GB" w:eastAsia="ka-GE"/>
        </w:rPr>
        <w:t>In 2017, the Georgian government developed a comprehensive long-term (2017-2030) Maternal and New</w:t>
      </w:r>
      <w:r>
        <w:rPr>
          <w:rFonts w:ascii="Sylfaen" w:hAnsi="Sylfaen" w:cstheme="minorHAnsi"/>
          <w:color w:val="000000" w:themeColor="text1"/>
          <w:kern w:val="24"/>
          <w:sz w:val="24"/>
          <w:szCs w:val="24"/>
          <w:lang w:val="ka-GE" w:eastAsia="ka-GE"/>
        </w:rPr>
        <w:t xml:space="preserve"> </w:t>
      </w:r>
      <w:r>
        <w:rPr>
          <w:rFonts w:ascii="Sylfaen" w:hAnsi="Sylfaen" w:cstheme="minorHAnsi"/>
          <w:color w:val="000000" w:themeColor="text1"/>
          <w:kern w:val="24"/>
          <w:sz w:val="24"/>
          <w:szCs w:val="24"/>
          <w:lang w:val="en-GB" w:eastAsia="ka-GE"/>
        </w:rPr>
        <w:t xml:space="preserve">born Health Care Strategy and short-term Action Plan (2017-2019) </w:t>
      </w:r>
      <w:r w:rsidRPr="00832565">
        <w:rPr>
          <w:rFonts w:ascii="Sylfaen" w:hAnsi="Sylfaen"/>
          <w:color w:val="000000"/>
          <w:sz w:val="24"/>
          <w:szCs w:val="24"/>
          <w:lang w:val="en-GB" w:eastAsia="ka-GE"/>
        </w:rPr>
        <w:t xml:space="preserve">with the aim to provide long-term guidance and coherent plan of action for the improvement of maternal and new born health in Georgia.   </w:t>
      </w:r>
    </w:p>
    <w:p w:rsidR="007D4AED" w:rsidRPr="00832565" w:rsidRDefault="007D4AED" w:rsidP="007D4AED">
      <w:pPr>
        <w:jc w:val="both"/>
        <w:rPr>
          <w:rFonts w:ascii="Sylfaen" w:hAnsi="Sylfaen"/>
          <w:sz w:val="24"/>
          <w:szCs w:val="24"/>
        </w:rPr>
      </w:pPr>
    </w:p>
    <w:p w:rsidR="007D4AED" w:rsidRPr="00832565" w:rsidRDefault="007D4AED" w:rsidP="007D4AED">
      <w:pPr>
        <w:autoSpaceDE w:val="0"/>
        <w:autoSpaceDN w:val="0"/>
        <w:adjustRightInd w:val="0"/>
        <w:spacing w:line="240" w:lineRule="atLeast"/>
        <w:jc w:val="both"/>
        <w:rPr>
          <w:rFonts w:ascii="Sylfaen" w:hAnsi="Sylfaen"/>
          <w:color w:val="000000"/>
          <w:sz w:val="24"/>
          <w:szCs w:val="24"/>
          <w:lang w:val="en-GB" w:eastAsia="ka-GE"/>
        </w:rPr>
      </w:pPr>
      <w:r>
        <w:rPr>
          <w:rFonts w:ascii="Sylfaen" w:hAnsi="Sylfaen" w:cstheme="minorHAnsi"/>
          <w:color w:val="000000" w:themeColor="text1"/>
          <w:kern w:val="24"/>
          <w:sz w:val="24"/>
          <w:szCs w:val="24"/>
          <w:lang w:val="en-GB" w:eastAsia="ka-GE"/>
        </w:rPr>
        <w:t>Significant step toward improvement of maternal and new</w:t>
      </w:r>
      <w:r>
        <w:rPr>
          <w:rFonts w:ascii="Sylfaen" w:hAnsi="Sylfaen" w:cstheme="minorHAnsi"/>
          <w:color w:val="000000" w:themeColor="text1"/>
          <w:kern w:val="24"/>
          <w:sz w:val="24"/>
          <w:szCs w:val="24"/>
          <w:lang w:val="ka-GE" w:eastAsia="ka-GE"/>
        </w:rPr>
        <w:t xml:space="preserve"> </w:t>
      </w:r>
      <w:r>
        <w:rPr>
          <w:rFonts w:ascii="Sylfaen" w:hAnsi="Sylfaen" w:cstheme="minorHAnsi"/>
          <w:color w:val="000000" w:themeColor="text1"/>
          <w:kern w:val="24"/>
          <w:sz w:val="24"/>
          <w:szCs w:val="24"/>
          <w:lang w:val="en-GB" w:eastAsia="ka-GE"/>
        </w:rPr>
        <w:t xml:space="preserve">born health outcomes was initiation of perinatal care regionalization in 2015. </w:t>
      </w:r>
      <w:r w:rsidRPr="00F11EE9">
        <w:rPr>
          <w:rFonts w:ascii="Sylfaen" w:hAnsi="Sylfaen" w:cstheme="minorHAnsi"/>
          <w:color w:val="000000" w:themeColor="text1"/>
          <w:kern w:val="24"/>
          <w:sz w:val="24"/>
          <w:szCs w:val="24"/>
          <w:lang w:val="en-GB" w:eastAsia="ka-GE"/>
        </w:rPr>
        <w:t xml:space="preserve">Regionalization of the perinatal care system is recognized as an ideal model of health care delivery to improve health outcomes and decrease maternal and infant morbidity and mortality through provision of risk-appropriate care. </w:t>
      </w:r>
      <w:r>
        <w:rPr>
          <w:rFonts w:ascii="Sylfaen" w:hAnsi="Sylfaen" w:cstheme="minorHAnsi"/>
          <w:color w:val="000000" w:themeColor="text1"/>
          <w:kern w:val="24"/>
          <w:sz w:val="24"/>
          <w:szCs w:val="24"/>
          <w:lang w:val="en-GB" w:eastAsia="ka-GE"/>
        </w:rPr>
        <w:t>Through regionalized system</w:t>
      </w:r>
      <w:r w:rsidRPr="00F11EE9">
        <w:rPr>
          <w:rFonts w:ascii="Sylfaen" w:hAnsi="Sylfaen" w:cstheme="minorHAnsi"/>
          <w:color w:val="000000" w:themeColor="text1"/>
          <w:kern w:val="24"/>
          <w:sz w:val="24"/>
          <w:szCs w:val="24"/>
          <w:lang w:val="en-GB" w:eastAsia="ka-GE"/>
        </w:rPr>
        <w:t xml:space="preserve"> </w:t>
      </w:r>
      <w:r>
        <w:rPr>
          <w:rFonts w:ascii="Sylfaen" w:hAnsi="Sylfaen" w:cstheme="minorHAnsi"/>
          <w:color w:val="000000" w:themeColor="text1"/>
          <w:kern w:val="24"/>
          <w:sz w:val="24"/>
          <w:szCs w:val="24"/>
          <w:lang w:val="en-GB" w:eastAsia="ka-GE"/>
        </w:rPr>
        <w:t xml:space="preserve">Georgia </w:t>
      </w:r>
      <w:r w:rsidRPr="00F11EE9">
        <w:rPr>
          <w:rFonts w:ascii="Sylfaen" w:hAnsi="Sylfaen" w:cstheme="minorHAnsi"/>
          <w:color w:val="000000" w:themeColor="text1"/>
          <w:kern w:val="24"/>
          <w:sz w:val="24"/>
          <w:szCs w:val="24"/>
          <w:lang w:val="en-GB" w:eastAsia="ka-GE"/>
        </w:rPr>
        <w:t>ensure</w:t>
      </w:r>
      <w:r>
        <w:rPr>
          <w:rFonts w:ascii="Sylfaen" w:hAnsi="Sylfaen" w:cstheme="minorHAnsi"/>
          <w:color w:val="000000" w:themeColor="text1"/>
          <w:kern w:val="24"/>
          <w:sz w:val="24"/>
          <w:szCs w:val="24"/>
          <w:lang w:val="en-GB" w:eastAsia="ka-GE"/>
        </w:rPr>
        <w:t>s</w:t>
      </w:r>
      <w:r w:rsidRPr="00F11EE9">
        <w:rPr>
          <w:rFonts w:ascii="Sylfaen" w:hAnsi="Sylfaen" w:cstheme="minorHAnsi"/>
          <w:color w:val="000000" w:themeColor="text1"/>
          <w:kern w:val="24"/>
          <w:sz w:val="24"/>
          <w:szCs w:val="24"/>
          <w:lang w:val="en-GB" w:eastAsia="ka-GE"/>
        </w:rPr>
        <w:t xml:space="preserve"> that each mother and </w:t>
      </w:r>
      <w:proofErr w:type="spellStart"/>
      <w:r w:rsidRPr="00F11EE9">
        <w:rPr>
          <w:rFonts w:ascii="Sylfaen" w:hAnsi="Sylfaen" w:cstheme="minorHAnsi"/>
          <w:color w:val="000000" w:themeColor="text1"/>
          <w:kern w:val="24"/>
          <w:sz w:val="24"/>
          <w:szCs w:val="24"/>
          <w:lang w:val="en-GB" w:eastAsia="ka-GE"/>
        </w:rPr>
        <w:t>newborn</w:t>
      </w:r>
      <w:proofErr w:type="spellEnd"/>
      <w:r w:rsidRPr="00F11EE9">
        <w:rPr>
          <w:rFonts w:ascii="Sylfaen" w:hAnsi="Sylfaen" w:cstheme="minorHAnsi"/>
          <w:color w:val="000000" w:themeColor="text1"/>
          <w:kern w:val="24"/>
          <w:sz w:val="24"/>
          <w:szCs w:val="24"/>
          <w:lang w:val="en-GB" w:eastAsia="ka-GE"/>
        </w:rPr>
        <w:t xml:space="preserve"> is delivered and cared in a facility appropriate for his or her healthcare needs and to facilitate the achievement of optimal outcomes.</w:t>
      </w:r>
      <w:r w:rsidRPr="009F1FBE">
        <w:rPr>
          <w:rFonts w:ascii="Sylfaen" w:hAnsi="Sylfaen"/>
          <w:sz w:val="24"/>
          <w:szCs w:val="24"/>
        </w:rPr>
        <w:t xml:space="preserve"> </w:t>
      </w:r>
      <w:r w:rsidRPr="00832565">
        <w:rPr>
          <w:rFonts w:ascii="Sylfaen" w:hAnsi="Sylfaen"/>
          <w:sz w:val="24"/>
          <w:szCs w:val="24"/>
        </w:rPr>
        <w:t xml:space="preserve">Regionalization </w:t>
      </w:r>
      <w:r>
        <w:rPr>
          <w:rFonts w:ascii="Sylfaen" w:hAnsi="Sylfaen"/>
          <w:sz w:val="24"/>
          <w:szCs w:val="24"/>
        </w:rPr>
        <w:t xml:space="preserve">process </w:t>
      </w:r>
      <w:r w:rsidRPr="00832565">
        <w:rPr>
          <w:rFonts w:ascii="Sylfaen" w:hAnsi="Sylfaen"/>
          <w:sz w:val="24"/>
          <w:szCs w:val="24"/>
        </w:rPr>
        <w:t>was completed in 2017.</w:t>
      </w:r>
      <w:r>
        <w:rPr>
          <w:rFonts w:ascii="Sylfaen" w:hAnsi="Sylfaen"/>
          <w:sz w:val="24"/>
          <w:szCs w:val="24"/>
        </w:rPr>
        <w:t xml:space="preserve"> Within the regionalization of the perinatal care </w:t>
      </w:r>
      <w:r w:rsidRPr="009F1FBE">
        <w:rPr>
          <w:rFonts w:ascii="Sylfaen" w:hAnsi="Sylfaen"/>
          <w:color w:val="000000"/>
          <w:sz w:val="24"/>
          <w:szCs w:val="24"/>
          <w:lang w:val="en-GB" w:eastAsia="ka-GE"/>
        </w:rPr>
        <w:t>105 facilities assessed, 82 facilities have designated level of care. All 82 facilities strengthened their capacity for infrastructure/equipment and competencies of service providers according to the level requirements.</w:t>
      </w:r>
      <w:r w:rsidRPr="00832565">
        <w:rPr>
          <w:rFonts w:ascii="Sylfaen" w:hAnsi="Sylfaen"/>
          <w:color w:val="000000"/>
          <w:sz w:val="24"/>
          <w:szCs w:val="24"/>
          <w:lang w:val="en-GB" w:eastAsia="ka-GE"/>
        </w:rPr>
        <w:t xml:space="preserve"> </w:t>
      </w:r>
    </w:p>
    <w:p w:rsidR="007D4AED" w:rsidRPr="00832565" w:rsidRDefault="007D4AED" w:rsidP="007D4AED">
      <w:pPr>
        <w:autoSpaceDE w:val="0"/>
        <w:autoSpaceDN w:val="0"/>
        <w:jc w:val="both"/>
        <w:rPr>
          <w:rFonts w:ascii="Sylfaen" w:hAnsi="Sylfaen"/>
          <w:color w:val="000000"/>
          <w:sz w:val="24"/>
          <w:szCs w:val="24"/>
          <w:lang w:val="en-GB" w:eastAsia="ka-GE"/>
        </w:rPr>
      </w:pPr>
    </w:p>
    <w:p w:rsidR="007D4AED" w:rsidRPr="00832565" w:rsidRDefault="007D4AED" w:rsidP="007D4AED">
      <w:pPr>
        <w:autoSpaceDE w:val="0"/>
        <w:autoSpaceDN w:val="0"/>
        <w:jc w:val="both"/>
        <w:rPr>
          <w:rFonts w:ascii="Sylfaen" w:hAnsi="Sylfaen"/>
          <w:color w:val="000000"/>
          <w:sz w:val="24"/>
          <w:szCs w:val="24"/>
          <w:lang w:val="en-GB" w:eastAsia="ka-GE"/>
        </w:rPr>
      </w:pPr>
      <w:r w:rsidRPr="00832565">
        <w:rPr>
          <w:rFonts w:ascii="Sylfaen" w:hAnsi="Sylfaen"/>
          <w:color w:val="000000"/>
          <w:sz w:val="24"/>
          <w:szCs w:val="24"/>
          <w:lang w:val="en-GB" w:eastAsia="ka-GE"/>
        </w:rPr>
        <w:t xml:space="preserve">In 2016, </w:t>
      </w:r>
      <w:r>
        <w:rPr>
          <w:rFonts w:ascii="Sylfaen" w:hAnsi="Sylfaen"/>
          <w:color w:val="000000"/>
          <w:sz w:val="24"/>
          <w:szCs w:val="24"/>
          <w:lang w:val="en-GB" w:eastAsia="ka-GE"/>
        </w:rPr>
        <w:t>the Ministry of Labour, Health and Social Affairs of Georgia (</w:t>
      </w:r>
      <w:proofErr w:type="spellStart"/>
      <w:r>
        <w:rPr>
          <w:rFonts w:ascii="Sylfaen" w:hAnsi="Sylfaen"/>
          <w:color w:val="000000"/>
          <w:sz w:val="24"/>
          <w:szCs w:val="24"/>
          <w:lang w:val="en-GB" w:eastAsia="ka-GE"/>
        </w:rPr>
        <w:t>MoLHSA</w:t>
      </w:r>
      <w:proofErr w:type="spellEnd"/>
      <w:r>
        <w:rPr>
          <w:rFonts w:ascii="Sylfaen" w:hAnsi="Sylfaen"/>
          <w:color w:val="000000"/>
          <w:sz w:val="24"/>
          <w:szCs w:val="24"/>
          <w:lang w:val="en-GB" w:eastAsia="ka-GE"/>
        </w:rPr>
        <w:t>)</w:t>
      </w:r>
      <w:r w:rsidRPr="00832565">
        <w:rPr>
          <w:rFonts w:ascii="Sylfaen" w:hAnsi="Sylfaen"/>
          <w:color w:val="000000"/>
          <w:sz w:val="24"/>
          <w:szCs w:val="24"/>
          <w:lang w:val="en-GB" w:eastAsia="ka-GE"/>
        </w:rPr>
        <w:t xml:space="preserve"> in </w:t>
      </w:r>
      <w:r>
        <w:rPr>
          <w:rFonts w:ascii="Sylfaen" w:hAnsi="Sylfaen"/>
          <w:color w:val="000000"/>
          <w:sz w:val="24"/>
          <w:szCs w:val="24"/>
          <w:lang w:val="en-GB" w:eastAsia="ka-GE"/>
        </w:rPr>
        <w:t>collaboration</w:t>
      </w:r>
      <w:r w:rsidRPr="00832565">
        <w:rPr>
          <w:rFonts w:ascii="Sylfaen" w:hAnsi="Sylfaen"/>
          <w:color w:val="000000"/>
          <w:sz w:val="24"/>
          <w:szCs w:val="24"/>
          <w:lang w:val="en-GB" w:eastAsia="ka-GE"/>
        </w:rPr>
        <w:t xml:space="preserve"> with </w:t>
      </w:r>
      <w:r>
        <w:rPr>
          <w:rFonts w:ascii="Sylfaen" w:hAnsi="Sylfaen"/>
          <w:color w:val="000000"/>
          <w:sz w:val="24"/>
          <w:szCs w:val="24"/>
          <w:lang w:val="en-GB" w:eastAsia="ka-GE"/>
        </w:rPr>
        <w:t>LEPL National Centre for Diseases Control and Public Health</w:t>
      </w:r>
      <w:r w:rsidRPr="00832565">
        <w:rPr>
          <w:rFonts w:ascii="Sylfaen" w:hAnsi="Sylfaen"/>
          <w:color w:val="000000"/>
          <w:sz w:val="24"/>
          <w:szCs w:val="24"/>
          <w:lang w:val="en-GB" w:eastAsia="ka-GE"/>
        </w:rPr>
        <w:t xml:space="preserve"> launched the nationwide electronic registry “Mother’s and neonate’s health surveillance system”, so called “Georgian Birth Registry” (GBR). The system tracks information on all cases of pregnancy</w:t>
      </w:r>
      <w:r w:rsidRPr="00832565">
        <w:rPr>
          <w:rFonts w:ascii="Sylfaen" w:hAnsi="Sylfaen"/>
          <w:color w:val="000000"/>
          <w:sz w:val="24"/>
          <w:szCs w:val="24"/>
          <w:lang w:val="ka-GE" w:eastAsia="ka-GE"/>
        </w:rPr>
        <w:t>,</w:t>
      </w:r>
      <w:r w:rsidRPr="00832565">
        <w:rPr>
          <w:rFonts w:ascii="Sylfaen" w:hAnsi="Sylfaen"/>
          <w:color w:val="000000"/>
          <w:sz w:val="24"/>
          <w:szCs w:val="24"/>
          <w:lang w:val="en-GB" w:eastAsia="ka-GE"/>
        </w:rPr>
        <w:t xml:space="preserve"> delivery, postpartum, neonatal care and </w:t>
      </w:r>
      <w:r>
        <w:rPr>
          <w:rFonts w:ascii="Sylfaen" w:hAnsi="Sylfaen"/>
          <w:color w:val="000000"/>
          <w:sz w:val="24"/>
          <w:szCs w:val="24"/>
          <w:lang w:val="en-GB" w:eastAsia="ka-GE"/>
        </w:rPr>
        <w:t>caesarean section</w:t>
      </w:r>
      <w:r w:rsidRPr="00832565">
        <w:rPr>
          <w:rFonts w:ascii="Sylfaen" w:hAnsi="Sylfaen"/>
          <w:color w:val="000000"/>
          <w:sz w:val="24"/>
          <w:szCs w:val="24"/>
          <w:lang w:val="en-GB" w:eastAsia="ka-GE"/>
        </w:rPr>
        <w:t>.</w:t>
      </w:r>
    </w:p>
    <w:p w:rsidR="007D4AED" w:rsidRPr="00832565" w:rsidRDefault="007D4AED" w:rsidP="007D4AED">
      <w:pPr>
        <w:autoSpaceDE w:val="0"/>
        <w:autoSpaceDN w:val="0"/>
        <w:jc w:val="both"/>
        <w:rPr>
          <w:rFonts w:ascii="Sylfaen" w:hAnsi="Sylfaen"/>
          <w:color w:val="000000"/>
          <w:sz w:val="24"/>
          <w:szCs w:val="24"/>
          <w:lang w:val="en-GB" w:eastAsia="ka-GE"/>
        </w:rPr>
      </w:pPr>
    </w:p>
    <w:p w:rsidR="007D4AED" w:rsidRDefault="007D4AED" w:rsidP="007D4AED">
      <w:pPr>
        <w:jc w:val="both"/>
        <w:rPr>
          <w:rFonts w:ascii="Sylfaen" w:hAnsi="Sylfaen"/>
          <w:sz w:val="24"/>
          <w:szCs w:val="24"/>
          <w:lang w:val="ka-GE"/>
        </w:rPr>
      </w:pPr>
      <w:r w:rsidRPr="00832565">
        <w:rPr>
          <w:rFonts w:ascii="Sylfaen" w:hAnsi="Sylfaen"/>
          <w:color w:val="000000"/>
          <w:sz w:val="24"/>
          <w:szCs w:val="24"/>
          <w:lang w:val="en-GB" w:eastAsia="ka-GE"/>
        </w:rPr>
        <w:t xml:space="preserve">The GBR provides an opportunity: </w:t>
      </w:r>
      <w:r w:rsidRPr="00832565">
        <w:rPr>
          <w:rFonts w:ascii="Sylfaen" w:hAnsi="Sylfaen"/>
          <w:sz w:val="24"/>
          <w:szCs w:val="24"/>
        </w:rPr>
        <w:t>to get comprehensive knowledge on a wide array of indicators, related to the maternal and newborn health, morbidity and mortality along with the quality of antenatal, obstetric and neonatal care</w:t>
      </w:r>
      <w:r w:rsidRPr="00832565">
        <w:rPr>
          <w:rFonts w:ascii="Sylfaen" w:hAnsi="Sylfaen"/>
          <w:color w:val="000000"/>
          <w:sz w:val="24"/>
          <w:szCs w:val="24"/>
          <w:lang w:val="en-GB" w:eastAsia="ka-GE"/>
        </w:rPr>
        <w:t xml:space="preserve">; </w:t>
      </w:r>
      <w:r w:rsidRPr="00832565">
        <w:rPr>
          <w:rFonts w:ascii="Sylfaen" w:hAnsi="Sylfaen"/>
          <w:sz w:val="24"/>
          <w:szCs w:val="24"/>
        </w:rPr>
        <w:t>to make evidence-based policy decisions.</w:t>
      </w:r>
      <w:r w:rsidRPr="00832565">
        <w:rPr>
          <w:rFonts w:ascii="Sylfaen" w:hAnsi="Sylfaen"/>
          <w:color w:val="000000"/>
          <w:sz w:val="24"/>
          <w:szCs w:val="24"/>
          <w:lang w:eastAsia="ka-GE"/>
        </w:rPr>
        <w:t xml:space="preserve"> </w:t>
      </w:r>
      <w:r w:rsidRPr="00832565">
        <w:rPr>
          <w:rFonts w:ascii="Sylfaen" w:hAnsi="Sylfaen"/>
          <w:sz w:val="24"/>
          <w:szCs w:val="24"/>
        </w:rPr>
        <w:t>The coverage of pregnancy and childbirth by GBR increased from 47% in 2016 to 96% in 2017.</w:t>
      </w:r>
    </w:p>
    <w:p w:rsidR="00B26F3E" w:rsidRDefault="00B26F3E" w:rsidP="007D4AED">
      <w:pPr>
        <w:jc w:val="both"/>
        <w:rPr>
          <w:rFonts w:ascii="Sylfaen" w:hAnsi="Sylfaen"/>
          <w:sz w:val="24"/>
          <w:szCs w:val="24"/>
          <w:lang w:val="ka-GE"/>
        </w:rPr>
      </w:pPr>
    </w:p>
    <w:p w:rsidR="004E26CC" w:rsidRDefault="004E26CC" w:rsidP="004E26CC">
      <w:pPr>
        <w:tabs>
          <w:tab w:val="left" w:pos="900"/>
        </w:tabs>
        <w:autoSpaceDE w:val="0"/>
        <w:autoSpaceDN w:val="0"/>
        <w:adjustRightInd w:val="0"/>
        <w:spacing w:afterLines="120" w:after="288"/>
        <w:jc w:val="both"/>
        <w:rPr>
          <w:rFonts w:eastAsia="Times New Roman"/>
          <w:sz w:val="24"/>
          <w:szCs w:val="24"/>
        </w:rPr>
      </w:pPr>
      <w:r w:rsidRPr="006B3BFA">
        <w:rPr>
          <w:rFonts w:eastAsia="Times New Roman"/>
          <w:sz w:val="24"/>
          <w:szCs w:val="24"/>
        </w:rPr>
        <w:t>Gender Equality</w:t>
      </w:r>
    </w:p>
    <w:p w:rsidR="004E26CC" w:rsidRPr="006B3BFA" w:rsidRDefault="004E26CC" w:rsidP="004E26CC">
      <w:pPr>
        <w:tabs>
          <w:tab w:val="left" w:pos="900"/>
        </w:tabs>
        <w:autoSpaceDE w:val="0"/>
        <w:autoSpaceDN w:val="0"/>
        <w:adjustRightInd w:val="0"/>
        <w:spacing w:afterLines="120" w:after="288"/>
        <w:jc w:val="both"/>
        <w:rPr>
          <w:rFonts w:eastAsia="Times New Roman"/>
          <w:sz w:val="24"/>
          <w:szCs w:val="24"/>
        </w:rPr>
      </w:pPr>
      <w:r w:rsidRPr="006B3BFA">
        <w:rPr>
          <w:rFonts w:eastAsia="Times New Roman"/>
          <w:sz w:val="24"/>
          <w:szCs w:val="24"/>
        </w:rPr>
        <w:t xml:space="preserve">Article 14 of the Constitution of Georgia reaffirms the equality of men and women before the law. Gender related issues are regulated by the Law of Georgia on Gender Equality. Part one of Article 4 of the above law stipulates that the State shall support and ensure equal rights for men and women in political, economic, social and cultural life. By this Law, equality between men and women are regulated in the following relations: </w:t>
      </w:r>
      <w:proofErr w:type="spellStart"/>
      <w:r w:rsidRPr="006B3BFA">
        <w:rPr>
          <w:rFonts w:eastAsia="Times New Roman"/>
          <w:sz w:val="24"/>
          <w:szCs w:val="24"/>
        </w:rPr>
        <w:t>labour</w:t>
      </w:r>
      <w:proofErr w:type="spellEnd"/>
      <w:r w:rsidRPr="006B3BFA">
        <w:rPr>
          <w:rFonts w:eastAsia="Times New Roman"/>
          <w:sz w:val="24"/>
          <w:szCs w:val="24"/>
        </w:rPr>
        <w:t xml:space="preserve"> relations; allocation of state grants in the field of education and science; equal access to information resources; health care and social sector; family relations, including property issues and child care. Furthermore, Article 6 of the Law on Georgian on Health Care prohibits the differentiation in the provision of medical services to men and women. </w:t>
      </w:r>
    </w:p>
    <w:p w:rsidR="004E26CC" w:rsidRPr="006B3BFA" w:rsidRDefault="004E26CC" w:rsidP="004E26CC">
      <w:pPr>
        <w:tabs>
          <w:tab w:val="left" w:pos="900"/>
        </w:tabs>
        <w:autoSpaceDE w:val="0"/>
        <w:autoSpaceDN w:val="0"/>
        <w:adjustRightInd w:val="0"/>
        <w:spacing w:afterLines="120" w:after="288"/>
        <w:jc w:val="both"/>
        <w:rPr>
          <w:rFonts w:eastAsia="Times New Roman"/>
          <w:sz w:val="24"/>
          <w:szCs w:val="24"/>
        </w:rPr>
      </w:pPr>
      <w:r w:rsidRPr="006B3BFA">
        <w:rPr>
          <w:rFonts w:eastAsia="Times New Roman"/>
          <w:sz w:val="24"/>
          <w:szCs w:val="24"/>
        </w:rPr>
        <w:lastRenderedPageBreak/>
        <w:t>In 2009, A Gender Equality Council was set up within the Parliament of Georgia, chaired by the Deputy Speaker of the Parliament. The Council approved an Action Plan on Gender Equality for 2011-2013. Considering the Council of Europe Gender Equality Strategy of 2014-2016, on January 24, 2014, the Parliament of Georgia adopted 2014-2016 Action</w:t>
      </w:r>
      <w:r>
        <w:rPr>
          <w:rFonts w:eastAsia="Times New Roman"/>
          <w:sz w:val="24"/>
          <w:szCs w:val="24"/>
        </w:rPr>
        <w:t xml:space="preserve"> </w:t>
      </w:r>
      <w:proofErr w:type="gramStart"/>
      <w:r w:rsidRPr="006B3BFA">
        <w:rPr>
          <w:rFonts w:eastAsia="Times New Roman"/>
          <w:sz w:val="24"/>
          <w:szCs w:val="24"/>
        </w:rPr>
        <w:t>Plan</w:t>
      </w:r>
      <w:proofErr w:type="gramEnd"/>
      <w:r w:rsidRPr="006B3BFA">
        <w:rPr>
          <w:rFonts w:eastAsia="Times New Roman"/>
          <w:sz w:val="24"/>
          <w:szCs w:val="24"/>
        </w:rPr>
        <w:t xml:space="preserve"> on the Implementation of Gender Equality Policy Activities in Georgia. The Action Plan aims at fighting against gender stereotypes, elimination of violence against women, equal participation of men and women in economic sector, combating gender stereotype traditions, equal access to justice and equal participation in decision-making process. </w:t>
      </w:r>
    </w:p>
    <w:p w:rsidR="004E26CC" w:rsidRPr="006B3BFA" w:rsidRDefault="004E26CC" w:rsidP="004E26CC">
      <w:pPr>
        <w:tabs>
          <w:tab w:val="left" w:pos="900"/>
        </w:tabs>
        <w:autoSpaceDE w:val="0"/>
        <w:autoSpaceDN w:val="0"/>
        <w:adjustRightInd w:val="0"/>
        <w:spacing w:afterLines="120" w:after="288"/>
        <w:jc w:val="both"/>
        <w:rPr>
          <w:rFonts w:eastAsia="Times New Roman"/>
          <w:sz w:val="24"/>
          <w:szCs w:val="24"/>
        </w:rPr>
      </w:pPr>
      <w:r w:rsidRPr="006B3BFA">
        <w:rPr>
          <w:rFonts w:eastAsia="Times New Roman"/>
          <w:sz w:val="24"/>
          <w:szCs w:val="24"/>
        </w:rPr>
        <w:t xml:space="preserve">On April 30, 2014, the Parliament of Georgia approved the </w:t>
      </w:r>
      <w:r w:rsidRPr="006B3BFA">
        <w:rPr>
          <w:rFonts w:eastAsia="Times New Roman"/>
          <w:bCs/>
          <w:sz w:val="24"/>
          <w:szCs w:val="24"/>
        </w:rPr>
        <w:t>National strategy for</w:t>
      </w:r>
      <w:r w:rsidRPr="006B3BFA">
        <w:rPr>
          <w:rFonts w:eastAsia="Times New Roman"/>
          <w:sz w:val="24"/>
          <w:szCs w:val="24"/>
        </w:rPr>
        <w:t> the Protection of </w:t>
      </w:r>
      <w:r w:rsidRPr="006B3BFA">
        <w:rPr>
          <w:rFonts w:eastAsia="Times New Roman"/>
          <w:bCs/>
          <w:sz w:val="24"/>
          <w:szCs w:val="24"/>
        </w:rPr>
        <w:t>Human Rights</w:t>
      </w:r>
      <w:r w:rsidRPr="006B3BFA">
        <w:rPr>
          <w:rFonts w:eastAsia="Times New Roman"/>
          <w:sz w:val="24"/>
          <w:szCs w:val="24"/>
        </w:rPr>
        <w:t> in </w:t>
      </w:r>
      <w:r w:rsidRPr="006B3BFA">
        <w:rPr>
          <w:rFonts w:eastAsia="Times New Roman"/>
          <w:bCs/>
          <w:sz w:val="24"/>
          <w:szCs w:val="24"/>
        </w:rPr>
        <w:t>Georgia</w:t>
      </w:r>
      <w:r w:rsidRPr="006B3BFA">
        <w:rPr>
          <w:rFonts w:eastAsia="Times New Roman"/>
          <w:sz w:val="24"/>
          <w:szCs w:val="24"/>
        </w:rPr>
        <w:t> 2014-2020. 14</w:t>
      </w:r>
      <w:r w:rsidRPr="006B3BFA">
        <w:rPr>
          <w:rFonts w:eastAsia="Times New Roman"/>
          <w:sz w:val="24"/>
          <w:szCs w:val="24"/>
          <w:vertAlign w:val="superscript"/>
        </w:rPr>
        <w:t>th</w:t>
      </w:r>
      <w:r w:rsidRPr="006B3BFA">
        <w:rPr>
          <w:rFonts w:eastAsia="Times New Roman"/>
          <w:sz w:val="24"/>
          <w:szCs w:val="24"/>
        </w:rPr>
        <w:t xml:space="preserve"> strategic objective of the Strategy is the </w:t>
      </w:r>
      <w:r w:rsidRPr="006B3BFA">
        <w:rPr>
          <w:sz w:val="24"/>
          <w:szCs w:val="24"/>
        </w:rPr>
        <w:t xml:space="preserve">Promotion of gender equality, protection of women’s rights and prevention of domestic violence. Furthermore, Governmental </w:t>
      </w:r>
      <w:r>
        <w:rPr>
          <w:sz w:val="24"/>
          <w:szCs w:val="24"/>
        </w:rPr>
        <w:t>strategy</w:t>
      </w:r>
      <w:r w:rsidRPr="006B3BFA">
        <w:rPr>
          <w:sz w:val="24"/>
          <w:szCs w:val="24"/>
        </w:rPr>
        <w:t xml:space="preserve"> for the Protection of Human Rights encompasses relevant chapter on gender equality and empowerment of women, the actions to be taken for combating the violence against women, domestic violence and protection of victims, as well as other activities related to the implementation of </w:t>
      </w:r>
      <w:r w:rsidRPr="006B3BFA">
        <w:rPr>
          <w:rFonts w:eastAsia="Times New Roman"/>
          <w:sz w:val="24"/>
          <w:szCs w:val="24"/>
        </w:rPr>
        <w:t xml:space="preserve">UN Security Council Resolutions Women, Peace and Security. </w:t>
      </w:r>
    </w:p>
    <w:p w:rsidR="004E26CC" w:rsidRPr="006B3BFA" w:rsidRDefault="004E26CC" w:rsidP="004E26CC">
      <w:pPr>
        <w:tabs>
          <w:tab w:val="left" w:pos="900"/>
        </w:tabs>
        <w:autoSpaceDE w:val="0"/>
        <w:autoSpaceDN w:val="0"/>
        <w:adjustRightInd w:val="0"/>
        <w:spacing w:afterLines="120" w:after="288"/>
        <w:jc w:val="both"/>
        <w:rPr>
          <w:rFonts w:eastAsia="Times New Roman"/>
          <w:sz w:val="24"/>
          <w:szCs w:val="24"/>
        </w:rPr>
      </w:pPr>
      <w:r w:rsidRPr="006B3BFA">
        <w:rPr>
          <w:rFonts w:eastAsia="Times New Roman"/>
          <w:sz w:val="24"/>
          <w:szCs w:val="24"/>
        </w:rPr>
        <w:t>In order to increase participation of women in political life, on July 29, 2013, amendments have been made to the Organic Law of Georgian on the Political Union of Citizens. Sub-paragraph 7</w:t>
      </w:r>
      <w:r w:rsidRPr="006B3BFA">
        <w:rPr>
          <w:rFonts w:eastAsia="Times New Roman"/>
          <w:szCs w:val="24"/>
        </w:rPr>
        <w:t>1</w:t>
      </w:r>
      <w:r w:rsidRPr="006B3BFA">
        <w:rPr>
          <w:rFonts w:eastAsia="Times New Roman"/>
          <w:sz w:val="24"/>
          <w:szCs w:val="24"/>
        </w:rPr>
        <w:t xml:space="preserve"> was added to Article 30 of the Law, which stipulates that the election subject receiving funding from the state budget in accordance with rules prescribed by this Article, will receive from the state budget 10% of supplement, if in the nominated party list (local self-government elections – all party list) it includes at least 30% of different gender in each 10 candidates. </w:t>
      </w:r>
    </w:p>
    <w:p w:rsidR="004E26CC" w:rsidRDefault="004E26CC" w:rsidP="004E26CC">
      <w:pPr>
        <w:tabs>
          <w:tab w:val="left" w:pos="900"/>
        </w:tabs>
        <w:autoSpaceDE w:val="0"/>
        <w:autoSpaceDN w:val="0"/>
        <w:adjustRightInd w:val="0"/>
        <w:spacing w:afterLines="120" w:after="288"/>
        <w:jc w:val="both"/>
        <w:rPr>
          <w:rFonts w:eastAsia="Times New Roman"/>
          <w:sz w:val="24"/>
          <w:szCs w:val="24"/>
        </w:rPr>
      </w:pPr>
      <w:r w:rsidRPr="006B3BFA">
        <w:rPr>
          <w:rFonts w:eastAsia="Times New Roman"/>
          <w:sz w:val="24"/>
          <w:szCs w:val="24"/>
        </w:rPr>
        <w:t xml:space="preserve">In accordance with the amendments made to the Labour Code of Georgia in 2013, both maternity leave remuneration (from 600 GEL up to 10000 GEL) and period (from 4 months up to 6 months) has been increased. Second section of article 17 of the Code prohibits an overtime employment of a pregnant woman, a woman in a postnatal period or a person with limited capabilities without the consent of her/his person. According to Article 37 of the same Code, after an employed women notifies an employee on her pregnancy, it is prohibited the cease an employment contract, if the women is in a maternity leave, is in </w:t>
      </w:r>
      <w:proofErr w:type="spellStart"/>
      <w:r w:rsidRPr="006B3BFA">
        <w:rPr>
          <w:rFonts w:eastAsia="Times New Roman"/>
          <w:sz w:val="24"/>
          <w:szCs w:val="24"/>
        </w:rPr>
        <w:t>labour</w:t>
      </w:r>
      <w:proofErr w:type="spellEnd"/>
      <w:r w:rsidRPr="006B3BFA">
        <w:rPr>
          <w:rFonts w:eastAsia="Times New Roman"/>
          <w:sz w:val="24"/>
          <w:szCs w:val="24"/>
        </w:rPr>
        <w:t xml:space="preserve"> or taking care of her child. </w:t>
      </w:r>
    </w:p>
    <w:p w:rsidR="004E26CC" w:rsidRDefault="004E26CC" w:rsidP="004E26CC">
      <w:pPr>
        <w:tabs>
          <w:tab w:val="left" w:pos="900"/>
        </w:tabs>
        <w:autoSpaceDE w:val="0"/>
        <w:autoSpaceDN w:val="0"/>
        <w:adjustRightInd w:val="0"/>
        <w:spacing w:afterLines="120" w:after="288"/>
        <w:jc w:val="both"/>
        <w:rPr>
          <w:rFonts w:eastAsia="Times New Roman"/>
          <w:sz w:val="24"/>
          <w:szCs w:val="24"/>
        </w:rPr>
      </w:pPr>
    </w:p>
    <w:p w:rsidR="004E26CC" w:rsidRDefault="004E26CC" w:rsidP="004E26CC">
      <w:pPr>
        <w:tabs>
          <w:tab w:val="left" w:pos="900"/>
        </w:tabs>
        <w:autoSpaceDE w:val="0"/>
        <w:autoSpaceDN w:val="0"/>
        <w:adjustRightInd w:val="0"/>
        <w:spacing w:afterLines="120" w:after="288"/>
        <w:jc w:val="both"/>
        <w:rPr>
          <w:rFonts w:eastAsia="Times New Roman"/>
          <w:sz w:val="24"/>
          <w:szCs w:val="24"/>
        </w:rPr>
      </w:pPr>
      <w:bookmarkStart w:id="0" w:name="_GoBack"/>
      <w:bookmarkEnd w:id="0"/>
    </w:p>
    <w:p w:rsidR="004E26CC" w:rsidRDefault="004E26CC" w:rsidP="004E26CC">
      <w:pPr>
        <w:tabs>
          <w:tab w:val="left" w:pos="900"/>
        </w:tabs>
        <w:autoSpaceDE w:val="0"/>
        <w:autoSpaceDN w:val="0"/>
        <w:adjustRightInd w:val="0"/>
        <w:spacing w:afterLines="120" w:after="288"/>
        <w:jc w:val="both"/>
        <w:rPr>
          <w:rFonts w:eastAsia="Times New Roman"/>
          <w:sz w:val="24"/>
          <w:szCs w:val="24"/>
        </w:rPr>
      </w:pPr>
    </w:p>
    <w:p w:rsidR="004E26CC" w:rsidRPr="006B3BFA" w:rsidRDefault="004E26CC" w:rsidP="004E26CC">
      <w:pPr>
        <w:tabs>
          <w:tab w:val="left" w:pos="900"/>
        </w:tabs>
        <w:autoSpaceDE w:val="0"/>
        <w:autoSpaceDN w:val="0"/>
        <w:adjustRightInd w:val="0"/>
        <w:spacing w:afterLines="120" w:after="288"/>
        <w:jc w:val="both"/>
        <w:rPr>
          <w:rFonts w:eastAsia="Times New Roman"/>
          <w:sz w:val="24"/>
          <w:szCs w:val="24"/>
        </w:rPr>
      </w:pPr>
    </w:p>
    <w:p w:rsidR="00B26F3E" w:rsidRPr="004E26CC" w:rsidRDefault="00B26F3E" w:rsidP="007D4AED">
      <w:pPr>
        <w:jc w:val="both"/>
        <w:rPr>
          <w:rFonts w:ascii="Sylfaen" w:hAnsi="Sylfaen"/>
          <w:color w:val="000000"/>
          <w:sz w:val="24"/>
          <w:szCs w:val="24"/>
          <w:lang w:eastAsia="ka-GE"/>
        </w:rPr>
      </w:pPr>
    </w:p>
    <w:sectPr w:rsidR="00B26F3E" w:rsidRPr="004E26CC" w:rsidSect="00A36DC4">
      <w:pgSz w:w="11907" w:h="16840" w:code="9"/>
      <w:pgMar w:top="1134" w:right="1701" w:bottom="113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75675"/>
    <w:multiLevelType w:val="hybridMultilevel"/>
    <w:tmpl w:val="A920C95A"/>
    <w:lvl w:ilvl="0" w:tplc="35B4B8A6">
      <w:start w:val="1"/>
      <w:numFmt w:val="decimal"/>
      <w:lvlText w:val="%1."/>
      <w:lvlJc w:val="left"/>
      <w:pPr>
        <w:ind w:left="720" w:hanging="360"/>
      </w:pPr>
      <w:rPr>
        <w:rFonts w:ascii="Calibri" w:hAnsi="Calibr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AED"/>
    <w:rsid w:val="000C25EB"/>
    <w:rsid w:val="004E26CC"/>
    <w:rsid w:val="005B4AE3"/>
    <w:rsid w:val="007D4AED"/>
    <w:rsid w:val="00A36DC4"/>
    <w:rsid w:val="00B26F3E"/>
    <w:rsid w:val="00BD4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AE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
    <w:basedOn w:val="Normal"/>
    <w:link w:val="ListParagraphChar"/>
    <w:uiPriority w:val="34"/>
    <w:qFormat/>
    <w:rsid w:val="004E26CC"/>
    <w:pPr>
      <w:spacing w:after="160" w:line="259" w:lineRule="auto"/>
      <w:ind w:left="720"/>
      <w:contextualSpacing/>
    </w:pPr>
    <w:rPr>
      <w:rFonts w:ascii="Sylfaen" w:eastAsia="Calibri" w:hAnsi="Sylfaen" w:cs="Times New Roman"/>
      <w:lang w:val="ka-GE" w:eastAsia="ka-GE"/>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locked/>
    <w:rsid w:val="004E26CC"/>
    <w:rPr>
      <w:rFonts w:ascii="Sylfaen" w:eastAsia="Calibri" w:hAnsi="Sylfaen" w:cs="Times New Roman"/>
      <w:lang w:val="ka-GE" w:eastAsia="ka-G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AE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
    <w:basedOn w:val="Normal"/>
    <w:link w:val="ListParagraphChar"/>
    <w:uiPriority w:val="34"/>
    <w:qFormat/>
    <w:rsid w:val="004E26CC"/>
    <w:pPr>
      <w:spacing w:after="160" w:line="259" w:lineRule="auto"/>
      <w:ind w:left="720"/>
      <w:contextualSpacing/>
    </w:pPr>
    <w:rPr>
      <w:rFonts w:ascii="Sylfaen" w:eastAsia="Calibri" w:hAnsi="Sylfaen" w:cs="Times New Roman"/>
      <w:lang w:val="ka-GE" w:eastAsia="ka-GE"/>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locked/>
    <w:rsid w:val="004E26CC"/>
    <w:rPr>
      <w:rFonts w:ascii="Sylfaen" w:eastAsia="Calibri" w:hAnsi="Sylfaen" w:cs="Times New Roman"/>
      <w:lang w:val="ka-GE" w:eastAsia="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861</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2</cp:revision>
  <dcterms:created xsi:type="dcterms:W3CDTF">2019-03-05T10:45:00Z</dcterms:created>
  <dcterms:modified xsi:type="dcterms:W3CDTF">2019-03-05T11:34:00Z</dcterms:modified>
</cp:coreProperties>
</file>