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895" w:rsidRPr="00C92895" w:rsidRDefault="00C92895" w:rsidP="00C92895">
      <w:pPr>
        <w:pStyle w:val="Heading1"/>
        <w:spacing w:before="0" w:line="240" w:lineRule="auto"/>
        <w:rPr>
          <w:rFonts w:ascii="Times New Roman" w:hAnsi="Times New Roman"/>
          <w:b w:val="0"/>
          <w:shd w:val="clear" w:color="auto" w:fill="FFFFFF"/>
        </w:rPr>
      </w:pPr>
      <w:r w:rsidRPr="00C92895">
        <w:rPr>
          <w:rFonts w:ascii="Times New Roman" w:hAnsi="Times New Roman"/>
          <w:shd w:val="clear" w:color="auto" w:fill="FFFFFF"/>
        </w:rPr>
        <w:t xml:space="preserve">Maternal and Child Health </w:t>
      </w:r>
    </w:p>
    <w:p w:rsidR="00C92895" w:rsidRPr="00C92895" w:rsidRDefault="00C92895" w:rsidP="00C92895">
      <w:pPr>
        <w:pStyle w:val="ListParagraph"/>
        <w:spacing w:after="0" w:line="240" w:lineRule="auto"/>
        <w:jc w:val="both"/>
        <w:rPr>
          <w:rFonts w:ascii="Times New Roman" w:hAnsi="Times New Roman"/>
          <w:b/>
          <w:sz w:val="24"/>
        </w:rPr>
      </w:pPr>
    </w:p>
    <w:p w:rsidR="00C92895" w:rsidRPr="00C92895" w:rsidRDefault="00C92895" w:rsidP="00C92895">
      <w:pPr>
        <w:pStyle w:val="ListParagraph"/>
        <w:numPr>
          <w:ilvl w:val="0"/>
          <w:numId w:val="1"/>
        </w:numPr>
        <w:spacing w:after="0" w:line="240" w:lineRule="auto"/>
        <w:jc w:val="both"/>
        <w:rPr>
          <w:rFonts w:ascii="Times New Roman" w:hAnsi="Times New Roman"/>
          <w:b/>
          <w:sz w:val="24"/>
        </w:rPr>
      </w:pPr>
      <w:r w:rsidRPr="00C92895">
        <w:rPr>
          <w:rFonts w:ascii="Times New Roman" w:hAnsi="Times New Roman"/>
          <w:kern w:val="24"/>
          <w:sz w:val="24"/>
          <w:lang w:val="en-GB"/>
        </w:rPr>
        <w:t xml:space="preserve">Georgia managed to reduce under–five mortality </w:t>
      </w:r>
      <w:proofErr w:type="gramStart"/>
      <w:r w:rsidRPr="00C92895">
        <w:rPr>
          <w:rFonts w:ascii="Times New Roman" w:hAnsi="Times New Roman"/>
          <w:kern w:val="24"/>
          <w:sz w:val="24"/>
          <w:lang w:val="en-GB"/>
        </w:rPr>
        <w:t>rate</w:t>
      </w:r>
      <w:proofErr w:type="gramEnd"/>
      <w:r w:rsidRPr="00C92895">
        <w:rPr>
          <w:rFonts w:ascii="Times New Roman" w:hAnsi="Times New Roman"/>
          <w:kern w:val="24"/>
          <w:sz w:val="24"/>
          <w:lang w:val="en-GB"/>
        </w:rPr>
        <w:t xml:space="preserve"> to 10.2 per 1000 live births by 2015 thus accomplishing the Millennium Development Goal </w:t>
      </w:r>
      <w:r w:rsidRPr="004B2420">
        <w:rPr>
          <w:rFonts w:ascii="Times New Roman" w:hAnsi="Times New Roman" w:cs="Times New Roman"/>
          <w:kern w:val="24"/>
          <w:sz w:val="24"/>
          <w:szCs w:val="24"/>
          <w:lang w:val="en-GB" w:eastAsia="ka-GE"/>
        </w:rPr>
        <w:t>№4</w:t>
      </w:r>
      <w:r w:rsidRPr="00C92895">
        <w:rPr>
          <w:rFonts w:ascii="Times New Roman" w:hAnsi="Times New Roman"/>
          <w:kern w:val="24"/>
          <w:sz w:val="24"/>
          <w:lang w:val="en-GB"/>
        </w:rPr>
        <w:t xml:space="preserve"> (MDG) set at the 2000 Millennium Summit: Reduce by two-thirds, between 1990 and 2015, the under-five mortality rate. </w:t>
      </w:r>
    </w:p>
    <w:p w:rsidR="00C92895" w:rsidRDefault="00C92895" w:rsidP="00C92895">
      <w:pPr>
        <w:pStyle w:val="ListParagraph"/>
        <w:numPr>
          <w:ilvl w:val="0"/>
          <w:numId w:val="1"/>
        </w:numPr>
        <w:spacing w:after="0" w:line="240" w:lineRule="auto"/>
        <w:jc w:val="both"/>
        <w:rPr>
          <w:rFonts w:ascii="Times New Roman" w:hAnsi="Times New Roman"/>
          <w:sz w:val="24"/>
        </w:rPr>
      </w:pPr>
      <w:r>
        <w:rPr>
          <w:rFonts w:ascii="Times New Roman" w:hAnsi="Times New Roman"/>
          <w:sz w:val="24"/>
        </w:rPr>
        <w:t>From 2013, Universal Health Care Program is covered delivery and C-section.</w:t>
      </w:r>
    </w:p>
    <w:p w:rsidR="00C92895" w:rsidRPr="00C92895" w:rsidRDefault="00C92895" w:rsidP="00C92895">
      <w:pPr>
        <w:pStyle w:val="ListParagraph"/>
        <w:numPr>
          <w:ilvl w:val="0"/>
          <w:numId w:val="1"/>
        </w:numPr>
        <w:spacing w:after="0" w:line="240" w:lineRule="auto"/>
        <w:jc w:val="both"/>
        <w:rPr>
          <w:rFonts w:ascii="Times New Roman" w:hAnsi="Times New Roman"/>
          <w:sz w:val="24"/>
        </w:rPr>
      </w:pPr>
      <w:r w:rsidRPr="00C92895">
        <w:rPr>
          <w:rFonts w:ascii="Times New Roman" w:hAnsi="Times New Roman"/>
          <w:sz w:val="24"/>
        </w:rPr>
        <w:t>In 2015</w:t>
      </w:r>
      <w:r>
        <w:rPr>
          <w:rFonts w:ascii="Times New Roman" w:hAnsi="Times New Roman" w:cs="Times New Roman"/>
          <w:sz w:val="24"/>
          <w:szCs w:val="24"/>
        </w:rPr>
        <w:t>, the</w:t>
      </w:r>
      <w:r>
        <w:rPr>
          <w:rFonts w:ascii="Times New Roman" w:hAnsi="Times New Roman" w:cs="Times New Roman"/>
          <w:sz w:val="24"/>
          <w:szCs w:val="24"/>
        </w:rPr>
        <w:t xml:space="preserve"> </w:t>
      </w:r>
      <w:r w:rsidRPr="00C92895">
        <w:rPr>
          <w:rFonts w:ascii="Times New Roman" w:hAnsi="Times New Roman"/>
          <w:kern w:val="24"/>
          <w:sz w:val="24"/>
          <w:lang w:val="en-GB"/>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w:t>
      </w:r>
      <w:r w:rsidRPr="004B2420">
        <w:rPr>
          <w:rFonts w:ascii="Times New Roman" w:hAnsi="Times New Roman" w:cs="Times New Roman"/>
          <w:kern w:val="24"/>
          <w:sz w:val="24"/>
          <w:szCs w:val="24"/>
          <w:lang w:val="en-GB" w:eastAsia="ka-GE"/>
        </w:rPr>
        <w:t>Each</w:t>
      </w:r>
      <w:r w:rsidRPr="00C92895">
        <w:rPr>
          <w:rFonts w:ascii="Times New Roman" w:hAnsi="Times New Roman"/>
          <w:kern w:val="24"/>
          <w:sz w:val="24"/>
          <w:lang w:val="en-GB"/>
        </w:rPr>
        <w:t xml:space="preserve"> mother and new born is delivered and cared in a facility appropriate for their healthcare needs.</w:t>
      </w:r>
      <w:r>
        <w:rPr>
          <w:rFonts w:ascii="Times New Roman" w:hAnsi="Times New Roman"/>
          <w:kern w:val="24"/>
          <w:sz w:val="24"/>
          <w:lang w:val="en-GB"/>
        </w:rPr>
        <w:t xml:space="preserve"> </w:t>
      </w:r>
      <w:proofErr w:type="gramStart"/>
      <w:r w:rsidRPr="004B2420">
        <w:rPr>
          <w:rFonts w:ascii="Times New Roman" w:hAnsi="Times New Roman" w:cs="Times New Roman"/>
          <w:sz w:val="24"/>
          <w:szCs w:val="24"/>
        </w:rPr>
        <w:t>Also</w:t>
      </w:r>
      <w:proofErr w:type="gramEnd"/>
      <w:r w:rsidRPr="004B2420">
        <w:rPr>
          <w:rFonts w:ascii="Times New Roman" w:hAnsi="Times New Roman" w:cs="Times New Roman"/>
          <w:sz w:val="24"/>
          <w:szCs w:val="24"/>
        </w:rPr>
        <w:t xml:space="preserve">, selective contracting of perinatal care providers has been </w:t>
      </w:r>
      <w:r>
        <w:rPr>
          <w:rFonts w:ascii="Times New Roman" w:hAnsi="Times New Roman" w:cs="Times New Roman"/>
          <w:sz w:val="24"/>
          <w:szCs w:val="24"/>
        </w:rPr>
        <w:t>launched</w:t>
      </w:r>
      <w:r w:rsidRPr="004B2420">
        <w:rPr>
          <w:rFonts w:ascii="Times New Roman" w:hAnsi="Times New Roman" w:cs="Times New Roman"/>
          <w:sz w:val="24"/>
          <w:szCs w:val="24"/>
        </w:rPr>
        <w:t>.</w:t>
      </w:r>
      <w:r>
        <w:rPr>
          <w:rFonts w:ascii="Times New Roman" w:hAnsi="Times New Roman" w:cs="Times New Roman"/>
          <w:sz w:val="24"/>
          <w:szCs w:val="24"/>
        </w:rPr>
        <w:t xml:space="preserve"> </w:t>
      </w:r>
      <w:r w:rsidRPr="00C92895">
        <w:rPr>
          <w:rFonts w:ascii="Times New Roman" w:hAnsi="Times New Roman"/>
          <w:sz w:val="24"/>
        </w:rPr>
        <w:t xml:space="preserve">In </w:t>
      </w:r>
      <w:r w:rsidRPr="004B2420">
        <w:rPr>
          <w:rFonts w:ascii="Times New Roman" w:hAnsi="Times New Roman" w:cs="Times New Roman"/>
          <w:sz w:val="24"/>
          <w:szCs w:val="24"/>
        </w:rPr>
        <w:t>2017,</w:t>
      </w:r>
      <w:r w:rsidRPr="00C92895">
        <w:rPr>
          <w:rFonts w:ascii="Times New Roman" w:hAnsi="Times New Roman"/>
          <w:sz w:val="24"/>
        </w:rPr>
        <w:t xml:space="preserve"> the lowest mortality rate of maternal mortality has been observed in recent years </w:t>
      </w:r>
      <w:r w:rsidRPr="004B2420">
        <w:rPr>
          <w:rFonts w:ascii="Times New Roman" w:hAnsi="Times New Roman" w:cs="Times New Roman"/>
          <w:sz w:val="24"/>
          <w:szCs w:val="24"/>
        </w:rPr>
        <w:t>– 13.</w:t>
      </w:r>
      <w:r w:rsidRPr="004B2420">
        <w:rPr>
          <w:rFonts w:ascii="Times New Roman" w:hAnsi="Times New Roman" w:cs="Times New Roman"/>
          <w:sz w:val="24"/>
          <w:szCs w:val="24"/>
          <w:lang w:val="ka-GE"/>
        </w:rPr>
        <w:t>1</w:t>
      </w:r>
      <w:r w:rsidRPr="00C92895">
        <w:rPr>
          <w:rFonts w:ascii="Times New Roman" w:hAnsi="Times New Roman"/>
          <w:sz w:val="24"/>
        </w:rPr>
        <w:t xml:space="preserve"> /100 000 live</w:t>
      </w:r>
      <w:r w:rsidRPr="004B2420">
        <w:rPr>
          <w:rFonts w:ascii="Times New Roman" w:hAnsi="Times New Roman" w:cs="Times New Roman"/>
          <w:sz w:val="24"/>
          <w:szCs w:val="24"/>
        </w:rPr>
        <w:t xml:space="preserve"> </w:t>
      </w:r>
      <w:r w:rsidRPr="00C92895">
        <w:rPr>
          <w:rFonts w:ascii="Times New Roman" w:hAnsi="Times New Roman"/>
          <w:sz w:val="24"/>
        </w:rPr>
        <w:t>birth.</w:t>
      </w:r>
    </w:p>
    <w:p w:rsidR="00C92895" w:rsidRPr="00C92895" w:rsidRDefault="00C92895" w:rsidP="00C92895">
      <w:pPr>
        <w:pStyle w:val="ListParagraph"/>
        <w:numPr>
          <w:ilvl w:val="0"/>
          <w:numId w:val="1"/>
        </w:numPr>
        <w:spacing w:after="0" w:line="240" w:lineRule="auto"/>
        <w:jc w:val="both"/>
        <w:rPr>
          <w:rFonts w:ascii="Times New Roman" w:hAnsi="Times New Roman"/>
          <w:b/>
          <w:sz w:val="24"/>
        </w:rPr>
      </w:pPr>
      <w:r w:rsidRPr="00C92895">
        <w:rPr>
          <w:rFonts w:ascii="Times New Roman" w:hAnsi="Times New Roman"/>
          <w:kern w:val="24"/>
          <w:sz w:val="24"/>
          <w:lang w:val="en-GB"/>
        </w:rPr>
        <w:t>In 2017, a comprehensive long-term (2017-2030) Maternal and New</w:t>
      </w:r>
      <w:r>
        <w:rPr>
          <w:rFonts w:ascii="Times New Roman" w:hAnsi="Times New Roman"/>
          <w:kern w:val="24"/>
          <w:sz w:val="24"/>
          <w:lang w:val="en-GB"/>
        </w:rPr>
        <w:t xml:space="preserve"> </w:t>
      </w:r>
      <w:r w:rsidRPr="00C92895">
        <w:rPr>
          <w:rFonts w:ascii="Times New Roman" w:hAnsi="Times New Roman"/>
          <w:kern w:val="24"/>
          <w:sz w:val="24"/>
          <w:lang w:val="en-GB"/>
        </w:rPr>
        <w:t>born Health Care Strategy has been approved, which defines next 14 years’ state policy of maternal and new born health, family planning, sexual and reproductive health.</w:t>
      </w:r>
    </w:p>
    <w:p w:rsidR="00C92895" w:rsidRPr="00C92895" w:rsidRDefault="00C92895" w:rsidP="00C92895">
      <w:pPr>
        <w:pStyle w:val="ListParagraph"/>
        <w:numPr>
          <w:ilvl w:val="0"/>
          <w:numId w:val="1"/>
        </w:numPr>
        <w:spacing w:after="0" w:line="240" w:lineRule="auto"/>
        <w:jc w:val="both"/>
        <w:rPr>
          <w:rFonts w:ascii="Times New Roman" w:hAnsi="Times New Roman"/>
          <w:sz w:val="24"/>
        </w:rPr>
      </w:pPr>
      <w:r w:rsidRPr="00C92895">
        <w:rPr>
          <w:rFonts w:ascii="Times New Roman" w:hAnsi="Times New Roman"/>
          <w:kern w:val="24"/>
          <w:sz w:val="24"/>
          <w:lang w:val="en-GB"/>
        </w:rPr>
        <w:t>From June 2014, all pregnant women, before the 13</w:t>
      </w:r>
      <w:r w:rsidRPr="00C92895">
        <w:rPr>
          <w:rFonts w:ascii="Times New Roman" w:hAnsi="Times New Roman"/>
          <w:kern w:val="24"/>
          <w:sz w:val="24"/>
          <w:vertAlign w:val="superscript"/>
          <w:lang w:val="en-GB"/>
        </w:rPr>
        <w:t>th</w:t>
      </w:r>
      <w:r w:rsidRPr="00C92895">
        <w:rPr>
          <w:rFonts w:ascii="Times New Roman" w:hAnsi="Times New Roman"/>
          <w:kern w:val="24"/>
          <w:sz w:val="24"/>
          <w:lang w:val="en-GB"/>
        </w:rPr>
        <w:t xml:space="preserve"> week of pregnancy, are provided with folic acid and iron supplements in case of iron deficiency. New</w:t>
      </w:r>
      <w:r>
        <w:rPr>
          <w:rFonts w:ascii="Times New Roman" w:hAnsi="Times New Roman"/>
          <w:kern w:val="24"/>
          <w:sz w:val="24"/>
          <w:lang w:val="en-GB"/>
        </w:rPr>
        <w:t xml:space="preserve"> </w:t>
      </w:r>
      <w:r w:rsidRPr="00C92895">
        <w:rPr>
          <w:rFonts w:ascii="Times New Roman" w:hAnsi="Times New Roman"/>
          <w:kern w:val="24"/>
          <w:sz w:val="24"/>
          <w:lang w:val="en-GB"/>
        </w:rPr>
        <w:t xml:space="preserve">born (6-23 months) are provided with food supplements containing microelements. </w:t>
      </w:r>
    </w:p>
    <w:p w:rsidR="00C92895" w:rsidRPr="00C92895" w:rsidRDefault="00C92895" w:rsidP="00C92895">
      <w:pPr>
        <w:pStyle w:val="ListParagraph"/>
        <w:numPr>
          <w:ilvl w:val="0"/>
          <w:numId w:val="1"/>
        </w:numPr>
        <w:spacing w:after="0" w:line="240" w:lineRule="auto"/>
        <w:jc w:val="both"/>
        <w:rPr>
          <w:rFonts w:ascii="Times New Roman" w:hAnsi="Times New Roman"/>
          <w:sz w:val="24"/>
        </w:rPr>
      </w:pPr>
      <w:r w:rsidRPr="00C92895">
        <w:rPr>
          <w:rFonts w:ascii="Times New Roman" w:hAnsi="Times New Roman"/>
          <w:sz w:val="24"/>
        </w:rPr>
        <w:t>In 2016, the specific treatment of pregnant women with syphilis has started.</w:t>
      </w:r>
    </w:p>
    <w:p w:rsidR="00C92895" w:rsidRPr="00C92895" w:rsidRDefault="00C92895" w:rsidP="00C92895">
      <w:pPr>
        <w:pStyle w:val="ListParagraph"/>
        <w:numPr>
          <w:ilvl w:val="0"/>
          <w:numId w:val="1"/>
        </w:numPr>
        <w:spacing w:after="0" w:line="240" w:lineRule="auto"/>
        <w:jc w:val="both"/>
        <w:rPr>
          <w:rFonts w:ascii="Times New Roman" w:hAnsi="Times New Roman"/>
          <w:sz w:val="24"/>
        </w:rPr>
      </w:pPr>
      <w:r w:rsidRPr="00C92895">
        <w:rPr>
          <w:rFonts w:ascii="Times New Roman" w:hAnsi="Times New Roman"/>
          <w:sz w:val="24"/>
        </w:rPr>
        <w:t>From 2018, pregnant women registered within the Antenatal Care Program are provided with 8 visits instead of 4. Also, selective contracting of antenatal care providers has been started.</w:t>
      </w:r>
    </w:p>
    <w:p w:rsidR="00C92895" w:rsidRPr="00C92895" w:rsidRDefault="00C92895" w:rsidP="00C92895">
      <w:pPr>
        <w:spacing w:before="105" w:after="120" w:line="240" w:lineRule="auto"/>
        <w:rPr>
          <w:rFonts w:ascii="Times New Roman" w:hAnsi="Times New Roman"/>
          <w:i/>
          <w:color w:val="231F20"/>
          <w:sz w:val="18"/>
        </w:rPr>
      </w:pPr>
    </w:p>
    <w:p w:rsidR="00C92895" w:rsidRPr="00C92895" w:rsidRDefault="00C92895" w:rsidP="00C92895">
      <w:pPr>
        <w:pStyle w:val="ListParagraph"/>
        <w:spacing w:before="105" w:after="120" w:line="240" w:lineRule="auto"/>
        <w:ind w:left="2160" w:firstLine="720"/>
        <w:jc w:val="center"/>
        <w:rPr>
          <w:rFonts w:ascii="Times New Roman" w:hAnsi="Times New Roman"/>
          <w:i/>
          <w:color w:val="231F20"/>
          <w:sz w:val="18"/>
        </w:rPr>
      </w:pPr>
      <w:r w:rsidRPr="00C92895">
        <w:rPr>
          <w:rFonts w:ascii="Times New Roman" w:hAnsi="Times New Roman"/>
          <w:i/>
          <w:color w:val="231F20"/>
          <w:sz w:val="18"/>
          <w:lang w:val="ka-GE"/>
        </w:rPr>
        <w:t xml:space="preserve">Maternal Mortality Rate by different sources of information, Georgia, </w:t>
      </w:r>
      <w:r w:rsidRPr="004B2420">
        <w:rPr>
          <w:rFonts w:ascii="Times New Roman" w:hAnsi="Times New Roman" w:cs="Times New Roman"/>
          <w:i/>
          <w:color w:val="231F20"/>
          <w:sz w:val="18"/>
          <w:szCs w:val="18"/>
          <w:lang w:val="ka-GE"/>
        </w:rPr>
        <w:t>2000-201</w:t>
      </w:r>
      <w:r w:rsidRPr="004B2420">
        <w:rPr>
          <w:rFonts w:ascii="Times New Roman" w:hAnsi="Times New Roman" w:cs="Times New Roman"/>
          <w:i/>
          <w:color w:val="231F20"/>
          <w:sz w:val="18"/>
          <w:szCs w:val="18"/>
        </w:rPr>
        <w:t>7</w:t>
      </w:r>
    </w:p>
    <w:p w:rsidR="00C92895" w:rsidRPr="004B2420" w:rsidRDefault="00C92895" w:rsidP="00C92895">
      <w:pPr>
        <w:pStyle w:val="ListParagraph"/>
        <w:spacing w:before="105" w:after="120" w:line="240" w:lineRule="auto"/>
        <w:ind w:left="2160" w:firstLine="720"/>
        <w:jc w:val="center"/>
        <w:rPr>
          <w:rFonts w:ascii="Times New Roman" w:hAnsi="Times New Roman" w:cs="Times New Roman"/>
          <w:i/>
          <w:color w:val="231F20"/>
          <w:sz w:val="18"/>
          <w:szCs w:val="18"/>
        </w:rPr>
      </w:pPr>
    </w:p>
    <w:p w:rsidR="00C92895" w:rsidRPr="004B2420" w:rsidRDefault="00C92895" w:rsidP="00C92895">
      <w:pPr>
        <w:spacing w:before="105" w:after="120" w:line="240" w:lineRule="auto"/>
        <w:jc w:val="center"/>
        <w:rPr>
          <w:rFonts w:ascii="Times New Roman" w:hAnsi="Times New Roman" w:cs="Times New Roman"/>
          <w:sz w:val="18"/>
          <w:szCs w:val="18"/>
        </w:rPr>
      </w:pPr>
      <w:r w:rsidRPr="004B2420">
        <w:rPr>
          <w:rFonts w:ascii="Times New Roman" w:hAnsi="Times New Roman" w:cs="Times New Roman"/>
          <w:noProof/>
        </w:rPr>
        <w:drawing>
          <wp:inline distT="0" distB="0" distL="0" distR="0" wp14:anchorId="17251DF4" wp14:editId="05FAC75A">
            <wp:extent cx="5075464" cy="2607129"/>
            <wp:effectExtent l="19050" t="0" r="10886" b="2721"/>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92895" w:rsidRPr="004B2420" w:rsidRDefault="00C92895" w:rsidP="00C92895">
      <w:pPr>
        <w:pStyle w:val="ListParagraph"/>
        <w:spacing w:before="105" w:after="120" w:line="240" w:lineRule="auto"/>
        <w:ind w:left="2160" w:firstLine="720"/>
        <w:jc w:val="center"/>
        <w:rPr>
          <w:rFonts w:ascii="Times New Roman" w:hAnsi="Times New Roman" w:cs="Times New Roman"/>
          <w:sz w:val="18"/>
          <w:szCs w:val="18"/>
        </w:rPr>
      </w:pPr>
    </w:p>
    <w:p w:rsidR="00C92895" w:rsidRPr="00C92895" w:rsidRDefault="00C92895" w:rsidP="00C92895">
      <w:pPr>
        <w:spacing w:after="120" w:line="240" w:lineRule="auto"/>
        <w:jc w:val="both"/>
        <w:rPr>
          <w:rFonts w:ascii="Times New Roman" w:hAnsi="Times New Roman"/>
          <w:sz w:val="18"/>
        </w:rPr>
      </w:pPr>
      <w:r w:rsidRPr="00C92895">
        <w:rPr>
          <w:rFonts w:ascii="Times New Roman" w:hAnsi="Times New Roman"/>
          <w:sz w:val="18"/>
        </w:rPr>
        <w:t>Source: NCDC&amp;PH</w:t>
      </w:r>
    </w:p>
    <w:p w:rsidR="00EC2353" w:rsidRDefault="00EC2353"/>
    <w:p w:rsidR="00C92895" w:rsidRPr="001D4A4A" w:rsidRDefault="00C92895" w:rsidP="00C92895">
      <w:pPr>
        <w:autoSpaceDE w:val="0"/>
        <w:autoSpaceDN w:val="0"/>
        <w:adjustRightInd w:val="0"/>
        <w:jc w:val="both"/>
        <w:rPr>
          <w:color w:val="000000"/>
          <w:kern w:val="24"/>
          <w:sz w:val="24"/>
          <w:szCs w:val="24"/>
          <w:lang w:val="en-GB" w:eastAsia="ka-GE"/>
        </w:rPr>
      </w:pPr>
      <w:r w:rsidRPr="001D4A4A">
        <w:rPr>
          <w:b/>
          <w:kern w:val="24"/>
          <w:sz w:val="24"/>
          <w:szCs w:val="24"/>
          <w:lang w:eastAsia="ka-GE"/>
        </w:rPr>
        <w:t>Birth Registry</w:t>
      </w:r>
      <w:r>
        <w:rPr>
          <w:b/>
          <w:kern w:val="24"/>
          <w:sz w:val="24"/>
          <w:szCs w:val="24"/>
          <w:lang w:eastAsia="ka-GE"/>
        </w:rPr>
        <w:t xml:space="preserve">: </w:t>
      </w:r>
      <w:r w:rsidRPr="001D4A4A">
        <w:rPr>
          <w:color w:val="000000"/>
          <w:kern w:val="24"/>
          <w:sz w:val="24"/>
          <w:szCs w:val="24"/>
          <w:lang w:val="en-GB" w:eastAsia="ka-GE"/>
        </w:rPr>
        <w:t xml:space="preserve">In 2016, </w:t>
      </w:r>
      <w:proofErr w:type="spellStart"/>
      <w:r w:rsidRPr="001D4A4A">
        <w:rPr>
          <w:color w:val="000000"/>
          <w:kern w:val="24"/>
          <w:sz w:val="24"/>
          <w:szCs w:val="24"/>
          <w:lang w:val="en-GB" w:eastAsia="ka-GE"/>
        </w:rPr>
        <w:t>MoLHSA</w:t>
      </w:r>
      <w:proofErr w:type="spellEnd"/>
      <w:r w:rsidRPr="001D4A4A">
        <w:rPr>
          <w:color w:val="000000"/>
          <w:kern w:val="24"/>
          <w:sz w:val="24"/>
          <w:szCs w:val="24"/>
          <w:lang w:val="en-GB" w:eastAsia="ka-GE"/>
        </w:rPr>
        <w:t xml:space="preserve"> in alliance with NCDC launched the nationwide electronic registry “Mother’s and neonate’s health surveillance system”, so called “Georgian Birth </w:t>
      </w:r>
      <w:r w:rsidRPr="001D4A4A">
        <w:rPr>
          <w:color w:val="000000"/>
          <w:kern w:val="24"/>
          <w:sz w:val="24"/>
          <w:szCs w:val="24"/>
          <w:lang w:val="en-GB" w:eastAsia="ka-GE"/>
        </w:rPr>
        <w:lastRenderedPageBreak/>
        <w:t>Registry” (GBR). The system tracks information on all cases of pregnancy</w:t>
      </w:r>
      <w:r w:rsidRPr="001D4A4A">
        <w:rPr>
          <w:color w:val="000000"/>
          <w:kern w:val="24"/>
          <w:sz w:val="24"/>
          <w:szCs w:val="24"/>
          <w:lang w:val="ka-GE" w:eastAsia="ka-GE"/>
        </w:rPr>
        <w:t>,</w:t>
      </w:r>
      <w:r w:rsidRPr="001D4A4A">
        <w:rPr>
          <w:color w:val="000000"/>
          <w:kern w:val="24"/>
          <w:sz w:val="24"/>
          <w:szCs w:val="24"/>
          <w:lang w:val="en-GB" w:eastAsia="ka-GE"/>
        </w:rPr>
        <w:t xml:space="preserve"> delivery, postpartum, neonatal care and abortion.</w:t>
      </w:r>
    </w:p>
    <w:p w:rsidR="00C92895" w:rsidRPr="001D4A4A" w:rsidRDefault="00C92895" w:rsidP="00C92895">
      <w:pPr>
        <w:jc w:val="both"/>
        <w:rPr>
          <w:color w:val="000000"/>
          <w:kern w:val="24"/>
          <w:sz w:val="24"/>
          <w:szCs w:val="24"/>
          <w:lang w:val="en-GB" w:eastAsia="ka-GE"/>
        </w:rPr>
      </w:pPr>
      <w:r w:rsidRPr="001D4A4A">
        <w:rPr>
          <w:color w:val="000000"/>
          <w:kern w:val="24"/>
          <w:sz w:val="24"/>
          <w:szCs w:val="24"/>
          <w:lang w:val="en-GB" w:eastAsia="ka-GE"/>
        </w:rPr>
        <w:t>The GBR provides an opportunity:</w:t>
      </w:r>
    </w:p>
    <w:p w:rsidR="00C92895" w:rsidRPr="004D2FC5" w:rsidRDefault="00C92895" w:rsidP="00C92895">
      <w:pPr>
        <w:pStyle w:val="ListParagraph"/>
        <w:numPr>
          <w:ilvl w:val="0"/>
          <w:numId w:val="2"/>
        </w:numPr>
        <w:spacing w:after="0" w:line="240" w:lineRule="auto"/>
        <w:jc w:val="both"/>
        <w:rPr>
          <w:sz w:val="24"/>
          <w:szCs w:val="24"/>
        </w:rPr>
      </w:pPr>
      <w:r w:rsidRPr="004D2FC5">
        <w:rPr>
          <w:sz w:val="24"/>
          <w:szCs w:val="24"/>
        </w:rPr>
        <w:t>to get comprehensive knowledge on a wide array of indicators, related to the maternal and newborn health, morbidity and mortality along with the quality of antenatal, obstetric and neonatal care</w:t>
      </w:r>
    </w:p>
    <w:p w:rsidR="00C92895" w:rsidRPr="004D2FC5" w:rsidRDefault="00C92895" w:rsidP="00C92895">
      <w:pPr>
        <w:pStyle w:val="ListParagraph"/>
        <w:numPr>
          <w:ilvl w:val="0"/>
          <w:numId w:val="2"/>
        </w:numPr>
        <w:spacing w:after="0" w:line="240" w:lineRule="auto"/>
        <w:jc w:val="both"/>
        <w:rPr>
          <w:sz w:val="24"/>
          <w:szCs w:val="24"/>
        </w:rPr>
      </w:pPr>
      <w:r w:rsidRPr="004D2FC5">
        <w:rPr>
          <w:sz w:val="24"/>
          <w:szCs w:val="24"/>
        </w:rPr>
        <w:t>to make evidence-based policy decisions.</w:t>
      </w:r>
    </w:p>
    <w:p w:rsidR="00C92895" w:rsidRPr="004D2FC5" w:rsidRDefault="00C92895" w:rsidP="00C92895">
      <w:pPr>
        <w:jc w:val="both"/>
        <w:rPr>
          <w:sz w:val="24"/>
          <w:szCs w:val="24"/>
        </w:rPr>
      </w:pPr>
      <w:r w:rsidRPr="004D2FC5">
        <w:rPr>
          <w:sz w:val="24"/>
          <w:szCs w:val="24"/>
        </w:rPr>
        <w:t>The GBR also allows monitoring the regionalization of perinatal care services through providing data on selected maternal and neonatal health</w:t>
      </w:r>
      <w:r>
        <w:rPr>
          <w:sz w:val="24"/>
          <w:szCs w:val="24"/>
        </w:rPr>
        <w:t xml:space="preserve"> </w:t>
      </w:r>
      <w:r w:rsidRPr="004D2FC5">
        <w:rPr>
          <w:sz w:val="24"/>
          <w:szCs w:val="24"/>
        </w:rPr>
        <w:t>indicators.</w:t>
      </w:r>
    </w:p>
    <w:p w:rsidR="00C92895" w:rsidRPr="004D2FC5" w:rsidRDefault="00C92895" w:rsidP="00C92895">
      <w:pPr>
        <w:jc w:val="both"/>
        <w:rPr>
          <w:sz w:val="24"/>
          <w:szCs w:val="24"/>
        </w:rPr>
      </w:pPr>
      <w:r w:rsidRPr="004D2FC5">
        <w:rPr>
          <w:sz w:val="24"/>
          <w:szCs w:val="24"/>
        </w:rPr>
        <w:t>The coverage of pregnancy and childbirth by GBR increased from 47% in 2016 to 96 % in 2017.</w:t>
      </w:r>
    </w:p>
    <w:p w:rsidR="00C92895" w:rsidRDefault="00C92895" w:rsidP="00C92895">
      <w:pPr>
        <w:jc w:val="both"/>
        <w:rPr>
          <w:color w:val="000000"/>
          <w:kern w:val="24"/>
          <w:sz w:val="24"/>
          <w:szCs w:val="24"/>
          <w:lang w:eastAsia="ka-GE"/>
        </w:rPr>
      </w:pPr>
      <w:r w:rsidRPr="001C660B">
        <w:rPr>
          <w:b/>
        </w:rPr>
        <w:t>Clinical Audit</w:t>
      </w:r>
      <w:r>
        <w:rPr>
          <w:b/>
        </w:rPr>
        <w:t xml:space="preserve">: </w:t>
      </w:r>
      <w:r w:rsidRPr="001D4A4A">
        <w:rPr>
          <w:color w:val="000000"/>
          <w:kern w:val="24"/>
          <w:sz w:val="24"/>
          <w:szCs w:val="24"/>
          <w:lang w:eastAsia="ka-GE"/>
        </w:rPr>
        <w:t xml:space="preserve">The routine clinical audit of cases of stillbirth and maternal and neonatal mortality has been introduced by the </w:t>
      </w:r>
      <w:proofErr w:type="spellStart"/>
      <w:r w:rsidRPr="001D4A4A">
        <w:rPr>
          <w:color w:val="000000"/>
          <w:kern w:val="24"/>
          <w:sz w:val="24"/>
          <w:szCs w:val="24"/>
          <w:lang w:eastAsia="ka-GE"/>
        </w:rPr>
        <w:t>MoLSHA</w:t>
      </w:r>
      <w:proofErr w:type="spellEnd"/>
      <w:r w:rsidRPr="001D4A4A">
        <w:rPr>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33061" w:rsidRPr="00533061" w:rsidRDefault="00533061" w:rsidP="00C92895">
      <w:pPr>
        <w:jc w:val="both"/>
        <w:rPr>
          <w:rFonts w:ascii="Sylfaen" w:hAnsi="Sylfaen"/>
          <w:color w:val="000000"/>
          <w:kern w:val="24"/>
          <w:sz w:val="24"/>
          <w:szCs w:val="24"/>
          <w:lang w:eastAsia="ka-GE"/>
        </w:rPr>
      </w:pPr>
      <w:r>
        <w:rPr>
          <w:color w:val="000000"/>
          <w:kern w:val="24"/>
          <w:sz w:val="24"/>
          <w:szCs w:val="24"/>
          <w:lang w:val="ka-GE" w:eastAsia="ka-GE"/>
        </w:rPr>
        <w:t xml:space="preserve"> </w:t>
      </w:r>
      <w:r>
        <w:rPr>
          <w:rFonts w:ascii="Sylfaen" w:hAnsi="Sylfaen"/>
          <w:color w:val="000000"/>
          <w:kern w:val="24"/>
          <w:sz w:val="24"/>
          <w:szCs w:val="24"/>
          <w:lang w:eastAsia="ka-GE"/>
        </w:rPr>
        <w:t>Universal Health Care Program</w:t>
      </w:r>
    </w:p>
    <w:p w:rsidR="00533061" w:rsidRPr="004B2420" w:rsidRDefault="00533061" w:rsidP="00533061">
      <w:pPr>
        <w:pStyle w:val="ListParagraph"/>
        <w:numPr>
          <w:ilvl w:val="0"/>
          <w:numId w:val="3"/>
        </w:numPr>
        <w:spacing w:after="0" w:line="240" w:lineRule="auto"/>
        <w:ind w:left="360"/>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Universal Health Care Program covers – planned ambulatory care, emergency outpatient and inpatient care, elective surgery, cardio surgery, chemo-radio-hormone therapy, delivery and C-section, infectious diseases</w:t>
      </w:r>
      <w:r>
        <w:rPr>
          <w:rFonts w:ascii="Times New Roman" w:hAnsi="Times New Roman" w:cs="Times New Roman"/>
          <w:bCs/>
          <w:sz w:val="24"/>
          <w:szCs w:val="24"/>
          <w:shd w:val="clear" w:color="auto" w:fill="FFFFFF"/>
        </w:rPr>
        <w:t xml:space="preserve"> </w:t>
      </w:r>
    </w:p>
    <w:p w:rsidR="00533061" w:rsidRPr="00533061" w:rsidRDefault="00533061" w:rsidP="00533061">
      <w:pPr>
        <w:pStyle w:val="HTMLPreformatted"/>
        <w:numPr>
          <w:ilvl w:val="0"/>
          <w:numId w:val="4"/>
        </w:numPr>
        <w:shd w:val="clear" w:color="auto" w:fill="FFFFFF"/>
        <w:ind w:left="360"/>
        <w:jc w:val="both"/>
        <w:rPr>
          <w:rStyle w:val="st"/>
          <w:rFonts w:ascii="Times New Roman" w:eastAsiaTheme="minorHAnsi" w:hAnsi="Times New Roman" w:cs="Times New Roman"/>
          <w:sz w:val="24"/>
          <w:szCs w:val="24"/>
        </w:rPr>
      </w:pPr>
      <w:r w:rsidRPr="004B2420">
        <w:rPr>
          <w:rFonts w:ascii="Times New Roman" w:eastAsiaTheme="minorHAnsi" w:hAnsi="Times New Roman" w:cs="Times New Roman"/>
          <w:sz w:val="24"/>
          <w:szCs w:val="24"/>
        </w:rPr>
        <w:t xml:space="preserve">UHC program beneficiaries are: persons holding </w:t>
      </w:r>
      <w:r w:rsidRPr="004B2420">
        <w:rPr>
          <w:rFonts w:ascii="Times New Roman" w:hAnsi="Times New Roman" w:cs="Times New Roman"/>
          <w:sz w:val="24"/>
          <w:szCs w:val="24"/>
        </w:rPr>
        <w:t xml:space="preserve">identity card of Georgia, neutral identity card, neutral travel document, </w:t>
      </w:r>
      <w:r w:rsidRPr="004B2420">
        <w:rPr>
          <w:rFonts w:ascii="Times New Roman" w:eastAsiaTheme="minorHAnsi" w:hAnsi="Times New Roman" w:cs="Times New Roman"/>
          <w:sz w:val="24"/>
          <w:szCs w:val="24"/>
        </w:rPr>
        <w:t xml:space="preserve">also persons without citizenship having stateless status in Georgia, </w:t>
      </w:r>
      <w:r w:rsidRPr="004B2420">
        <w:rPr>
          <w:rStyle w:val="st"/>
          <w:rFonts w:ascii="Times New Roman" w:hAnsi="Times New Roman" w:cs="Times New Roman"/>
          <w:sz w:val="24"/>
          <w:szCs w:val="24"/>
        </w:rPr>
        <w:t xml:space="preserve">asylum seekers in Georgia, refugees and </w:t>
      </w:r>
      <w:r w:rsidRPr="004B2420">
        <w:rPr>
          <w:rStyle w:val="Emphasis"/>
          <w:rFonts w:ascii="Times New Roman" w:hAnsi="Times New Roman" w:cs="Times New Roman"/>
          <w:sz w:val="24"/>
          <w:szCs w:val="24"/>
        </w:rPr>
        <w:t>persons</w:t>
      </w:r>
      <w:r w:rsidRPr="004B2420">
        <w:rPr>
          <w:rStyle w:val="st"/>
          <w:rFonts w:ascii="Times New Roman" w:hAnsi="Times New Roman" w:cs="Times New Roman"/>
          <w:sz w:val="24"/>
          <w:szCs w:val="24"/>
        </w:rPr>
        <w:t xml:space="preserve"> with humanitarian status.</w:t>
      </w:r>
    </w:p>
    <w:p w:rsidR="00533061" w:rsidRDefault="00533061" w:rsidP="00533061">
      <w:pPr>
        <w:pStyle w:val="HTMLPreformatted"/>
        <w:shd w:val="clear" w:color="auto" w:fill="FFFFFF"/>
        <w:jc w:val="both"/>
        <w:rPr>
          <w:rFonts w:ascii="Times New Roman" w:eastAsiaTheme="minorHAnsi" w:hAnsi="Times New Roman" w:cs="Times New Roman"/>
          <w:sz w:val="24"/>
          <w:szCs w:val="24"/>
        </w:rPr>
      </w:pPr>
    </w:p>
    <w:p w:rsidR="00533061" w:rsidRDefault="00533061" w:rsidP="00533061">
      <w:pPr>
        <w:pStyle w:val="HTMLPreformatted"/>
        <w:shd w:val="clear" w:color="auto" w:fill="FFFFFF"/>
        <w:jc w:val="both"/>
        <w:rPr>
          <w:rStyle w:val="st"/>
          <w:rFonts w:ascii="Times New Roman" w:eastAsiaTheme="minorHAnsi" w:hAnsi="Times New Roman" w:cs="Times New Roman"/>
          <w:sz w:val="24"/>
          <w:szCs w:val="24"/>
        </w:rPr>
      </w:pPr>
      <w:r>
        <w:rPr>
          <w:rStyle w:val="st"/>
          <w:rFonts w:ascii="Times New Roman" w:eastAsiaTheme="minorHAnsi" w:hAnsi="Times New Roman" w:cs="Times New Roman"/>
          <w:sz w:val="24"/>
          <w:szCs w:val="24"/>
        </w:rPr>
        <w:t>State program of Referral services</w:t>
      </w:r>
    </w:p>
    <w:p w:rsidR="00533061" w:rsidRDefault="00533061" w:rsidP="00533061">
      <w:pPr>
        <w:pStyle w:val="ListParagraph"/>
        <w:numPr>
          <w:ilvl w:val="0"/>
          <w:numId w:val="5"/>
        </w:numPr>
        <w:tabs>
          <w:tab w:val="left" w:pos="810"/>
        </w:tabs>
        <w:spacing w:after="0" w:line="240" w:lineRule="auto"/>
        <w:jc w:val="both"/>
        <w:rPr>
          <w:rFonts w:ascii="Times New Roman" w:hAnsi="Times New Roman"/>
          <w:sz w:val="24"/>
        </w:rPr>
      </w:pPr>
      <w:r w:rsidRPr="00533061">
        <w:rPr>
          <w:rFonts w:ascii="Times New Roman" w:hAnsi="Times New Roman"/>
          <w:sz w:val="24"/>
        </w:rPr>
        <w:t xml:space="preserve">Since 2016, the Ministry of </w:t>
      </w:r>
      <w:r w:rsidRPr="004B2420">
        <w:rPr>
          <w:rFonts w:ascii="Times New Roman" w:hAnsi="Times New Roman" w:cs="Times New Roman"/>
          <w:sz w:val="24"/>
          <w:szCs w:val="24"/>
        </w:rPr>
        <w:t>IDPs,</w:t>
      </w:r>
      <w:r>
        <w:rPr>
          <w:rFonts w:ascii="Times New Roman" w:hAnsi="Times New Roman" w:cs="Times New Roman"/>
          <w:sz w:val="24"/>
          <w:szCs w:val="24"/>
        </w:rPr>
        <w:t xml:space="preserve"> </w:t>
      </w:r>
      <w:proofErr w:type="spellStart"/>
      <w:r w:rsidRPr="00533061">
        <w:rPr>
          <w:rFonts w:ascii="Times New Roman" w:hAnsi="Times New Roman"/>
          <w:sz w:val="24"/>
        </w:rPr>
        <w:t>Labour</w:t>
      </w:r>
      <w:proofErr w:type="spellEnd"/>
      <w:r w:rsidRPr="00533061">
        <w:rPr>
          <w:rFonts w:ascii="Times New Roman" w:hAnsi="Times New Roman"/>
          <w:sz w:val="24"/>
        </w:rPr>
        <w:t xml:space="preserve">, Health and Social Affairs of Georgia provides expensive drug Trastuzumab (Herceptin) treatment for HER2 + Receptor positive </w:t>
      </w:r>
      <w:r w:rsidRPr="004B2420">
        <w:rPr>
          <w:rFonts w:ascii="Times New Roman" w:hAnsi="Times New Roman" w:cs="Times New Roman"/>
          <w:sz w:val="24"/>
          <w:szCs w:val="24"/>
        </w:rPr>
        <w:t>women</w:t>
      </w:r>
      <w:r w:rsidRPr="00533061">
        <w:rPr>
          <w:rFonts w:ascii="Times New Roman" w:hAnsi="Times New Roman"/>
          <w:sz w:val="24"/>
        </w:rPr>
        <w:t xml:space="preserve"> with breast cancer </w:t>
      </w:r>
    </w:p>
    <w:p w:rsidR="00533061" w:rsidRPr="00533061" w:rsidRDefault="00533061" w:rsidP="00533061">
      <w:pPr>
        <w:pStyle w:val="ListParagraph"/>
        <w:numPr>
          <w:ilvl w:val="0"/>
          <w:numId w:val="5"/>
        </w:numPr>
        <w:tabs>
          <w:tab w:val="left" w:pos="810"/>
        </w:tabs>
        <w:spacing w:after="0" w:line="240" w:lineRule="auto"/>
        <w:jc w:val="both"/>
        <w:rPr>
          <w:rFonts w:ascii="Times New Roman" w:hAnsi="Times New Roman"/>
          <w:sz w:val="24"/>
        </w:rPr>
      </w:pPr>
      <w:r w:rsidRPr="00533061">
        <w:rPr>
          <w:rFonts w:ascii="Times New Roman" w:hAnsi="Times New Roman"/>
          <w:sz w:val="24"/>
        </w:rPr>
        <w:t>The aim of the program is to conduct an innovative, targeted therapy and increase financial access to treatment for the citizens of Georgia (women) with HER2-reciprocate early breast cancer.</w:t>
      </w:r>
    </w:p>
    <w:p w:rsidR="00533061" w:rsidRPr="004E6046" w:rsidRDefault="00533061" w:rsidP="00533061">
      <w:pPr>
        <w:pStyle w:val="ListParagraph"/>
        <w:numPr>
          <w:ilvl w:val="0"/>
          <w:numId w:val="5"/>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 xml:space="preserve">From 2018 within the </w:t>
      </w:r>
      <w:proofErr w:type="spellStart"/>
      <w:r w:rsidRPr="004E6046">
        <w:rPr>
          <w:rFonts w:ascii="Times New Roman" w:hAnsi="Times New Roman" w:cs="Times New Roman"/>
          <w:sz w:val="24"/>
          <w:szCs w:val="24"/>
        </w:rPr>
        <w:t>programme</w:t>
      </w:r>
      <w:proofErr w:type="spellEnd"/>
      <w:r w:rsidRPr="004E6046">
        <w:rPr>
          <w:rFonts w:ascii="Times New Roman" w:hAnsi="Times New Roman" w:cs="Times New Roman"/>
          <w:sz w:val="24"/>
          <w:szCs w:val="24"/>
        </w:rPr>
        <w:t xml:space="preserve"> is possible partial or complete provision with the medicines (trastuzumab + lapatinib)</w:t>
      </w:r>
      <w:r w:rsidR="002472EF">
        <w:rPr>
          <w:rFonts w:ascii="Times New Roman" w:hAnsi="Times New Roman" w:cs="Times New Roman"/>
          <w:sz w:val="24"/>
          <w:szCs w:val="24"/>
        </w:rPr>
        <w:t xml:space="preserve"> </w:t>
      </w:r>
      <w:r w:rsidRPr="004E6046">
        <w:rPr>
          <w:rFonts w:ascii="Times New Roman" w:hAnsi="Times New Roman" w:cs="Times New Roman"/>
          <w:sz w:val="24"/>
          <w:szCs w:val="24"/>
        </w:rPr>
        <w:t>of the HER2 receptor-positive breast metastasized cancer patients</w:t>
      </w:r>
      <w:r w:rsidR="002472EF">
        <w:rPr>
          <w:rFonts w:ascii="Times New Roman" w:hAnsi="Times New Roman" w:cs="Times New Roman"/>
          <w:sz w:val="24"/>
          <w:szCs w:val="24"/>
        </w:rPr>
        <w:t>.</w:t>
      </w:r>
      <w:bookmarkStart w:id="0" w:name="_GoBack"/>
      <w:bookmarkEnd w:id="0"/>
    </w:p>
    <w:p w:rsidR="00533061" w:rsidRPr="004B2420" w:rsidRDefault="00533061" w:rsidP="00533061">
      <w:pPr>
        <w:pStyle w:val="HTMLPreformatted"/>
        <w:shd w:val="clear" w:color="auto" w:fill="FFFFFF"/>
        <w:jc w:val="both"/>
        <w:rPr>
          <w:rStyle w:val="st"/>
          <w:rFonts w:ascii="Times New Roman" w:eastAsiaTheme="minorHAnsi" w:hAnsi="Times New Roman" w:cs="Times New Roman"/>
          <w:sz w:val="24"/>
          <w:szCs w:val="24"/>
        </w:rPr>
      </w:pPr>
    </w:p>
    <w:p w:rsidR="00533061" w:rsidRDefault="00533061" w:rsidP="00C92895">
      <w:pPr>
        <w:jc w:val="both"/>
        <w:rPr>
          <w:color w:val="000000"/>
          <w:kern w:val="24"/>
          <w:sz w:val="24"/>
          <w:szCs w:val="24"/>
          <w:lang w:eastAsia="ka-GE"/>
        </w:rPr>
      </w:pPr>
    </w:p>
    <w:p w:rsidR="00533061" w:rsidRDefault="00533061" w:rsidP="00C92895">
      <w:pPr>
        <w:jc w:val="both"/>
        <w:rPr>
          <w:color w:val="000000"/>
          <w:kern w:val="24"/>
          <w:sz w:val="24"/>
          <w:szCs w:val="24"/>
          <w:lang w:eastAsia="ka-GE"/>
        </w:rPr>
      </w:pPr>
    </w:p>
    <w:p w:rsidR="00C92895" w:rsidRDefault="00C92895"/>
    <w:sectPr w:rsidR="00C92895"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B316D1"/>
    <w:multiLevelType w:val="hybridMultilevel"/>
    <w:tmpl w:val="1ACEBA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95"/>
    <w:rsid w:val="002472EF"/>
    <w:rsid w:val="00271658"/>
    <w:rsid w:val="00533061"/>
    <w:rsid w:val="00C92895"/>
    <w:rsid w:val="00CE1CC6"/>
    <w:rsid w:val="00E80503"/>
    <w:rsid w:val="00EC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43A"/>
  <w15:chartTrackingRefBased/>
  <w15:docId w15:val="{E49803F5-C541-E442-BF2E-B4220BC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895"/>
    <w:pPr>
      <w:spacing w:after="200" w:line="276" w:lineRule="auto"/>
    </w:pPr>
    <w:rPr>
      <w:sz w:val="22"/>
      <w:szCs w:val="22"/>
    </w:rPr>
  </w:style>
  <w:style w:type="paragraph" w:styleId="Heading1">
    <w:name w:val="heading 1"/>
    <w:basedOn w:val="Normal"/>
    <w:next w:val="Normal"/>
    <w:link w:val="Heading1Char"/>
    <w:uiPriority w:val="9"/>
    <w:qFormat/>
    <w:rsid w:val="00C9289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95"/>
    <w:rPr>
      <w:rFonts w:asciiTheme="majorHAnsi" w:eastAsiaTheme="majorEastAsia" w:hAnsiTheme="majorHAnsi" w:cstheme="majorBidi"/>
      <w:b/>
      <w:bCs/>
      <w:color w:val="2F5496"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92895"/>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92895"/>
    <w:rPr>
      <w:sz w:val="22"/>
      <w:szCs w:val="22"/>
    </w:rPr>
  </w:style>
  <w:style w:type="paragraph" w:styleId="BalloonText">
    <w:name w:val="Balloon Text"/>
    <w:basedOn w:val="Normal"/>
    <w:link w:val="BalloonTextChar"/>
    <w:uiPriority w:val="99"/>
    <w:semiHidden/>
    <w:unhideWhenUsed/>
    <w:rsid w:val="00C928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2895"/>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533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3061"/>
    <w:rPr>
      <w:rFonts w:ascii="Courier New" w:eastAsia="Times New Roman" w:hAnsi="Courier New" w:cs="Courier New"/>
      <w:sz w:val="20"/>
      <w:szCs w:val="20"/>
    </w:rPr>
  </w:style>
  <w:style w:type="character" w:styleId="Emphasis">
    <w:name w:val="Emphasis"/>
    <w:basedOn w:val="DefaultParagraphFont"/>
    <w:uiPriority w:val="20"/>
    <w:qFormat/>
    <w:rsid w:val="00533061"/>
    <w:rPr>
      <w:i/>
      <w:iCs/>
    </w:rPr>
  </w:style>
  <w:style w:type="character" w:customStyle="1" w:styleId="st">
    <w:name w:val="st"/>
    <w:basedOn w:val="DefaultParagraphFont"/>
    <w:rsid w:val="0053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0B-2A44-98EE-0261A634514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c:ext xmlns:c16="http://schemas.microsoft.com/office/drawing/2014/chart" uri="{C3380CC4-5D6E-409C-BE32-E72D297353CC}">
              <c16:uniqueId val="{00000001-250B-2A44-98EE-0261A634514A}"/>
            </c:ext>
          </c:extLst>
        </c:ser>
        <c:dLbls>
          <c:showLegendKey val="0"/>
          <c:showVal val="0"/>
          <c:showCatName val="0"/>
          <c:showSerName val="0"/>
          <c:showPercent val="0"/>
          <c:showBubbleSize val="0"/>
        </c:dLbls>
        <c:marker val="1"/>
        <c:smooth val="0"/>
        <c:axId val="166580608"/>
        <c:axId val="166582144"/>
      </c:lineChart>
      <c:catAx>
        <c:axId val="166580608"/>
        <c:scaling>
          <c:orientation val="minMax"/>
        </c:scaling>
        <c:delete val="0"/>
        <c:axPos val="b"/>
        <c:numFmt formatCode="General" sourceLinked="1"/>
        <c:majorTickMark val="out"/>
        <c:minorTickMark val="none"/>
        <c:tickLblPos val="nextTo"/>
        <c:crossAx val="166582144"/>
        <c:crosses val="autoZero"/>
        <c:auto val="1"/>
        <c:lblAlgn val="ctr"/>
        <c:lblOffset val="100"/>
        <c:noMultiLvlLbl val="0"/>
      </c:catAx>
      <c:valAx>
        <c:axId val="166582144"/>
        <c:scaling>
          <c:orientation val="minMax"/>
        </c:scaling>
        <c:delete val="0"/>
        <c:axPos val="l"/>
        <c:majorGridlines/>
        <c:numFmt formatCode="General" sourceLinked="1"/>
        <c:majorTickMark val="out"/>
        <c:minorTickMark val="none"/>
        <c:tickLblPos val="nextTo"/>
        <c:crossAx val="166580608"/>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2019-03-12T01:02:00Z</dcterms:created>
  <dcterms:modified xsi:type="dcterms:W3CDTF">2019-03-12T01:14:00Z</dcterms:modified>
</cp:coreProperties>
</file>