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88" w:rsidRDefault="002A7688"/>
    <w:p w:rsidR="002A7688" w:rsidRPr="002A7688" w:rsidRDefault="002A7688" w:rsidP="002A7688"/>
    <w:p w:rsidR="002A7688" w:rsidRDefault="002A7688" w:rsidP="002A7688"/>
    <w:p w:rsidR="002A7688" w:rsidRPr="002A7688" w:rsidRDefault="002A7688" w:rsidP="002A7688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  <w:b/>
        </w:rPr>
      </w:pPr>
      <w:r>
        <w:tab/>
      </w:r>
      <w:r w:rsidRPr="002A7688">
        <w:rPr>
          <w:rFonts w:ascii="Sylfaen" w:eastAsia="Sylfaen" w:hAnsi="Sylfaen" w:cs="Sylfaen"/>
          <w:b/>
          <w:lang w:val="ka-GE"/>
        </w:rPr>
        <w:t xml:space="preserve">თამბაქოს მრავალკომპონენტიანი კანონმდებლობისა და პოლიტიკის სრული აღსრულების გაძლიერება FCTC-ის შესაბამისად; </w:t>
      </w:r>
    </w:p>
    <w:p w:rsidR="002A7688" w:rsidRPr="007D478D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8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005335">
        <w:rPr>
          <w:rFonts w:ascii="Sylfaen" w:hAnsi="Sylfaen" w:cs="Sylfaen"/>
          <w:lang w:val="ka-GE"/>
        </w:rPr>
        <w:t xml:space="preserve">თამბაქოს კონტროლის სახელმწიფო პოლიტიკის შემუშავების, მიღებისა და განხორციელების პროცესში საჯარო სამსახურის დაცვა თამბაქოს ინდუსტრიაში ჩართულ პირთა ჩარევისგან, </w:t>
      </w:r>
      <w:r>
        <w:rPr>
          <w:rFonts w:ascii="Sylfaen" w:hAnsi="Sylfaen" w:cs="Sylfaen"/>
          <w:lang w:val="ka-GE"/>
        </w:rPr>
        <w:t xml:space="preserve">ისევე, როგორც </w:t>
      </w:r>
      <w:r w:rsidRPr="00005335">
        <w:rPr>
          <w:rFonts w:ascii="Sylfaen" w:hAnsi="Sylfaen" w:cs="Sylfaen"/>
          <w:lang w:val="ka-GE"/>
        </w:rPr>
        <w:t>თამბაქოს ინდუსტრიის კომერციული ან სხვა ინტერესების არაპირდაპირი თუ პირდაპირი ჩარევისაგან</w:t>
      </w:r>
      <w:r>
        <w:rPr>
          <w:rFonts w:ascii="Sylfaen" w:hAnsi="Sylfaen" w:cs="Sylfaen"/>
          <w:lang w:val="ka-GE"/>
        </w:rPr>
        <w:t>. ასევე,</w:t>
      </w:r>
      <w:r w:rsidRPr="00005335">
        <w:rPr>
          <w:rFonts w:ascii="Sylfaen" w:hAnsi="Sylfaen" w:cs="Sylfaen"/>
          <w:lang w:val="ka-GE"/>
        </w:rPr>
        <w:t xml:space="preserve"> სახელმწიფოსა და თამბაქოს ინდუსტრიას შორის მინიმუმამდე დაყვანილი კომუნიკაციის</w:t>
      </w:r>
      <w:r>
        <w:rPr>
          <w:rFonts w:ascii="Sylfaen" w:hAnsi="Sylfaen" w:cs="Sylfaen"/>
          <w:lang w:val="ka-GE"/>
        </w:rPr>
        <w:t>,</w:t>
      </w:r>
      <w:r w:rsidRPr="00005335">
        <w:rPr>
          <w:rFonts w:ascii="Sylfaen" w:hAnsi="Sylfaen" w:cs="Sylfaen"/>
          <w:lang w:val="ka-GE"/>
        </w:rPr>
        <w:t xml:space="preserve"> ურთიერთობის საჯაროობისა და გამჭვირვალეობის უზრუნველყოფა; </w:t>
      </w:r>
    </w:p>
    <w:p w:rsidR="002A7688" w:rsidRPr="007D478D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7D478D">
        <w:rPr>
          <w:rFonts w:ascii="Sylfaen" w:eastAsia="Sylfaen" w:hAnsi="Sylfaen" w:cs="Sylfaen"/>
          <w:lang w:val="ka-GE"/>
        </w:rPr>
        <w:t>თამბაქოს კონტროლის კანონმდებლობის დაახლოება ევროკავშირის კანონმდებლობასთან;</w:t>
      </w:r>
      <w:r>
        <w:rPr>
          <w:rFonts w:ascii="Sylfaen" w:eastAsia="Sylfaen" w:hAnsi="Sylfaen" w:cs="Sylfaen"/>
          <w:lang w:val="ka-GE"/>
        </w:rPr>
        <w:t xml:space="preserve"> </w:t>
      </w:r>
    </w:p>
    <w:p w:rsidR="002A7688" w:rsidRPr="005C45B1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5C45B1">
        <w:rPr>
          <w:rFonts w:ascii="Sylfaen" w:hAnsi="Sylfaen" w:cs="Sylfaen"/>
          <w:lang w:val="ka-GE"/>
        </w:rPr>
        <w:t>საერთაშორისო თანამშრომლობის დამყარება ევროპის და სხვა რეგიონების ქვეყნებთან, მეზობელ სახელმწიფოებთან და სხვა საერთაშორისო დამხარების ინსტრუმენტების გამოყენება;</w:t>
      </w:r>
    </w:p>
    <w:p w:rsidR="002A7688" w:rsidRPr="007D478D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</w:pPr>
      <w:r w:rsidRPr="00005335">
        <w:rPr>
          <w:rFonts w:ascii="Sylfaen" w:eastAsia="Sylfaen" w:hAnsi="Sylfaen" w:cs="Sylfaen"/>
          <w:lang w:val="ka-GE"/>
        </w:rPr>
        <w:t>FCTC-ის თამბაქოს ნაწარმით უკანონო ვაჭრობის აღმოფხვრის პროტოკოლის რატიფიცირება და იმპლემენტაცია;</w:t>
      </w:r>
    </w:p>
    <w:p w:rsidR="002A7688" w:rsidRPr="00005335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005335">
        <w:rPr>
          <w:rFonts w:ascii="Sylfaen" w:hAnsi="Sylfaen" w:cs="Sylfaen"/>
          <w:lang w:val="ka-GE"/>
        </w:rPr>
        <w:t>თამბაქოს კონტროლის პოლიტიკის</w:t>
      </w:r>
      <w:r>
        <w:rPr>
          <w:rFonts w:ascii="Sylfaen" w:hAnsi="Sylfaen" w:cs="Sylfaen"/>
          <w:lang w:val="ka-GE"/>
        </w:rPr>
        <w:t>,</w:t>
      </w:r>
      <w:r w:rsidRPr="00005335">
        <w:rPr>
          <w:rFonts w:ascii="Sylfaen" w:hAnsi="Sylfaen" w:cs="Sylfaen"/>
          <w:lang w:val="ka-GE"/>
        </w:rPr>
        <w:t xml:space="preserve"> არაგადამდები დაავადებების პრევენციისა და ადამიანის უფლებების უფრო ფართო პოლიტიკაში ინტეგრირების უზურნველყოფა</w:t>
      </w:r>
      <w:r w:rsidRPr="00005335">
        <w:rPr>
          <w:rFonts w:ascii="Sylfaen" w:hAnsi="Sylfaen" w:cs="Sylfaen"/>
        </w:rPr>
        <w:t>;</w:t>
      </w:r>
    </w:p>
    <w:p w:rsidR="002A7688" w:rsidRPr="00005335" w:rsidRDefault="002A7688" w:rsidP="002A7688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005335">
        <w:rPr>
          <w:rFonts w:ascii="Sylfaen" w:hAnsi="Sylfaen" w:cs="Sylfaen"/>
          <w:lang w:val="ka-GE"/>
        </w:rPr>
        <w:t xml:space="preserve">თამბაქოს კონტროლის პოლიტიკის მგდგრადი განვითარების მიზნებში ინტეგრირების უზრუნველყოფა და </w:t>
      </w:r>
      <w:r>
        <w:rPr>
          <w:rFonts w:ascii="Sylfaen" w:hAnsi="Sylfaen" w:cs="Sylfaen"/>
          <w:lang w:val="ka-GE"/>
        </w:rPr>
        <w:t>უწყებათაშორისი</w:t>
      </w:r>
      <w:r w:rsidRPr="00005335">
        <w:rPr>
          <w:rFonts w:ascii="Sylfaen" w:hAnsi="Sylfaen" w:cs="Sylfaen"/>
          <w:lang w:val="ka-GE"/>
        </w:rPr>
        <w:t xml:space="preserve"> თანამშრომლობის გაფართოება.</w:t>
      </w:r>
    </w:p>
    <w:p w:rsidR="00F105EE" w:rsidRDefault="00F105EE" w:rsidP="002A7688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left="720" w:right="101"/>
        <w:jc w:val="both"/>
        <w:rPr>
          <w:sz w:val="16"/>
          <w:szCs w:val="16"/>
        </w:rPr>
      </w:pPr>
    </w:p>
    <w:p w:rsidR="00F105EE" w:rsidRDefault="00F105EE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 xml:space="preserve">1.3 თამბაქოს კონტროლის სფეროში </w:t>
      </w:r>
      <w:r>
        <w:rPr>
          <w:sz w:val="16"/>
          <w:szCs w:val="16"/>
          <w:lang w:val="ka-GE"/>
        </w:rPr>
        <w:t xml:space="preserve">საქართველოს კანონმდებლობის ეტაპობრივი დაახლოება ევროკავშირის შესაბამის </w:t>
      </w:r>
      <w:r w:rsidRPr="00FC5AF2">
        <w:rPr>
          <w:sz w:val="16"/>
          <w:szCs w:val="16"/>
          <w:lang w:val="ka-GE"/>
        </w:rPr>
        <w:t>ევროდირექტივებ</w:t>
      </w:r>
      <w:r>
        <w:rPr>
          <w:sz w:val="16"/>
          <w:szCs w:val="16"/>
          <w:lang w:val="ka-GE"/>
        </w:rPr>
        <w:t>თან</w:t>
      </w:r>
    </w:p>
    <w:p w:rsidR="00F105EE" w:rsidRDefault="00F105EE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  <w:lang w:val="ka-GE"/>
        </w:rPr>
      </w:pPr>
      <w:r w:rsidRPr="002D18A1">
        <w:rPr>
          <w:sz w:val="16"/>
          <w:szCs w:val="16"/>
          <w:lang w:val="ka-GE"/>
        </w:rPr>
        <w:t>2.1 თამბაქოს ყველა სახის ნაწარმზე გადასახადების მდგარდი ყოველწლიური ზრდა კონვენციის მოთხოვნების შესაბამისად</w:t>
      </w:r>
    </w:p>
    <w:p w:rsidR="00F105EE" w:rsidRPr="00F105EE" w:rsidRDefault="00F105EE" w:rsidP="00F105EE">
      <w:pPr>
        <w:spacing w:after="0"/>
        <w:jc w:val="both"/>
        <w:rPr>
          <w:rFonts w:eastAsia="Calibri"/>
          <w:sz w:val="16"/>
          <w:szCs w:val="16"/>
          <w:highlight w:val="cyan"/>
          <w:lang w:val="ka-GE"/>
        </w:rPr>
      </w:pPr>
      <w:r w:rsidRPr="004313FB">
        <w:rPr>
          <w:rFonts w:cs="Sylfaen"/>
          <w:b/>
          <w:sz w:val="16"/>
          <w:szCs w:val="16"/>
          <w:lang w:val="ka-GE"/>
        </w:rPr>
        <w:t>3. თამბაქოს</w:t>
      </w:r>
      <w:r w:rsidRPr="004313FB">
        <w:rPr>
          <w:b/>
          <w:sz w:val="16"/>
          <w:szCs w:val="16"/>
          <w:lang w:val="ka-GE"/>
        </w:rPr>
        <w:t xml:space="preserve"> მეორადი კვამლის მავნე ზემოქმედებისაგან დაცვა</w:t>
      </w:r>
    </w:p>
    <w:p w:rsidR="00F105EE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  <w:lang w:val="en-US"/>
        </w:rPr>
      </w:pPr>
      <w:r w:rsidRPr="00BB2C7A">
        <w:rPr>
          <w:rFonts w:ascii="Sylfaen" w:hAnsi="Sylfaen"/>
          <w:sz w:val="16"/>
          <w:szCs w:val="16"/>
        </w:rPr>
        <w:t xml:space="preserve">3.1 </w:t>
      </w:r>
      <w:r w:rsidRPr="009F3D7E">
        <w:rPr>
          <w:rFonts w:ascii="Sylfaen" w:hAnsi="Sylfaen"/>
          <w:sz w:val="16"/>
          <w:szCs w:val="16"/>
          <w:lang w:val="ka-GE"/>
        </w:rPr>
        <w:t xml:space="preserve">მოწევის აკრძალვა დახურულ ტიპის </w:t>
      </w:r>
      <w:r>
        <w:rPr>
          <w:rFonts w:ascii="Sylfaen" w:hAnsi="Sylfaen"/>
          <w:sz w:val="16"/>
          <w:szCs w:val="16"/>
          <w:lang w:val="ka-GE"/>
        </w:rPr>
        <w:t xml:space="preserve">ყველა </w:t>
      </w:r>
      <w:r w:rsidRPr="009F3D7E">
        <w:rPr>
          <w:rFonts w:ascii="Sylfaen" w:hAnsi="Sylfaen"/>
          <w:sz w:val="16"/>
          <w:szCs w:val="16"/>
          <w:lang w:val="ka-GE"/>
        </w:rPr>
        <w:t>შენობ</w:t>
      </w:r>
      <w:r>
        <w:rPr>
          <w:rFonts w:ascii="Sylfaen" w:hAnsi="Sylfaen"/>
          <w:sz w:val="16"/>
          <w:szCs w:val="16"/>
          <w:lang w:val="ka-GE"/>
        </w:rPr>
        <w:t>ა</w:t>
      </w:r>
      <w:r w:rsidRPr="009F3D7E">
        <w:rPr>
          <w:rFonts w:ascii="Sylfaen" w:hAnsi="Sylfaen"/>
          <w:sz w:val="16"/>
          <w:szCs w:val="16"/>
          <w:lang w:val="ka-GE"/>
        </w:rPr>
        <w:t>ში</w:t>
      </w:r>
    </w:p>
    <w:p w:rsidR="00F105EE" w:rsidRPr="00102FA4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  <w:highlight w:val="yellow"/>
        </w:rPr>
      </w:pPr>
      <w:r w:rsidRPr="00385358">
        <w:rPr>
          <w:rFonts w:ascii="Sylfaen" w:hAnsi="Sylfaen"/>
          <w:sz w:val="16"/>
          <w:szCs w:val="16"/>
          <w:lang w:val="ka-GE"/>
        </w:rPr>
        <w:t xml:space="preserve">3.2 </w:t>
      </w:r>
      <w:r w:rsidRPr="00385358">
        <w:rPr>
          <w:rFonts w:ascii="Sylfaen" w:hAnsi="Sylfaen"/>
          <w:sz w:val="16"/>
          <w:szCs w:val="16"/>
        </w:rPr>
        <w:t>თამბაქოს მოწევის</w:t>
      </w:r>
      <w:r w:rsidRPr="00385358">
        <w:rPr>
          <w:rFonts w:ascii="Sylfaen" w:hAnsi="Sylfaen"/>
          <w:sz w:val="16"/>
          <w:szCs w:val="16"/>
          <w:lang w:val="ka-GE"/>
        </w:rPr>
        <w:t xml:space="preserve"> აკრძალვა</w:t>
      </w:r>
      <w:r w:rsidRPr="00385358">
        <w:rPr>
          <w:rFonts w:ascii="Sylfaen" w:hAnsi="Sylfaen"/>
          <w:color w:val="FF0000"/>
          <w:sz w:val="16"/>
          <w:szCs w:val="16"/>
          <w:lang w:val="ka-GE"/>
        </w:rPr>
        <w:t xml:space="preserve"> </w:t>
      </w:r>
      <w:r w:rsidRPr="00385358">
        <w:rPr>
          <w:rFonts w:ascii="Sylfaen" w:hAnsi="Sylfaen"/>
          <w:sz w:val="16"/>
          <w:szCs w:val="16"/>
        </w:rPr>
        <w:t>სტადიონ</w:t>
      </w:r>
      <w:r w:rsidRPr="00385358">
        <w:rPr>
          <w:rFonts w:ascii="Sylfaen" w:hAnsi="Sylfaen"/>
          <w:sz w:val="16"/>
          <w:szCs w:val="16"/>
          <w:lang w:val="ka-GE"/>
        </w:rPr>
        <w:t>ებზე, რომელსაც ყავს ადმინისტრაცია</w:t>
      </w:r>
    </w:p>
    <w:p w:rsidR="00F105EE" w:rsidRPr="00385358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</w:rPr>
      </w:pPr>
      <w:r w:rsidRPr="00385358">
        <w:rPr>
          <w:rFonts w:ascii="Sylfaen" w:hAnsi="Sylfaen"/>
          <w:sz w:val="16"/>
          <w:szCs w:val="16"/>
        </w:rPr>
        <w:t>3.</w:t>
      </w:r>
      <w:r w:rsidRPr="00385358">
        <w:rPr>
          <w:rFonts w:ascii="Sylfaen" w:hAnsi="Sylfaen"/>
          <w:sz w:val="16"/>
          <w:szCs w:val="16"/>
          <w:lang w:val="ka-GE"/>
        </w:rPr>
        <w:t>3</w:t>
      </w:r>
      <w:r w:rsidRPr="00385358">
        <w:rPr>
          <w:rFonts w:ascii="Sylfaen" w:hAnsi="Sylfaen"/>
          <w:sz w:val="16"/>
          <w:szCs w:val="16"/>
        </w:rPr>
        <w:t xml:space="preserve"> მოწევის აკრძალვა ტაქსებში</w:t>
      </w:r>
    </w:p>
    <w:p w:rsidR="00F105EE" w:rsidRPr="00385358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  <w:lang w:val="en-US"/>
        </w:rPr>
      </w:pPr>
      <w:r w:rsidRPr="00385358">
        <w:rPr>
          <w:rFonts w:ascii="Sylfaen" w:hAnsi="Sylfaen"/>
          <w:sz w:val="16"/>
          <w:szCs w:val="16"/>
          <w:lang w:val="fr-FR"/>
        </w:rPr>
        <w:t xml:space="preserve">3.4 </w:t>
      </w:r>
      <w:r w:rsidRPr="00385358">
        <w:rPr>
          <w:rFonts w:ascii="Sylfaen" w:hAnsi="Sylfaen"/>
          <w:sz w:val="16"/>
          <w:szCs w:val="16"/>
          <w:lang w:val="ka-GE"/>
        </w:rPr>
        <w:t xml:space="preserve">მოწევის აკრძალვა კერძო ავტომობილებში თუ მასში იმყოფება არასრულწლოვანი </w:t>
      </w:r>
      <w:r w:rsidRPr="00385358">
        <w:rPr>
          <w:rFonts w:ascii="Sylfaen" w:hAnsi="Sylfaen"/>
          <w:sz w:val="16"/>
          <w:szCs w:val="16"/>
          <w:lang w:val="fr-FR"/>
        </w:rPr>
        <w:t xml:space="preserve">(&lt;18 </w:t>
      </w:r>
      <w:r w:rsidRPr="00385358">
        <w:rPr>
          <w:rFonts w:ascii="Sylfaen" w:hAnsi="Sylfaen"/>
          <w:sz w:val="16"/>
          <w:szCs w:val="16"/>
          <w:lang w:val="ka-GE"/>
        </w:rPr>
        <w:t>წლის</w:t>
      </w:r>
      <w:r w:rsidRPr="00385358">
        <w:rPr>
          <w:rFonts w:ascii="Sylfaen" w:hAnsi="Sylfaen"/>
          <w:sz w:val="16"/>
          <w:szCs w:val="16"/>
          <w:lang w:val="en-US"/>
        </w:rPr>
        <w:t>)</w:t>
      </w:r>
    </w:p>
    <w:p w:rsidR="00F105EE" w:rsidRPr="00102FA4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  <w:highlight w:val="yellow"/>
        </w:rPr>
      </w:pPr>
      <w:r w:rsidRPr="00385358">
        <w:rPr>
          <w:rFonts w:ascii="Sylfaen" w:hAnsi="Sylfaen"/>
          <w:sz w:val="16"/>
          <w:szCs w:val="16"/>
        </w:rPr>
        <w:t>3.</w:t>
      </w:r>
      <w:r w:rsidRPr="00385358">
        <w:rPr>
          <w:sz w:val="16"/>
          <w:szCs w:val="16"/>
          <w:lang w:val="ka-GE"/>
        </w:rPr>
        <w:t>4</w:t>
      </w:r>
      <w:r w:rsidRPr="00385358">
        <w:rPr>
          <w:rFonts w:ascii="Sylfaen" w:hAnsi="Sylfaen"/>
          <w:sz w:val="16"/>
          <w:szCs w:val="16"/>
        </w:rPr>
        <w:t xml:space="preserve"> </w:t>
      </w:r>
      <w:r w:rsidRPr="00385358">
        <w:rPr>
          <w:rFonts w:ascii="Sylfaen" w:hAnsi="Sylfaen"/>
          <w:sz w:val="16"/>
          <w:szCs w:val="16"/>
          <w:lang w:val="ka-GE"/>
        </w:rPr>
        <w:t>სასტუმროებში თამბაქოსაგან 100%-ით თავისუფალი გარემოს უზრუნველყოფა</w:t>
      </w:r>
    </w:p>
    <w:p w:rsidR="00F105EE" w:rsidRPr="00385358" w:rsidRDefault="00F105EE" w:rsidP="00893F5A">
      <w:pPr>
        <w:pStyle w:val="NormalWeb"/>
        <w:spacing w:before="0" w:beforeAutospacing="0" w:after="0" w:afterAutospacing="0" w:line="276" w:lineRule="auto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3.5 თამბაქოს მოწევის აკრძალვა </w:t>
      </w:r>
      <w:r w:rsidRPr="00D55130">
        <w:rPr>
          <w:rFonts w:ascii="Sylfaen" w:hAnsi="Sylfaen"/>
          <w:sz w:val="16"/>
          <w:szCs w:val="16"/>
          <w:lang w:val="ka-GE"/>
        </w:rPr>
        <w:t>პროფესიული თეატრის მუდმივი სარგებლობისთვის განკუთვნილ შენობა - ნაგებობაში</w:t>
      </w:r>
      <w:r>
        <w:rPr>
          <w:rFonts w:ascii="Sylfaen" w:hAnsi="Sylfaen"/>
          <w:sz w:val="16"/>
          <w:szCs w:val="16"/>
          <w:lang w:val="ka-GE"/>
        </w:rPr>
        <w:t xml:space="preserve"> გამონაკლისის გარეშე</w:t>
      </w:r>
    </w:p>
    <w:p w:rsidR="00F105EE" w:rsidRDefault="00F105EE" w:rsidP="002A7688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left="720" w:right="101"/>
        <w:jc w:val="both"/>
        <w:rPr>
          <w:sz w:val="16"/>
          <w:szCs w:val="16"/>
        </w:rPr>
      </w:pPr>
    </w:p>
    <w:p w:rsidR="00F105EE" w:rsidRDefault="00F105EE" w:rsidP="00F105EE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cs="Sylfaen"/>
          <w:sz w:val="16"/>
          <w:szCs w:val="16"/>
          <w:lang w:val="fi-FI"/>
        </w:rPr>
      </w:pPr>
      <w:r w:rsidRPr="0029366D">
        <w:rPr>
          <w:sz w:val="16"/>
          <w:szCs w:val="16"/>
          <w:lang w:val="ka-GE"/>
        </w:rPr>
        <w:t xml:space="preserve">7.1 </w:t>
      </w:r>
      <w:r w:rsidRPr="0029366D">
        <w:rPr>
          <w:rFonts w:cs="Sylfaen"/>
          <w:sz w:val="16"/>
          <w:szCs w:val="16"/>
          <w:lang w:val="fi-FI"/>
        </w:rPr>
        <w:t>თამბაქოს</w:t>
      </w:r>
      <w:r w:rsidRPr="0029366D">
        <w:rPr>
          <w:sz w:val="16"/>
          <w:szCs w:val="16"/>
          <w:lang w:val="fi-FI"/>
        </w:rPr>
        <w:t xml:space="preserve"> </w:t>
      </w:r>
      <w:r w:rsidRPr="0029366D">
        <w:rPr>
          <w:rFonts w:cs="Sylfaen"/>
          <w:sz w:val="16"/>
          <w:szCs w:val="16"/>
          <w:lang w:val="fi-FI"/>
        </w:rPr>
        <w:t>ნაწარმის წარმოებაზე</w:t>
      </w:r>
      <w:r>
        <w:rPr>
          <w:rFonts w:cs="Sylfaen"/>
          <w:sz w:val="16"/>
          <w:szCs w:val="16"/>
          <w:lang w:val="ka-GE"/>
        </w:rPr>
        <w:t>,</w:t>
      </w:r>
      <w:r w:rsidRPr="0029366D">
        <w:rPr>
          <w:rFonts w:cs="Sylfaen"/>
          <w:sz w:val="16"/>
          <w:szCs w:val="16"/>
          <w:lang w:val="ka-GE"/>
        </w:rPr>
        <w:t xml:space="preserve"> </w:t>
      </w:r>
      <w:r w:rsidRPr="0029366D">
        <w:rPr>
          <w:rFonts w:cs="Sylfaen"/>
          <w:sz w:val="16"/>
          <w:szCs w:val="16"/>
          <w:lang w:val="fi-FI"/>
        </w:rPr>
        <w:t>იმპორტზე</w:t>
      </w:r>
      <w:r w:rsidRPr="0029366D">
        <w:rPr>
          <w:sz w:val="16"/>
          <w:szCs w:val="16"/>
          <w:lang w:val="fi-FI"/>
        </w:rPr>
        <w:t xml:space="preserve">, </w:t>
      </w:r>
      <w:r w:rsidRPr="0029366D">
        <w:rPr>
          <w:rFonts w:cs="Sylfaen"/>
          <w:sz w:val="16"/>
          <w:szCs w:val="16"/>
          <w:lang w:val="fi-FI"/>
        </w:rPr>
        <w:t>დისტრიბუცია</w:t>
      </w:r>
      <w:r w:rsidRPr="0029366D">
        <w:rPr>
          <w:rFonts w:cs="Sylfaen"/>
          <w:sz w:val="16"/>
          <w:szCs w:val="16"/>
          <w:lang w:val="ka-GE"/>
        </w:rPr>
        <w:t>სა და ვაჭრობაზე</w:t>
      </w:r>
      <w:r w:rsidRPr="0029366D">
        <w:rPr>
          <w:sz w:val="16"/>
          <w:szCs w:val="16"/>
          <w:lang w:val="fi-FI"/>
        </w:rPr>
        <w:t xml:space="preserve"> </w:t>
      </w:r>
      <w:r w:rsidRPr="0029366D">
        <w:rPr>
          <w:rFonts w:cs="Sylfaen"/>
          <w:sz w:val="16"/>
          <w:szCs w:val="16"/>
          <w:lang w:val="fi-FI"/>
        </w:rPr>
        <w:t>ლიცენზირების და სანებართვო სისტემის შემოღება</w:t>
      </w:r>
    </w:p>
    <w:p w:rsidR="00F105EE" w:rsidRDefault="00F105EE" w:rsidP="00F105EE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  <w:lang w:val="ka-GE"/>
        </w:rPr>
      </w:pPr>
      <w:r w:rsidRPr="00A815DB">
        <w:rPr>
          <w:rFonts w:cs="Sylfaen"/>
          <w:sz w:val="16"/>
          <w:szCs w:val="16"/>
          <w:lang w:val="ka-GE"/>
        </w:rPr>
        <w:t xml:space="preserve">7.2 თამბაქოს კონტროლის ჩარჩო კონვენციის </w:t>
      </w:r>
      <w:r w:rsidRPr="00A815DB">
        <w:rPr>
          <w:sz w:val="16"/>
          <w:szCs w:val="16"/>
          <w:lang w:val="ka-GE"/>
        </w:rPr>
        <w:t>„თამბაქოს ნაწარმის უკანონო ვაჭრობის აღკვეთის შესახებ” პროტოკოლის (2012 წლის 12 ნოემბერი, ქ. სეული) საქართველოს მიერ ხელმოწერა და რატიფიცირ</w:t>
      </w:r>
      <w:r w:rsidRPr="006313B9">
        <w:rPr>
          <w:sz w:val="16"/>
          <w:szCs w:val="16"/>
          <w:lang w:val="ka-GE"/>
        </w:rPr>
        <w:t>ება</w:t>
      </w:r>
    </w:p>
    <w:p w:rsidR="00893F5A" w:rsidRDefault="00893F5A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</w:rPr>
      </w:pPr>
      <w:r w:rsidRPr="0040719B">
        <w:rPr>
          <w:rFonts w:cs="Sylfaen"/>
          <w:sz w:val="16"/>
          <w:szCs w:val="16"/>
          <w:lang w:val="fi-FI"/>
        </w:rPr>
        <w:t>7.</w:t>
      </w:r>
      <w:r>
        <w:rPr>
          <w:rFonts w:cs="Sylfaen"/>
          <w:sz w:val="16"/>
          <w:szCs w:val="16"/>
          <w:lang w:val="ka-GE"/>
        </w:rPr>
        <w:t>3</w:t>
      </w:r>
      <w:r w:rsidRPr="0040719B">
        <w:rPr>
          <w:rFonts w:cs="Sylfaen"/>
          <w:sz w:val="16"/>
          <w:szCs w:val="16"/>
          <w:lang w:val="fi-FI"/>
        </w:rPr>
        <w:t xml:space="preserve"> თამბაქოს ნაწარმის მხოლოდ სპეციალურ მაღაზიებში</w:t>
      </w:r>
      <w:r>
        <w:rPr>
          <w:rFonts w:cs="Sylfaen"/>
          <w:sz w:val="16"/>
          <w:szCs w:val="16"/>
          <w:lang w:val="ka-GE"/>
        </w:rPr>
        <w:t xml:space="preserve"> </w:t>
      </w:r>
      <w:r w:rsidRPr="0040719B">
        <w:rPr>
          <w:rFonts w:cs="Sylfaen"/>
          <w:sz w:val="16"/>
          <w:szCs w:val="16"/>
          <w:lang w:val="fi-FI"/>
        </w:rPr>
        <w:t>გაყიდვის დაშვებ</w:t>
      </w:r>
      <w:r>
        <w:rPr>
          <w:rFonts w:cs="Sylfaen"/>
          <w:sz w:val="16"/>
          <w:szCs w:val="16"/>
          <w:lang w:val="ka-GE"/>
        </w:rPr>
        <w:t>ის საკითხოს განხილვა და პოლიტიკის წინადადების შემუშავება</w:t>
      </w:r>
    </w:p>
    <w:p w:rsidR="00F105EE" w:rsidRDefault="00893F5A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  <w:lang w:val="ka-GE"/>
        </w:rPr>
      </w:pPr>
      <w:r w:rsidRPr="00DF3269">
        <w:rPr>
          <w:sz w:val="16"/>
          <w:szCs w:val="16"/>
          <w:lang w:val="ka-GE"/>
        </w:rPr>
        <w:t xml:space="preserve">8.1 </w:t>
      </w:r>
      <w:r>
        <w:rPr>
          <w:sz w:val="16"/>
          <w:szCs w:val="16"/>
          <w:lang w:val="ka-GE"/>
        </w:rPr>
        <w:t xml:space="preserve"> </w:t>
      </w:r>
      <w:r w:rsidRPr="00143716">
        <w:rPr>
          <w:sz w:val="16"/>
          <w:szCs w:val="16"/>
          <w:lang w:val="ka-GE"/>
        </w:rPr>
        <w:t>თამბაქოს ინდუსტრიისათვის</w:t>
      </w:r>
      <w:r>
        <w:rPr>
          <w:sz w:val="16"/>
          <w:szCs w:val="16"/>
          <w:lang w:val="ka-GE"/>
        </w:rPr>
        <w:t xml:space="preserve"> </w:t>
      </w:r>
      <w:r w:rsidRPr="00143716">
        <w:rPr>
          <w:sz w:val="16"/>
          <w:szCs w:val="16"/>
          <w:lang w:val="ka-GE"/>
        </w:rPr>
        <w:t>თამბაქოს ნაწარმის მოხმარებით მიყენებული ზიანის გაანგარიშების წესისა და კომპენსაციის ოდენობის განსაზღვრ</w:t>
      </w:r>
      <w:r>
        <w:rPr>
          <w:sz w:val="16"/>
          <w:szCs w:val="16"/>
          <w:lang w:val="ka-GE"/>
        </w:rPr>
        <w:t xml:space="preserve">ის მიზანშეწონილობის განხილვა და შესაბამისი საკანონმდებლო ინიციატივების შემუშავება </w:t>
      </w:r>
      <w:r w:rsidRPr="00143716">
        <w:rPr>
          <w:sz w:val="16"/>
          <w:szCs w:val="16"/>
          <w:lang w:val="ka-GE"/>
        </w:rPr>
        <w:t xml:space="preserve"> </w:t>
      </w:r>
    </w:p>
    <w:p w:rsidR="00893F5A" w:rsidRDefault="00893F5A" w:rsidP="002A7688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left="720" w:right="101"/>
        <w:jc w:val="both"/>
        <w:rPr>
          <w:sz w:val="16"/>
          <w:szCs w:val="16"/>
        </w:rPr>
      </w:pPr>
    </w:p>
    <w:p w:rsidR="00F105EE" w:rsidRDefault="00F105EE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sz w:val="16"/>
          <w:szCs w:val="16"/>
        </w:rPr>
      </w:pPr>
      <w:r w:rsidRPr="00FC5AF2">
        <w:rPr>
          <w:sz w:val="16"/>
          <w:szCs w:val="16"/>
        </w:rPr>
        <w:t xml:space="preserve">1.2 </w:t>
      </w:r>
      <w:proofErr w:type="spellStart"/>
      <w:r w:rsidRPr="00FC5AF2">
        <w:rPr>
          <w:sz w:val="16"/>
          <w:szCs w:val="16"/>
        </w:rPr>
        <w:t>კოორდინაცია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მჭიდრო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თანამშრომლობა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ჩარჩო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კონვენციის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სამდივნოსთან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თამბაქოს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კონტროლის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სხვა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საერთაშორისო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ორგანიზაციებთან</w:t>
      </w:r>
      <w:proofErr w:type="spellEnd"/>
    </w:p>
    <w:p w:rsidR="002A7688" w:rsidRPr="002A7688" w:rsidRDefault="002A7688" w:rsidP="00893F5A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="Sylfaen"/>
        </w:rPr>
      </w:pPr>
      <w:r w:rsidRPr="00FC5AF2">
        <w:rPr>
          <w:sz w:val="16"/>
          <w:szCs w:val="16"/>
          <w:lang w:val="ka-GE"/>
        </w:rPr>
        <w:t>1.</w:t>
      </w:r>
      <w:r>
        <w:rPr>
          <w:sz w:val="16"/>
          <w:szCs w:val="16"/>
          <w:lang w:val="ka-GE"/>
        </w:rPr>
        <w:t>5</w:t>
      </w:r>
      <w:r w:rsidRPr="00FC5AF2">
        <w:rPr>
          <w:sz w:val="16"/>
          <w:szCs w:val="16"/>
          <w:lang w:val="ka-GE"/>
        </w:rPr>
        <w:t xml:space="preserve"> ჯანდაცვითი </w:t>
      </w:r>
      <w:r w:rsidRPr="003175C3">
        <w:rPr>
          <w:sz w:val="16"/>
          <w:szCs w:val="16"/>
          <w:lang w:val="ka-GE"/>
        </w:rPr>
        <w:t xml:space="preserve">გადაწყვეტილებების მომზადების, მიღებისა და დანერგვის პროცესში თამბაქოს ინდუსტრიის ინტერესების </w:t>
      </w:r>
      <w:r w:rsidRPr="009F3D7E">
        <w:rPr>
          <w:sz w:val="16"/>
          <w:szCs w:val="16"/>
          <w:lang w:val="ka-GE"/>
        </w:rPr>
        <w:t>დაუშვებლობის და თამბაქოს ინდუსტრიასთან საჯარო  ორგანიზაციების/პირების ურთიერთობათა გამჭვირვალობის</w:t>
      </w:r>
      <w:r w:rsidRPr="003175C3">
        <w:rPr>
          <w:sz w:val="16"/>
          <w:szCs w:val="16"/>
          <w:lang w:val="ka-GE"/>
        </w:rPr>
        <w:t xml:space="preserve"> უზრუნველყოფა კანონმდებლობით</w:t>
      </w:r>
    </w:p>
    <w:p w:rsidR="00893F5A" w:rsidRDefault="00893F5A">
      <w:pPr>
        <w:rPr>
          <w:rFonts w:eastAsia="Sylfaen" w:cs="Sylfaen"/>
          <w:lang w:val="ka-GE"/>
        </w:rPr>
      </w:pPr>
    </w:p>
    <w:p w:rsidR="002A7688" w:rsidRDefault="002A7688">
      <w:pPr>
        <w:rPr>
          <w:rFonts w:eastAsia="Sylfaen" w:cs="Sylfaen"/>
          <w:lang w:val="ka-GE"/>
        </w:rPr>
      </w:pPr>
      <w:r>
        <w:rPr>
          <w:rFonts w:eastAsia="Sylfaen" w:cs="Sylfaen"/>
          <w:lang w:val="ka-GE"/>
        </w:rPr>
        <w:br w:type="page"/>
      </w:r>
    </w:p>
    <w:p w:rsidR="00F105EE" w:rsidRDefault="00F105EE">
      <w:pPr>
        <w:rPr>
          <w:rFonts w:eastAsia="Sylfaen" w:cs="Sylfaen"/>
          <w:sz w:val="22"/>
          <w:lang w:val="ka-GE"/>
        </w:rPr>
      </w:pPr>
    </w:p>
    <w:p w:rsidR="002A7688" w:rsidRPr="002A7688" w:rsidRDefault="002A7688" w:rsidP="002A7688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  <w:b/>
        </w:rPr>
      </w:pPr>
      <w:r w:rsidRPr="002A7688">
        <w:rPr>
          <w:rFonts w:ascii="Sylfaen" w:eastAsia="Sylfaen" w:hAnsi="Sylfaen" w:cs="Sylfaen"/>
          <w:b/>
          <w:lang w:val="ka-GE"/>
        </w:rPr>
        <w:t>თამბაქოს მოწევის დაწყების პრევენცია, განსაკუთრებით ბავშვებსა და ახალგაზრდებში, აქტიური მოხმარების შეწყვეტის ხელშეწყობა;</w:t>
      </w:r>
    </w:p>
    <w:p w:rsidR="002A7688" w:rsidRPr="007D478D" w:rsidRDefault="002A7688" w:rsidP="002A7688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rFonts w:ascii="Sylfaen" w:eastAsia="Sylfaen" w:hAnsi="Sylfaen" w:cs="Sylfaen"/>
        </w:rPr>
      </w:pPr>
      <w:r w:rsidRPr="00005335">
        <w:rPr>
          <w:rFonts w:ascii="Sylfaen" w:eastAsia="Sylfaen" w:hAnsi="Sylfaen" w:cs="Sylfaen"/>
          <w:lang w:val="ka-GE"/>
        </w:rPr>
        <w:t>მეორადი კვამლის ზემოქმედების შემცირება, მოსახლეობის ინფორმირებულობის</w:t>
      </w:r>
      <w:r>
        <w:rPr>
          <w:rFonts w:ascii="Sylfaen" w:eastAsia="Sylfaen" w:hAnsi="Sylfaen" w:cs="Sylfaen"/>
          <w:lang w:val="ka-GE"/>
        </w:rPr>
        <w:t xml:space="preserve"> დონის</w:t>
      </w:r>
      <w:r w:rsidRPr="00005335">
        <w:rPr>
          <w:rFonts w:ascii="Sylfaen" w:eastAsia="Sylfaen" w:hAnsi="Sylfaen" w:cs="Sylfaen"/>
          <w:lang w:val="ka-GE"/>
        </w:rPr>
        <w:t xml:space="preserve"> ამაღლება თამბაქოს მოხმარებისა და მეორადი</w:t>
      </w:r>
      <w:r>
        <w:rPr>
          <w:rFonts w:ascii="Sylfaen" w:eastAsia="Sylfaen" w:hAnsi="Sylfaen" w:cs="Sylfaen"/>
          <w:lang w:val="ka-GE"/>
        </w:rPr>
        <w:t>, ისევე, როგორც მ</w:t>
      </w:r>
      <w:r w:rsidRPr="00005335">
        <w:rPr>
          <w:rFonts w:ascii="Sylfaen" w:eastAsia="Sylfaen" w:hAnsi="Sylfaen" w:cs="Sylfaen"/>
          <w:lang w:val="ka-GE"/>
        </w:rPr>
        <w:t>ესამეული კვამლის მავნე ზემოქმედების შესახებ;</w:t>
      </w:r>
    </w:p>
    <w:p w:rsidR="002A7688" w:rsidRPr="007D478D" w:rsidRDefault="002A7688" w:rsidP="002A7688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rFonts w:ascii="Sylfaen" w:eastAsia="Sylfaen" w:hAnsi="Sylfaen" w:cs="Sylfaen"/>
        </w:rPr>
      </w:pPr>
      <w:r w:rsidRPr="007D478D">
        <w:rPr>
          <w:rFonts w:ascii="Sylfaen" w:eastAsia="Sylfaen" w:hAnsi="Sylfaen" w:cs="Sylfaen"/>
          <w:lang w:val="ka-GE"/>
        </w:rPr>
        <w:t>თამბაქოსაგან თავისუფალი ქალაქების/დასახლებული პუნქტების ხელშეწყობა;</w:t>
      </w:r>
    </w:p>
    <w:p w:rsidR="002A7688" w:rsidRPr="007D478D" w:rsidRDefault="002A7688" w:rsidP="002A7688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rFonts w:ascii="Sylfaen" w:eastAsia="Sylfaen" w:hAnsi="Sylfaen" w:cs="Sylfaen"/>
        </w:rPr>
      </w:pPr>
      <w:r w:rsidRPr="00005335">
        <w:rPr>
          <w:rFonts w:ascii="Sylfaen" w:eastAsia="Sylfaen" w:hAnsi="Sylfaen" w:cs="Sylfaen"/>
          <w:lang w:val="ka-GE"/>
        </w:rPr>
        <w:t>აქტიური მოხმარების შეწყვეტის ხელშეწყობა</w:t>
      </w:r>
      <w:r>
        <w:rPr>
          <w:rFonts w:ascii="Sylfaen" w:eastAsia="Sylfaen" w:hAnsi="Sylfaen" w:cs="Sylfaen"/>
          <w:lang w:val="ka-GE"/>
        </w:rPr>
        <w:t>.</w:t>
      </w:r>
    </w:p>
    <w:p w:rsidR="002A7688" w:rsidRDefault="002A7688">
      <w:pPr>
        <w:rPr>
          <w:rFonts w:eastAsia="Sylfaen" w:cs="Sylfaen"/>
          <w:lang w:val="ka-GE"/>
        </w:rPr>
      </w:pPr>
    </w:p>
    <w:p w:rsidR="00893F5A" w:rsidRDefault="002A7688">
      <w:pPr>
        <w:rPr>
          <w:sz w:val="16"/>
          <w:szCs w:val="16"/>
          <w:lang w:val="ka-GE"/>
        </w:rPr>
      </w:pPr>
      <w:r w:rsidRPr="007A3573">
        <w:rPr>
          <w:sz w:val="16"/>
          <w:szCs w:val="16"/>
          <w:lang w:val="ka-GE"/>
        </w:rPr>
        <w:t>1.</w:t>
      </w:r>
      <w:r>
        <w:rPr>
          <w:sz w:val="16"/>
          <w:szCs w:val="16"/>
        </w:rPr>
        <w:t>4</w:t>
      </w:r>
      <w:r w:rsidRPr="007A3573">
        <w:rPr>
          <w:sz w:val="16"/>
          <w:szCs w:val="16"/>
          <w:lang w:val="ka-GE"/>
        </w:rPr>
        <w:t xml:space="preserve"> </w:t>
      </w:r>
      <w:r>
        <w:rPr>
          <w:sz w:val="16"/>
          <w:szCs w:val="16"/>
          <w:lang w:val="ka-GE"/>
        </w:rPr>
        <w:t xml:space="preserve">ჯანმრთელობის ხელშეწყობის სახელმწიფო პროგრამის </w:t>
      </w:r>
      <w:r w:rsidRPr="007A3573">
        <w:rPr>
          <w:sz w:val="16"/>
          <w:szCs w:val="16"/>
          <w:lang w:val="ka-GE"/>
        </w:rPr>
        <w:t xml:space="preserve">თამბაქოს კონტროლის </w:t>
      </w:r>
      <w:r>
        <w:rPr>
          <w:sz w:val="16"/>
          <w:szCs w:val="16"/>
          <w:lang w:val="ka-GE"/>
        </w:rPr>
        <w:t>კომპონენტის</w:t>
      </w:r>
      <w:r w:rsidRPr="007A3573">
        <w:rPr>
          <w:sz w:val="16"/>
          <w:szCs w:val="16"/>
          <w:lang w:val="ka-GE"/>
        </w:rPr>
        <w:t xml:space="preserve"> განხორციელება</w:t>
      </w:r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 w:rsidRPr="00FC5AF2">
        <w:rPr>
          <w:sz w:val="16"/>
          <w:szCs w:val="16"/>
        </w:rPr>
        <w:t xml:space="preserve">9.1 </w:t>
      </w:r>
      <w:proofErr w:type="spellStart"/>
      <w:r w:rsidRPr="00FC5AF2">
        <w:rPr>
          <w:sz w:val="16"/>
          <w:szCs w:val="16"/>
        </w:rPr>
        <w:t>სატელეფონო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კონსულტაციის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უზრუნველყოფა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ნომერზე</w:t>
      </w:r>
      <w:proofErr w:type="spellEnd"/>
      <w:r w:rsidRPr="00FC5AF2">
        <w:rPr>
          <w:sz w:val="16"/>
          <w:szCs w:val="16"/>
        </w:rPr>
        <w:t xml:space="preserve"> 116001 </w:t>
      </w:r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</w:rPr>
        <w:t xml:space="preserve">9.2 </w:t>
      </w:r>
      <w:proofErr w:type="spellStart"/>
      <w:r>
        <w:rPr>
          <w:sz w:val="16"/>
          <w:szCs w:val="16"/>
        </w:rPr>
        <w:t>მობილური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აპლიკაციის</w:t>
      </w:r>
      <w:proofErr w:type="spellEnd"/>
      <w:r>
        <w:rPr>
          <w:sz w:val="16"/>
          <w:szCs w:val="16"/>
        </w:rPr>
        <w:t xml:space="preserve"> “</w:t>
      </w:r>
      <w:proofErr w:type="spellStart"/>
      <w:r>
        <w:rPr>
          <w:sz w:val="16"/>
          <w:szCs w:val="16"/>
        </w:rPr>
        <w:t>თავს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ვანებებ</w:t>
      </w:r>
      <w:proofErr w:type="spellEnd"/>
      <w:r>
        <w:rPr>
          <w:sz w:val="16"/>
          <w:szCs w:val="16"/>
        </w:rPr>
        <w:t>”</w:t>
      </w:r>
      <w:r>
        <w:rPr>
          <w:sz w:val="16"/>
          <w:szCs w:val="16"/>
          <w:lang w:val="ka-GE"/>
        </w:rPr>
        <w:t xml:space="preserve"> ფუნქციონირების </w:t>
      </w:r>
      <w:proofErr w:type="spellStart"/>
      <w:r w:rsidRPr="00FC5AF2">
        <w:rPr>
          <w:sz w:val="16"/>
          <w:szCs w:val="16"/>
        </w:rPr>
        <w:t>უზრუნველყოფა</w:t>
      </w:r>
      <w:proofErr w:type="spellEnd"/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</w:rPr>
        <w:t>9.3</w:t>
      </w:r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ბაზარზე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ნიკოტინჩანაცვლებითი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მე-2 </w:t>
      </w:r>
      <w:proofErr w:type="spellStart"/>
      <w:r w:rsidRPr="00FC5AF2">
        <w:rPr>
          <w:sz w:val="16"/>
          <w:szCs w:val="16"/>
        </w:rPr>
        <w:t>რიგის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მედიკამენტების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ხელმისაწვდომობის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გაუმჯობესება</w:t>
      </w:r>
      <w:proofErr w:type="spellEnd"/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 w:rsidRPr="00FC5AF2">
        <w:rPr>
          <w:sz w:val="16"/>
          <w:szCs w:val="16"/>
        </w:rPr>
        <w:t>9.</w:t>
      </w:r>
      <w:r>
        <w:rPr>
          <w:sz w:val="16"/>
          <w:szCs w:val="16"/>
          <w:lang w:val="ka-GE"/>
        </w:rPr>
        <w:t>4</w:t>
      </w:r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ექიმების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ექთნების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ტრენინგი</w:t>
      </w:r>
      <w:proofErr w:type="spellEnd"/>
      <w:r w:rsidRPr="00FC5AF2">
        <w:rPr>
          <w:sz w:val="16"/>
          <w:szCs w:val="16"/>
        </w:rPr>
        <w:t>/</w:t>
      </w:r>
      <w:proofErr w:type="spellStart"/>
      <w:r w:rsidRPr="00FC5AF2">
        <w:rPr>
          <w:sz w:val="16"/>
          <w:szCs w:val="16"/>
        </w:rPr>
        <w:t>ინფორმირება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მოწევის</w:t>
      </w:r>
      <w:proofErr w:type="spellEnd"/>
      <w:r w:rsidRPr="00FC5AF2">
        <w:rPr>
          <w:sz w:val="16"/>
          <w:szCs w:val="16"/>
          <w:lang w:val="ka-GE"/>
        </w:rPr>
        <w:t>თვის თავის დანებების</w:t>
      </w:r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კონსულტაციის</w:t>
      </w:r>
      <w:proofErr w:type="spellEnd"/>
      <w:r w:rsidRPr="00FC5AF2">
        <w:rPr>
          <w:sz w:val="16"/>
          <w:szCs w:val="16"/>
        </w:rPr>
        <w:t xml:space="preserve"> </w:t>
      </w:r>
      <w:r>
        <w:rPr>
          <w:sz w:val="16"/>
          <w:szCs w:val="16"/>
          <w:lang w:val="ka-GE"/>
        </w:rPr>
        <w:t xml:space="preserve">და ფარმაკოთერაპიის </w:t>
      </w:r>
      <w:proofErr w:type="spellStart"/>
      <w:r w:rsidRPr="00FC5AF2">
        <w:rPr>
          <w:sz w:val="16"/>
          <w:szCs w:val="16"/>
        </w:rPr>
        <w:t>საკითხებში</w:t>
      </w:r>
      <w:proofErr w:type="spellEnd"/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</w:rPr>
        <w:t>9.5</w:t>
      </w:r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ექიმების</w:t>
      </w:r>
      <w:proofErr w:type="spellEnd"/>
      <w:r w:rsidRPr="00FC5AF2">
        <w:rPr>
          <w:sz w:val="16"/>
          <w:szCs w:val="16"/>
        </w:rPr>
        <w:t xml:space="preserve">, </w:t>
      </w:r>
      <w:proofErr w:type="spellStart"/>
      <w:r w:rsidRPr="00FC5AF2">
        <w:rPr>
          <w:sz w:val="16"/>
          <w:szCs w:val="16"/>
        </w:rPr>
        <w:t>ექთნების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მასწავლებელთა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მომზადების</w:t>
      </w:r>
      <w:proofErr w:type="spellEnd"/>
      <w:r w:rsidRPr="00FC5AF2">
        <w:rPr>
          <w:sz w:val="16"/>
          <w:szCs w:val="16"/>
        </w:rPr>
        <w:t>/</w:t>
      </w:r>
      <w:proofErr w:type="spellStart"/>
      <w:r w:rsidRPr="00FC5AF2">
        <w:rPr>
          <w:sz w:val="16"/>
          <w:szCs w:val="16"/>
        </w:rPr>
        <w:t>გადამზადების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კურსში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თამბაქოს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შესახებ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შესაბამისი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სწავლების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შეტანა</w:t>
      </w:r>
      <w:proofErr w:type="spellEnd"/>
      <w:r w:rsidRPr="00FC5AF2">
        <w:rPr>
          <w:sz w:val="16"/>
          <w:szCs w:val="16"/>
        </w:rPr>
        <w:t xml:space="preserve"> </w:t>
      </w:r>
    </w:p>
    <w:p w:rsidR="00893F5A" w:rsidRDefault="00893F5A">
      <w:pPr>
        <w:rPr>
          <w:rFonts w:eastAsia="Sylfaen" w:cs="Sylfaen"/>
          <w:lang w:val="ka-GE"/>
        </w:rPr>
      </w:pPr>
    </w:p>
    <w:p w:rsidR="00893F5A" w:rsidRDefault="00893F5A">
      <w:pPr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 xml:space="preserve">10.1 თამბაქოს საწინააღმდეგო მიზნობრივი საკომუნიკაციო კამპანიები მასმედიით, სოციალური ქსელებით და სხვა არხებით </w:t>
      </w:r>
    </w:p>
    <w:p w:rsidR="00893F5A" w:rsidRDefault="00893F5A">
      <w:pPr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>10.2 თამბაქოს საწინააღმდეგო, ყოველწლიური ეროვნული და საერთაშორისო დღეების აღნიშნვა</w:t>
      </w:r>
    </w:p>
    <w:p w:rsidR="002A7688" w:rsidRDefault="002A7688">
      <w:pPr>
        <w:rPr>
          <w:rFonts w:eastAsia="Sylfaen" w:cs="Sylfaen"/>
          <w:sz w:val="22"/>
          <w:lang w:val="ka-GE"/>
        </w:rPr>
      </w:pPr>
      <w:r>
        <w:rPr>
          <w:rFonts w:eastAsia="Sylfaen" w:cs="Sylfaen"/>
          <w:lang w:val="ka-GE"/>
        </w:rPr>
        <w:br w:type="page"/>
      </w:r>
    </w:p>
    <w:p w:rsidR="002A7688" w:rsidRPr="002A7688" w:rsidRDefault="002A7688" w:rsidP="002A7688">
      <w:pPr>
        <w:pStyle w:val="ListParagraph"/>
        <w:widowControl w:val="0"/>
        <w:numPr>
          <w:ilvl w:val="0"/>
          <w:numId w:val="1"/>
        </w:numPr>
        <w:tabs>
          <w:tab w:val="left" w:pos="1207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  <w:b/>
        </w:rPr>
      </w:pPr>
      <w:r w:rsidRPr="002A7688">
        <w:rPr>
          <w:rFonts w:ascii="Sylfaen" w:eastAsia="Sylfaen" w:hAnsi="Sylfaen" w:cs="Sylfaen"/>
          <w:b/>
          <w:lang w:val="ka-GE"/>
        </w:rPr>
        <w:lastRenderedPageBreak/>
        <w:t>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უზრუნველყოფა;</w:t>
      </w:r>
    </w:p>
    <w:p w:rsidR="002A7688" w:rsidRDefault="002A7688">
      <w:pPr>
        <w:rPr>
          <w:rFonts w:cs="Sylfaen"/>
          <w:sz w:val="22"/>
          <w:lang w:val="ka-GE"/>
        </w:rPr>
      </w:pPr>
      <w:r>
        <w:rPr>
          <w:rFonts w:cs="Sylfaen"/>
          <w:lang w:val="ka-GE"/>
        </w:rPr>
        <w:br w:type="page"/>
      </w:r>
    </w:p>
    <w:p w:rsidR="002A7688" w:rsidRPr="00893F5A" w:rsidRDefault="002A7688" w:rsidP="002A7688">
      <w:pPr>
        <w:pStyle w:val="ListParagraph"/>
        <w:widowControl w:val="0"/>
        <w:numPr>
          <w:ilvl w:val="0"/>
          <w:numId w:val="1"/>
        </w:numPr>
        <w:tabs>
          <w:tab w:val="left" w:pos="1207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  <w:b/>
        </w:rPr>
      </w:pPr>
      <w:r w:rsidRPr="002A7688">
        <w:rPr>
          <w:rFonts w:ascii="Sylfaen" w:hAnsi="Sylfaen" w:cs="Sylfaen"/>
          <w:b/>
          <w:lang w:val="ka-GE"/>
        </w:rPr>
        <w:lastRenderedPageBreak/>
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გენერირება.</w:t>
      </w:r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>12.1 სტრატეგიის განხორციელების მონიტორინგი და შეფასება</w:t>
      </w:r>
    </w:p>
    <w:p w:rsidR="00893F5A" w:rsidRPr="00FC5AF2" w:rsidRDefault="00893F5A" w:rsidP="007D478D">
      <w:pPr>
        <w:spacing w:after="0"/>
        <w:rPr>
          <w:sz w:val="16"/>
          <w:szCs w:val="16"/>
        </w:rPr>
      </w:pPr>
      <w:r w:rsidRPr="00FC5AF2">
        <w:rPr>
          <w:sz w:val="16"/>
          <w:szCs w:val="16"/>
          <w:lang w:val="ka-GE"/>
        </w:rPr>
        <w:t>12.2 თამბაქოს მოხმარების გავრცელების და მასთან დაკავშირებული საკითხების ეროვნული კვლევების უზრუნველყოფა სტანდარტიზებული, ურთიერთთან და სხვა ქვეყნების მონაცემებთან შედარებადი მეთოდოლოგიით</w:t>
      </w:r>
      <w:r w:rsidRPr="00FC5AF2">
        <w:rPr>
          <w:sz w:val="16"/>
          <w:szCs w:val="16"/>
          <w:vertAlign w:val="superscript"/>
          <w:lang w:val="ka-GE"/>
        </w:rPr>
        <w:t xml:space="preserve">2  </w:t>
      </w:r>
      <w:r w:rsidRPr="00FC5AF2">
        <w:rPr>
          <w:sz w:val="16"/>
          <w:szCs w:val="16"/>
          <w:shd w:val="clear" w:color="auto" w:fill="FFFFFF"/>
          <w:lang w:val="ka-GE"/>
        </w:rPr>
        <w:t>და იმ ინდიკატორების გათვალისწინება, რ</w:t>
      </w:r>
      <w:bookmarkStart w:id="0" w:name="_GoBack"/>
      <w:bookmarkEnd w:id="0"/>
      <w:r w:rsidRPr="00FC5AF2">
        <w:rPr>
          <w:sz w:val="16"/>
          <w:szCs w:val="16"/>
          <w:shd w:val="clear" w:color="auto" w:fill="FFFFFF"/>
          <w:lang w:val="ka-GE"/>
        </w:rPr>
        <w:t>ომელსაც ჯანმოს თამბაქოს კონტროლის ჩარჩო კონვეცია იყენებს საანგარიშო ინსტრუმენტში</w:t>
      </w:r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>12.3 მიზნობრივი ჩაღრმავებული კვლევები</w:t>
      </w:r>
    </w:p>
    <w:p w:rsidR="00893F5A" w:rsidRPr="00FC5AF2" w:rsidRDefault="00893F5A" w:rsidP="007D478D">
      <w:pPr>
        <w:spacing w:after="0"/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>12.4 თამბაქოს კონტროლის ეროვნული მოხსენების მომზადება და მისი საჯარო განხილვის უზრუნველყოფა (მაგ: ჯანმოს თამბაქოს კონტროლის ჩარჩო კონვენციის ანგარიშის მომზადება ყოველ 2 წელიწადში ერთხელ.</w:t>
      </w:r>
    </w:p>
    <w:p w:rsidR="00893F5A" w:rsidRDefault="00893F5A" w:rsidP="00893F5A">
      <w:pPr>
        <w:widowControl w:val="0"/>
        <w:tabs>
          <w:tab w:val="left" w:pos="1207"/>
        </w:tabs>
        <w:autoSpaceDE w:val="0"/>
        <w:autoSpaceDN w:val="0"/>
        <w:spacing w:after="120" w:line="360" w:lineRule="auto"/>
        <w:ind w:right="101"/>
        <w:jc w:val="both"/>
        <w:rPr>
          <w:rFonts w:eastAsia="Sylfaen" w:cs="Sylfaen"/>
          <w:b/>
        </w:rPr>
      </w:pPr>
    </w:p>
    <w:p w:rsidR="00893F5A" w:rsidRPr="00893F5A" w:rsidRDefault="00893F5A" w:rsidP="00893F5A">
      <w:pPr>
        <w:widowControl w:val="0"/>
        <w:tabs>
          <w:tab w:val="left" w:pos="1207"/>
        </w:tabs>
        <w:autoSpaceDE w:val="0"/>
        <w:autoSpaceDN w:val="0"/>
        <w:spacing w:after="120" w:line="360" w:lineRule="auto"/>
        <w:ind w:right="101"/>
        <w:jc w:val="both"/>
        <w:rPr>
          <w:rFonts w:eastAsia="Sylfaen" w:cs="Sylfaen"/>
          <w:b/>
        </w:rPr>
      </w:pPr>
    </w:p>
    <w:p w:rsidR="002A7688" w:rsidRPr="00893F5A" w:rsidRDefault="002A7688" w:rsidP="002A768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893F5A">
        <w:rPr>
          <w:rFonts w:ascii="Sylfaen" w:hAnsi="Sylfaen" w:cs="Sylfaen"/>
          <w:b/>
          <w:lang w:val="ka-GE"/>
        </w:rPr>
        <w:t>თამბაქოს კონტროლის ღონისძიებების კოორდინაცია და მართვა და მონიტორინგი</w:t>
      </w:r>
    </w:p>
    <w:p w:rsidR="00DE19FF" w:rsidRDefault="002A7688" w:rsidP="002A7688">
      <w:pPr>
        <w:tabs>
          <w:tab w:val="left" w:pos="2490"/>
        </w:tabs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>1.1 თამბაქოს კონტროლის სამთავრობო კომისიის ფუნქციონირების უზრუნველყოფა</w:t>
      </w:r>
    </w:p>
    <w:p w:rsidR="002A7688" w:rsidRDefault="002A7688" w:rsidP="002A7688">
      <w:pPr>
        <w:tabs>
          <w:tab w:val="left" w:pos="2490"/>
        </w:tabs>
        <w:rPr>
          <w:rStyle w:val="apple-converted-space"/>
          <w:sz w:val="16"/>
          <w:szCs w:val="16"/>
          <w:shd w:val="clear" w:color="auto" w:fill="FFFFFF"/>
          <w:lang w:val="ka-GE"/>
        </w:rPr>
      </w:pPr>
      <w:r w:rsidRPr="00FC5AF2">
        <w:rPr>
          <w:rFonts w:eastAsia="Calibri"/>
          <w:sz w:val="16"/>
          <w:szCs w:val="16"/>
          <w:lang w:val="ka-GE"/>
        </w:rPr>
        <w:t xml:space="preserve">1.2.2 </w:t>
      </w:r>
      <w:r>
        <w:rPr>
          <w:rFonts w:eastAsia="Calibri"/>
          <w:sz w:val="16"/>
          <w:szCs w:val="16"/>
        </w:rPr>
        <w:t>FCTC</w:t>
      </w:r>
      <w:r>
        <w:rPr>
          <w:rFonts w:eastAsia="Calibri"/>
          <w:sz w:val="16"/>
          <w:szCs w:val="16"/>
          <w:lang w:val="ka-GE"/>
        </w:rPr>
        <w:t xml:space="preserve">2030 პროექტის </w:t>
      </w:r>
      <w:r w:rsidRPr="00FC5AF2">
        <w:rPr>
          <w:rStyle w:val="apple-converted-space"/>
          <w:sz w:val="16"/>
          <w:szCs w:val="16"/>
          <w:shd w:val="clear" w:color="auto" w:fill="FFFFFF"/>
          <w:lang w:val="ka-GE"/>
        </w:rPr>
        <w:t>განხორციელების მონიტორინგი</w:t>
      </w:r>
    </w:p>
    <w:p w:rsidR="00F105EE" w:rsidRDefault="00F105EE" w:rsidP="002A7688">
      <w:pPr>
        <w:tabs>
          <w:tab w:val="left" w:pos="2490"/>
        </w:tabs>
        <w:rPr>
          <w:rStyle w:val="apple-converted-space"/>
          <w:sz w:val="16"/>
          <w:szCs w:val="16"/>
          <w:shd w:val="clear" w:color="auto" w:fill="FFFFFF"/>
          <w:lang w:val="ka-GE"/>
        </w:rPr>
      </w:pPr>
    </w:p>
    <w:p w:rsidR="00F105EE" w:rsidRDefault="00F105EE" w:rsidP="002A7688">
      <w:pPr>
        <w:tabs>
          <w:tab w:val="left" w:pos="2490"/>
        </w:tabs>
        <w:rPr>
          <w:sz w:val="16"/>
          <w:szCs w:val="16"/>
          <w:lang w:val="ka-GE"/>
        </w:rPr>
      </w:pPr>
      <w:r w:rsidRPr="00FC5AF2">
        <w:rPr>
          <w:sz w:val="16"/>
          <w:szCs w:val="16"/>
          <w:lang w:val="ka-GE"/>
        </w:rPr>
        <w:t xml:space="preserve">4.1 </w:t>
      </w:r>
      <w:r w:rsidRPr="00D82A66">
        <w:rPr>
          <w:sz w:val="16"/>
          <w:szCs w:val="16"/>
          <w:lang w:val="ka-GE"/>
        </w:rPr>
        <w:t xml:space="preserve">თამბაქოს ნაწარმის შემადგენლობის ყოველწლიური კონტროლი  </w:t>
      </w:r>
    </w:p>
    <w:p w:rsidR="00F105EE" w:rsidRDefault="00F105EE" w:rsidP="002A7688">
      <w:pPr>
        <w:tabs>
          <w:tab w:val="left" w:pos="2490"/>
        </w:tabs>
        <w:rPr>
          <w:rStyle w:val="apple-converted-space"/>
          <w:sz w:val="16"/>
          <w:szCs w:val="16"/>
          <w:shd w:val="clear" w:color="auto" w:fill="FFFFFF"/>
          <w:lang w:val="ka-GE"/>
        </w:rPr>
      </w:pPr>
    </w:p>
    <w:p w:rsidR="00F105EE" w:rsidRPr="00102FA4" w:rsidRDefault="00F105EE" w:rsidP="007D478D">
      <w:pPr>
        <w:spacing w:after="0"/>
        <w:rPr>
          <w:rFonts w:cs="Arial"/>
          <w:sz w:val="16"/>
          <w:szCs w:val="16"/>
          <w:lang w:val="ka-GE"/>
        </w:rPr>
      </w:pPr>
      <w:r w:rsidRPr="00FC5AF2">
        <w:rPr>
          <w:sz w:val="16"/>
          <w:szCs w:val="16"/>
        </w:rPr>
        <w:t xml:space="preserve">5.1 </w:t>
      </w:r>
      <w:proofErr w:type="spellStart"/>
      <w:r w:rsidRPr="00FC5AF2">
        <w:rPr>
          <w:sz w:val="16"/>
          <w:szCs w:val="16"/>
        </w:rPr>
        <w:t>თამბაქოს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შეფუთვაზე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პიქტოგრამების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როტაციის</w:t>
      </w:r>
      <w:proofErr w:type="spellEnd"/>
      <w:r w:rsidRPr="00FC5AF2">
        <w:rPr>
          <w:sz w:val="16"/>
          <w:szCs w:val="16"/>
        </w:rPr>
        <w:t xml:space="preserve"> </w:t>
      </w:r>
      <w:r>
        <w:rPr>
          <w:sz w:val="16"/>
          <w:szCs w:val="16"/>
          <w:lang w:val="ka-GE"/>
        </w:rPr>
        <w:t>მონიტორინგი</w:t>
      </w:r>
    </w:p>
    <w:p w:rsidR="00F105EE" w:rsidRPr="00FC5AF2" w:rsidRDefault="00F105EE" w:rsidP="007D478D">
      <w:pPr>
        <w:pStyle w:val="ListParagraph"/>
        <w:spacing w:after="0" w:line="240" w:lineRule="auto"/>
        <w:ind w:left="0"/>
        <w:rPr>
          <w:sz w:val="16"/>
          <w:szCs w:val="16"/>
          <w:lang w:val="ka-GE"/>
        </w:rPr>
      </w:pPr>
      <w:r>
        <w:rPr>
          <w:sz w:val="16"/>
          <w:szCs w:val="16"/>
        </w:rPr>
        <w:t>5.2</w:t>
      </w:r>
      <w:r w:rsidRPr="00102FA4">
        <w:rPr>
          <w:sz w:val="16"/>
          <w:szCs w:val="16"/>
        </w:rPr>
        <w:t xml:space="preserve"> </w:t>
      </w:r>
      <w:r w:rsidRPr="00102FA4">
        <w:rPr>
          <w:rFonts w:ascii="Sylfaen" w:hAnsi="Sylfaen"/>
          <w:sz w:val="16"/>
          <w:szCs w:val="16"/>
          <w:lang w:val="ka-GE"/>
        </w:rPr>
        <w:t>თამბაქოს ე.წ. სტანდარტული წესით ანუ „სადა“ შეფუთვა</w:t>
      </w:r>
    </w:p>
    <w:p w:rsidR="00F105EE" w:rsidRDefault="00F105EE" w:rsidP="007D478D">
      <w:pPr>
        <w:pStyle w:val="ListParagraph"/>
        <w:spacing w:after="0" w:line="240" w:lineRule="auto"/>
        <w:ind w:left="0"/>
        <w:rPr>
          <w:sz w:val="16"/>
          <w:szCs w:val="16"/>
        </w:rPr>
      </w:pPr>
      <w:r>
        <w:rPr>
          <w:rFonts w:ascii="Sylfaen" w:hAnsi="Sylfaen" w:cs="Sylfaen"/>
          <w:sz w:val="16"/>
          <w:szCs w:val="16"/>
          <w:lang w:val="ka-GE"/>
        </w:rPr>
        <w:t xml:space="preserve">5.3 </w:t>
      </w:r>
      <w:proofErr w:type="spellStart"/>
      <w:r w:rsidRPr="00D55130">
        <w:rPr>
          <w:rFonts w:ascii="Sylfaen" w:hAnsi="Sylfaen" w:cs="Sylfaen"/>
          <w:sz w:val="16"/>
          <w:szCs w:val="16"/>
        </w:rPr>
        <w:t>თამბაქოს</w:t>
      </w:r>
      <w:proofErr w:type="spellEnd"/>
      <w:r w:rsidRPr="00D55130"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ნაწარმ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>ის შეფუთვაზე</w:t>
      </w:r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D55130">
        <w:rPr>
          <w:rFonts w:ascii="Sylfaen" w:hAnsi="Sylfaen" w:cs="Sylfaen"/>
          <w:sz w:val="16"/>
          <w:szCs w:val="16"/>
        </w:rPr>
        <w:t>სამედიცინო</w:t>
      </w:r>
      <w:proofErr w:type="spellEnd"/>
      <w:r w:rsidRPr="00D55130">
        <w:rPr>
          <w:sz w:val="16"/>
          <w:szCs w:val="16"/>
        </w:rPr>
        <w:t xml:space="preserve"> </w:t>
      </w:r>
      <w:proofErr w:type="spellStart"/>
      <w:r w:rsidRPr="00D55130">
        <w:rPr>
          <w:rFonts w:ascii="Sylfaen" w:hAnsi="Sylfaen" w:cs="Sylfaen"/>
          <w:sz w:val="16"/>
          <w:szCs w:val="16"/>
        </w:rPr>
        <w:t>გაფრთხილებების</w:t>
      </w:r>
      <w:proofErr w:type="spellEnd"/>
      <w:r w:rsidRPr="00D55130"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როტაციის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განხორცი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ელების </w:t>
      </w:r>
      <w:proofErr w:type="spellStart"/>
      <w:r>
        <w:rPr>
          <w:rFonts w:ascii="Sylfaen" w:hAnsi="Sylfaen" w:cs="Sylfaen"/>
          <w:sz w:val="16"/>
          <w:szCs w:val="16"/>
        </w:rPr>
        <w:t>შესახებ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ინფორმაციის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წარმოდგენის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ვალდებულება</w:t>
      </w:r>
      <w:proofErr w:type="spellEnd"/>
    </w:p>
    <w:p w:rsidR="00F105EE" w:rsidRDefault="00F105EE" w:rsidP="002A7688">
      <w:pPr>
        <w:tabs>
          <w:tab w:val="left" w:pos="2490"/>
        </w:tabs>
      </w:pPr>
    </w:p>
    <w:p w:rsidR="00F105EE" w:rsidRDefault="00F105EE" w:rsidP="002A7688">
      <w:pPr>
        <w:tabs>
          <w:tab w:val="left" w:pos="2490"/>
        </w:tabs>
        <w:rPr>
          <w:sz w:val="16"/>
          <w:szCs w:val="16"/>
          <w:lang w:val="ka-GE"/>
        </w:rPr>
      </w:pPr>
      <w:r w:rsidRPr="00FC5AF2">
        <w:rPr>
          <w:sz w:val="16"/>
          <w:szCs w:val="16"/>
        </w:rPr>
        <w:t xml:space="preserve">6.1 </w:t>
      </w:r>
      <w:proofErr w:type="spellStart"/>
      <w:r w:rsidRPr="00FC5AF2">
        <w:rPr>
          <w:sz w:val="16"/>
          <w:szCs w:val="16"/>
        </w:rPr>
        <w:t>თამბაქოს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მისი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ნაწარმის</w:t>
      </w:r>
      <w:proofErr w:type="spellEnd"/>
      <w:r w:rsidRPr="00FC5AF2">
        <w:rPr>
          <w:sz w:val="16"/>
          <w:szCs w:val="16"/>
        </w:rPr>
        <w:t xml:space="preserve">, </w:t>
      </w:r>
      <w:proofErr w:type="spellStart"/>
      <w:r w:rsidRPr="00FC5AF2">
        <w:rPr>
          <w:sz w:val="16"/>
          <w:szCs w:val="16"/>
        </w:rPr>
        <w:t>აქსესუარების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და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მოხმარებისთვის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განკუთვნილი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მოწყობილობების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ყველა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სახის</w:t>
      </w:r>
      <w:proofErr w:type="spellEnd"/>
      <w:r w:rsidRPr="00FC5AF2">
        <w:rPr>
          <w:sz w:val="16"/>
          <w:szCs w:val="16"/>
        </w:rPr>
        <w:t xml:space="preserve"> </w:t>
      </w:r>
      <w:proofErr w:type="spellStart"/>
      <w:r w:rsidRPr="00FC5AF2">
        <w:rPr>
          <w:sz w:val="16"/>
          <w:szCs w:val="16"/>
        </w:rPr>
        <w:t>რეკლამის</w:t>
      </w:r>
      <w:proofErr w:type="spellEnd"/>
      <w:r w:rsidRPr="00FC5AF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მ.შ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ინტერნეტით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სრული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აკრძალვის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მონიტორინ</w:t>
      </w:r>
      <w:proofErr w:type="spellEnd"/>
      <w:r>
        <w:rPr>
          <w:sz w:val="16"/>
          <w:szCs w:val="16"/>
          <w:lang w:val="ka-GE"/>
        </w:rPr>
        <w:t>გი</w:t>
      </w:r>
    </w:p>
    <w:p w:rsidR="00893F5A" w:rsidRDefault="00893F5A" w:rsidP="002A7688">
      <w:pPr>
        <w:tabs>
          <w:tab w:val="left" w:pos="2490"/>
        </w:tabs>
        <w:rPr>
          <w:rFonts w:cs="ZZ Khotevi"/>
          <w:sz w:val="16"/>
          <w:szCs w:val="16"/>
        </w:rPr>
      </w:pPr>
      <w:r w:rsidRPr="00FC5AF2">
        <w:rPr>
          <w:rFonts w:cs="ZZ Khotevi"/>
          <w:sz w:val="16"/>
          <w:szCs w:val="16"/>
        </w:rPr>
        <w:t>7.</w:t>
      </w:r>
      <w:r>
        <w:rPr>
          <w:rFonts w:cs="ZZ Khotevi"/>
          <w:sz w:val="16"/>
          <w:szCs w:val="16"/>
          <w:lang w:val="ka-GE"/>
        </w:rPr>
        <w:t>4</w:t>
      </w:r>
      <w:r w:rsidRPr="00FC5AF2">
        <w:rPr>
          <w:rFonts w:cs="ZZ Khotevi"/>
          <w:sz w:val="16"/>
          <w:szCs w:val="16"/>
        </w:rPr>
        <w:t xml:space="preserve"> </w:t>
      </w:r>
      <w:proofErr w:type="spellStart"/>
      <w:r w:rsidRPr="00FC5AF2">
        <w:rPr>
          <w:rFonts w:cs="ZZ Khotevi"/>
          <w:sz w:val="16"/>
          <w:szCs w:val="16"/>
        </w:rPr>
        <w:t>თამბაქოს</w:t>
      </w:r>
      <w:proofErr w:type="spellEnd"/>
      <w:r w:rsidRPr="00FC5AF2">
        <w:rPr>
          <w:rFonts w:cs="ZZ Khotevi"/>
          <w:sz w:val="16"/>
          <w:szCs w:val="16"/>
        </w:rPr>
        <w:t xml:space="preserve"> </w:t>
      </w:r>
      <w:proofErr w:type="spellStart"/>
      <w:r w:rsidRPr="00FC5AF2">
        <w:rPr>
          <w:rFonts w:cs="ZZ Khotevi"/>
          <w:sz w:val="16"/>
          <w:szCs w:val="16"/>
        </w:rPr>
        <w:t>ნაწარმის</w:t>
      </w:r>
      <w:proofErr w:type="spellEnd"/>
      <w:r w:rsidRPr="00FC5AF2">
        <w:rPr>
          <w:rFonts w:cs="ZZ Khotevi"/>
          <w:sz w:val="16"/>
          <w:szCs w:val="16"/>
        </w:rPr>
        <w:t xml:space="preserve"> </w:t>
      </w:r>
      <w:proofErr w:type="spellStart"/>
      <w:r w:rsidRPr="00FC5AF2">
        <w:rPr>
          <w:rFonts w:cs="ZZ Khotevi"/>
          <w:sz w:val="16"/>
          <w:szCs w:val="16"/>
        </w:rPr>
        <w:t>ვაჭრობის</w:t>
      </w:r>
      <w:proofErr w:type="spellEnd"/>
      <w:r w:rsidRPr="00FC5AF2">
        <w:rPr>
          <w:rFonts w:cs="ZZ Khotevi"/>
          <w:sz w:val="16"/>
          <w:szCs w:val="16"/>
        </w:rPr>
        <w:t xml:space="preserve"> </w:t>
      </w:r>
      <w:proofErr w:type="spellStart"/>
      <w:r w:rsidRPr="00FC5AF2">
        <w:rPr>
          <w:rFonts w:cs="ZZ Khotevi"/>
          <w:sz w:val="16"/>
          <w:szCs w:val="16"/>
        </w:rPr>
        <w:t>ქსელის</w:t>
      </w:r>
      <w:proofErr w:type="spellEnd"/>
      <w:r w:rsidRPr="00FC5AF2">
        <w:rPr>
          <w:rFonts w:cs="ZZ Khotevi"/>
          <w:sz w:val="16"/>
          <w:szCs w:val="16"/>
        </w:rPr>
        <w:t xml:space="preserve"> </w:t>
      </w:r>
      <w:proofErr w:type="spellStart"/>
      <w:r w:rsidRPr="00FC5AF2">
        <w:rPr>
          <w:rFonts w:cs="ZZ Khotevi"/>
          <w:sz w:val="16"/>
          <w:szCs w:val="16"/>
        </w:rPr>
        <w:t>მონიტორინგი</w:t>
      </w:r>
      <w:proofErr w:type="spellEnd"/>
    </w:p>
    <w:p w:rsidR="00893F5A" w:rsidRDefault="00893F5A" w:rsidP="002A7688">
      <w:pPr>
        <w:tabs>
          <w:tab w:val="left" w:pos="2490"/>
        </w:tabs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>7.5</w:t>
      </w:r>
      <w:r w:rsidRPr="00C86AFD">
        <w:rPr>
          <w:sz w:val="16"/>
          <w:szCs w:val="16"/>
          <w:lang w:val="ka-GE"/>
        </w:rPr>
        <w:t xml:space="preserve"> თამბაქოს ნაწარმის, თამბაქოს აქსესუარის ან/და თამბაქოს მოხმარებისთვის განკუთვნილი მოწყობილობის</w:t>
      </w:r>
      <w:r>
        <w:rPr>
          <w:sz w:val="16"/>
          <w:szCs w:val="16"/>
          <w:lang w:val="ka-GE"/>
        </w:rPr>
        <w:t xml:space="preserve"> რეალიზაციის ან და განლაგების აკრძალვა ისე, რომ იგი ხილვადი იყოს </w:t>
      </w:r>
      <w:r w:rsidRPr="0023795F">
        <w:rPr>
          <w:sz w:val="16"/>
          <w:szCs w:val="16"/>
          <w:lang w:val="ka-GE"/>
        </w:rPr>
        <w:t>შესაბამისი ობიექტი</w:t>
      </w:r>
      <w:r>
        <w:rPr>
          <w:sz w:val="16"/>
          <w:szCs w:val="16"/>
          <w:lang w:val="ka-GE"/>
        </w:rPr>
        <w:t>დან</w:t>
      </w:r>
    </w:p>
    <w:p w:rsidR="00893F5A" w:rsidRDefault="00893F5A" w:rsidP="002A7688">
      <w:pPr>
        <w:tabs>
          <w:tab w:val="left" w:pos="2490"/>
        </w:tabs>
        <w:rPr>
          <w:sz w:val="16"/>
          <w:szCs w:val="16"/>
          <w:lang w:val="ka-GE"/>
        </w:rPr>
      </w:pPr>
    </w:p>
    <w:p w:rsidR="00893F5A" w:rsidRPr="00FC5AF2" w:rsidRDefault="00893F5A" w:rsidP="00893F5A">
      <w:pPr>
        <w:spacing w:after="0"/>
        <w:rPr>
          <w:rFonts w:cs="Sylfaen"/>
          <w:sz w:val="16"/>
          <w:szCs w:val="16"/>
          <w:lang w:val="ka-GE"/>
        </w:rPr>
      </w:pPr>
      <w:r w:rsidRPr="00FC5AF2">
        <w:rPr>
          <w:rFonts w:cs="Sylfaen"/>
          <w:sz w:val="16"/>
          <w:szCs w:val="16"/>
          <w:lang w:val="ka-GE"/>
        </w:rPr>
        <w:t>11.</w:t>
      </w:r>
      <w:r>
        <w:rPr>
          <w:rFonts w:cs="Sylfaen"/>
          <w:sz w:val="16"/>
          <w:szCs w:val="16"/>
          <w:lang w:val="ka-GE"/>
        </w:rPr>
        <w:t>1</w:t>
      </w:r>
      <w:r w:rsidRPr="00FC5AF2">
        <w:rPr>
          <w:rFonts w:cs="Sylfaen"/>
          <w:sz w:val="16"/>
          <w:szCs w:val="16"/>
          <w:lang w:val="ka-GE"/>
        </w:rPr>
        <w:t xml:space="preserve">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მიზნობრივი ტრენინგი, კოორდინირებული მუშაობა და ინსტიტუციური სრულყოფის ხელშეწყობა </w:t>
      </w:r>
    </w:p>
    <w:p w:rsidR="00893F5A" w:rsidRPr="00FC5AF2" w:rsidRDefault="00893F5A" w:rsidP="00893F5A">
      <w:pPr>
        <w:spacing w:after="0"/>
        <w:rPr>
          <w:rFonts w:cs="Sylfaen"/>
          <w:sz w:val="16"/>
          <w:szCs w:val="16"/>
          <w:lang w:val="ka-GE"/>
        </w:rPr>
      </w:pPr>
      <w:r>
        <w:rPr>
          <w:sz w:val="16"/>
          <w:szCs w:val="16"/>
          <w:lang w:val="ka-GE"/>
        </w:rPr>
        <w:t>11.2 ბეჭდურ მედიასა და ინტერნეტ მედიაში თამბაქოს ნაწარმის პოპულარიზაციის, რეკლამის და თამბაქოს მოხმარების დემონსტრირების ფაქტზე რეაგირების მექანიზმის შემუშავება</w:t>
      </w:r>
    </w:p>
    <w:p w:rsidR="00893F5A" w:rsidRPr="00D55130" w:rsidRDefault="00893F5A" w:rsidP="00893F5A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 xml:space="preserve">11.3 </w:t>
      </w:r>
      <w:r w:rsidRPr="00D55130">
        <w:rPr>
          <w:sz w:val="16"/>
          <w:szCs w:val="16"/>
          <w:lang w:val="ka-GE"/>
        </w:rPr>
        <w:t>თამბაქოს ნაწარმის</w:t>
      </w:r>
    </w:p>
    <w:p w:rsidR="00893F5A" w:rsidRPr="00D55130" w:rsidRDefault="00893F5A" w:rsidP="00893F5A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>არასრულწლოვანების მიერ შეძენის</w:t>
      </w:r>
      <w:r w:rsidRPr="00D55130">
        <w:rPr>
          <w:sz w:val="16"/>
          <w:szCs w:val="16"/>
          <w:lang w:val="ka-GE"/>
        </w:rPr>
        <w:t xml:space="preserve"> ან მათთვის თამბაქოს ნაწარმის მიყიდვ</w:t>
      </w:r>
      <w:r>
        <w:rPr>
          <w:sz w:val="16"/>
          <w:szCs w:val="16"/>
          <w:lang w:val="ka-GE"/>
        </w:rPr>
        <w:t xml:space="preserve">ის ფაქტის გამოვლენის მიზნით </w:t>
      </w:r>
      <w:r w:rsidRPr="00D55130">
        <w:rPr>
          <w:sz w:val="16"/>
          <w:szCs w:val="16"/>
          <w:lang w:val="ka-GE"/>
        </w:rPr>
        <w:t>საკონტროლო</w:t>
      </w:r>
    </w:p>
    <w:p w:rsidR="00893F5A" w:rsidRDefault="00893F5A" w:rsidP="00893F5A">
      <w:pPr>
        <w:spacing w:after="0"/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 xml:space="preserve">შესწყიდვის პრაქტიკის დანერგვა </w:t>
      </w:r>
    </w:p>
    <w:p w:rsidR="00893F5A" w:rsidRPr="002A7688" w:rsidRDefault="00893F5A" w:rsidP="002A7688">
      <w:pPr>
        <w:tabs>
          <w:tab w:val="left" w:pos="2490"/>
        </w:tabs>
      </w:pPr>
    </w:p>
    <w:sectPr w:rsidR="00893F5A" w:rsidRPr="002A7688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Z Khotev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D56"/>
    <w:multiLevelType w:val="hybridMultilevel"/>
    <w:tmpl w:val="342A7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3012F7"/>
    <w:multiLevelType w:val="hybridMultilevel"/>
    <w:tmpl w:val="B9B616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3B5A35FA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88"/>
    <w:rsid w:val="0005689F"/>
    <w:rsid w:val="002A7688"/>
    <w:rsid w:val="00893F5A"/>
    <w:rsid w:val="00B23069"/>
    <w:rsid w:val="00DE19FF"/>
    <w:rsid w:val="00F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B785"/>
  <w15:chartTrackingRefBased/>
  <w15:docId w15:val="{5620ABF1-F307-4754-849F-CADEBFF0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2A7688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2A768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8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A7688"/>
  </w:style>
  <w:style w:type="paragraph" w:styleId="NormalWeb">
    <w:name w:val="Normal (Web)"/>
    <w:basedOn w:val="Normal"/>
    <w:uiPriority w:val="99"/>
    <w:unhideWhenUsed/>
    <w:rsid w:val="00F1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2020-06-15T06:17:00Z</dcterms:created>
  <dcterms:modified xsi:type="dcterms:W3CDTF">2020-06-15T06:43:00Z</dcterms:modified>
</cp:coreProperties>
</file>