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AE" w:rsidRPr="00253DAE" w:rsidRDefault="00253DAE" w:rsidP="0025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</w:rPr>
        <w:t>FW: Council of Europe/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Conseil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l'Europe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>: Launching of a new guide to public debate/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Lancement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d'un nouveau guide pour le 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débat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public </w:t>
      </w:r>
    </w:p>
    <w:p w:rsidR="00253DAE" w:rsidRPr="00253DAE" w:rsidRDefault="00253DAE" w:rsidP="0025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info </w:t>
      </w:r>
    </w:p>
    <w:p w:rsidR="00253DAE" w:rsidRPr="00253DAE" w:rsidRDefault="00253DAE" w:rsidP="0025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Mon 9/28/2020 2:22 PM </w:t>
      </w:r>
    </w:p>
    <w:p w:rsidR="00253DAE" w:rsidRPr="00253DAE" w:rsidRDefault="00253DAE" w:rsidP="0025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docmanager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&lt;DocManager@moh.gov.ge&gt;; </w:t>
      </w:r>
    </w:p>
    <w:p w:rsidR="00253DAE" w:rsidRPr="00253DAE" w:rsidRDefault="00253DAE" w:rsidP="0025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</w:rPr>
        <w:t>Categories: Yellow category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bookmarkStart w:id="0" w:name="_GoBack"/>
      <w:bookmarkEnd w:id="0"/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Sylfaen" w:eastAsia="Times New Roman" w:hAnsi="Sylfaen" w:cs="Times New Roman"/>
          <w:color w:val="1F497D"/>
          <w:sz w:val="24"/>
          <w:szCs w:val="24"/>
          <w:lang w:val="ka-GE"/>
        </w:rPr>
        <w:t>პატივისცემით,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Sylfaen" w:eastAsia="Times New Roman" w:hAnsi="Sylfaen" w:cs="Times New Roman"/>
          <w:color w:val="1F497D"/>
          <w:sz w:val="24"/>
          <w:szCs w:val="24"/>
          <w:lang w:val="ka-GE"/>
        </w:rPr>
        <w:t> 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Sylfaen" w:eastAsia="Times New Roman" w:hAnsi="Sylfaen" w:cs="Times New Roman"/>
          <w:color w:val="1F497D"/>
          <w:sz w:val="24"/>
          <w:szCs w:val="24"/>
        </w:rPr>
        <w:t> </w:t>
      </w:r>
    </w:p>
    <w:p w:rsidR="00253DAE" w:rsidRPr="00253DAE" w:rsidRDefault="00253DAE" w:rsidP="00253DA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3DAE">
        <w:rPr>
          <w:rFonts w:ascii="Sylfaen" w:eastAsia="Times New Roman" w:hAnsi="Sylfaen" w:cs="Times New Roman"/>
          <w:color w:val="1F497D"/>
          <w:sz w:val="24"/>
          <w:szCs w:val="24"/>
        </w:rPr>
        <w:t>მის</w:t>
      </w:r>
      <w:proofErr w:type="spellEnd"/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: </w:t>
      </w:r>
      <w:proofErr w:type="spellStart"/>
      <w:r w:rsidRPr="00253DAE">
        <w:rPr>
          <w:rFonts w:ascii="Sylfaen" w:eastAsia="Times New Roman" w:hAnsi="Sylfaen" w:cs="Times New Roman"/>
          <w:color w:val="1F497D"/>
          <w:sz w:val="24"/>
          <w:szCs w:val="24"/>
        </w:rPr>
        <w:t>საქართველო</w:t>
      </w:r>
      <w:proofErr w:type="spellEnd"/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, </w:t>
      </w:r>
      <w:proofErr w:type="spellStart"/>
      <w:r w:rsidRPr="00253DAE">
        <w:rPr>
          <w:rFonts w:ascii="Sylfaen" w:eastAsia="Times New Roman" w:hAnsi="Sylfaen" w:cs="Times New Roman"/>
          <w:color w:val="1F497D"/>
          <w:sz w:val="24"/>
          <w:szCs w:val="24"/>
        </w:rPr>
        <w:t>თბილისი</w:t>
      </w:r>
      <w:proofErr w:type="spellEnd"/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>  0119,</w:t>
      </w:r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proofErr w:type="spellStart"/>
      <w:r w:rsidRPr="00253DAE">
        <w:rPr>
          <w:rFonts w:ascii="Sylfaen" w:eastAsia="Times New Roman" w:hAnsi="Sylfaen" w:cs="Times New Roman"/>
          <w:color w:val="1F497D"/>
          <w:sz w:val="24"/>
          <w:szCs w:val="24"/>
        </w:rPr>
        <w:t>აკ</w:t>
      </w:r>
      <w:proofErr w:type="spellEnd"/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. </w:t>
      </w:r>
      <w:proofErr w:type="spellStart"/>
      <w:r w:rsidRPr="00253DAE">
        <w:rPr>
          <w:rFonts w:ascii="Sylfaen" w:eastAsia="Times New Roman" w:hAnsi="Sylfaen" w:cs="Times New Roman"/>
          <w:color w:val="1F497D"/>
          <w:sz w:val="24"/>
          <w:szCs w:val="24"/>
        </w:rPr>
        <w:t>წერეთლის</w:t>
      </w:r>
      <w:proofErr w:type="spellEnd"/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proofErr w:type="spellStart"/>
      <w:r w:rsidRPr="00253DAE">
        <w:rPr>
          <w:rFonts w:ascii="Sylfaen" w:eastAsia="Times New Roman" w:hAnsi="Sylfaen" w:cs="Times New Roman"/>
          <w:color w:val="1F497D"/>
          <w:sz w:val="24"/>
          <w:szCs w:val="24"/>
        </w:rPr>
        <w:t>გამზ</w:t>
      </w:r>
      <w:proofErr w:type="spellEnd"/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>. N 144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b/>
          <w:bCs/>
          <w:sz w:val="24"/>
          <w:szCs w:val="24"/>
        </w:rPr>
        <w:t>From:</w:t>
      </w:r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DGI-CDDH-Bioethics &lt;DGI-CDDH-Bioethics@coe.int&gt; </w:t>
      </w:r>
      <w:r w:rsidRPr="00253DAE">
        <w:rPr>
          <w:rFonts w:ascii="Times New Roman" w:eastAsia="Times New Roman" w:hAnsi="Times New Roman" w:cs="Times New Roman"/>
          <w:sz w:val="24"/>
          <w:szCs w:val="24"/>
        </w:rPr>
        <w:br/>
      </w:r>
      <w:r w:rsidRPr="00253DAE">
        <w:rPr>
          <w:rFonts w:ascii="Times New Roman" w:eastAsia="Times New Roman" w:hAnsi="Times New Roman" w:cs="Times New Roman"/>
          <w:b/>
          <w:bCs/>
          <w:sz w:val="24"/>
          <w:szCs w:val="24"/>
        </w:rPr>
        <w:t>Sent:</w:t>
      </w:r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Monday, September 28, 2020 2:22 PM</w:t>
      </w:r>
      <w:r w:rsidRPr="00253DAE">
        <w:rPr>
          <w:rFonts w:ascii="Times New Roman" w:eastAsia="Times New Roman" w:hAnsi="Times New Roman" w:cs="Times New Roman"/>
          <w:sz w:val="24"/>
          <w:szCs w:val="24"/>
        </w:rPr>
        <w:br/>
      </w:r>
      <w:r w:rsidRPr="00253DAE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Council of Europe/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Conseil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l'Europe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>: Launching of a new guide to public debate/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Lancement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d'un nouveau guide pour le </w:t>
      </w:r>
      <w:proofErr w:type="spellStart"/>
      <w:r w:rsidRPr="00253DAE">
        <w:rPr>
          <w:rFonts w:ascii="Times New Roman" w:eastAsia="Times New Roman" w:hAnsi="Times New Roman" w:cs="Times New Roman"/>
          <w:sz w:val="24"/>
          <w:szCs w:val="24"/>
        </w:rPr>
        <w:t>débat</w:t>
      </w:r>
      <w:proofErr w:type="spellEnd"/>
      <w:r w:rsidRPr="00253DAE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4835"/>
      </w:tblGrid>
      <w:tr w:rsidR="00253DAE" w:rsidRPr="00253DAE" w:rsidTr="00253DAE">
        <w:tc>
          <w:tcPr>
            <w:tcW w:w="9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38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6"/>
            </w:tblGrid>
            <w:tr w:rsidR="00253DAE" w:rsidRPr="00253DAE">
              <w:tc>
                <w:tcPr>
                  <w:tcW w:w="9386" w:type="dxa"/>
                  <w:shd w:val="clear" w:color="auto" w:fill="FFFFFF"/>
                  <w:vAlign w:val="center"/>
                  <w:hideMark/>
                </w:tcPr>
                <w:p w:rsidR="00253DAE" w:rsidRPr="00253DAE" w:rsidRDefault="00253DAE" w:rsidP="00253DAE">
                  <w:pPr>
                    <w:spacing w:before="96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3DAE" w:rsidRPr="00253DAE">
              <w:tc>
                <w:tcPr>
                  <w:tcW w:w="9386" w:type="dxa"/>
                  <w:shd w:val="clear" w:color="auto" w:fill="FFFFFF"/>
                  <w:vAlign w:val="center"/>
                  <w:hideMark/>
                </w:tcPr>
                <w:p w:rsidR="00253DAE" w:rsidRPr="00253DAE" w:rsidRDefault="00253DAE" w:rsidP="00253DAE">
                  <w:pPr>
                    <w:spacing w:before="96" w:after="100" w:afterAutospacing="1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4"/>
                      <w:szCs w:val="24"/>
                    </w:rPr>
                    <w:t>T +33(0)388412560             </w:t>
                  </w:r>
                  <w:hyperlink r:id="rId4" w:tgtFrame="_blank" w:tooltip="Council of Europe website " w:history="1">
                    <w:r w:rsidRPr="00253DAE">
                      <w:rPr>
                        <w:rFonts w:ascii="Verdana" w:eastAsia="Times New Roman" w:hAnsi="Verdana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www.coe.int</w:t>
                    </w:r>
                  </w:hyperlink>
                  <w:r w:rsidRPr="00253DA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4"/>
                      <w:szCs w:val="24"/>
                    </w:rPr>
                    <w:t>                 </w:t>
                  </w:r>
                  <w:hyperlink r:id="rId5" w:tgtFrame="_blank" w:tooltip="contact the communication unit of the Directorate of Communication" w:history="1">
                    <w:r w:rsidRPr="00253DAE">
                      <w:rPr>
                        <w:rFonts w:ascii="Verdana" w:eastAsia="Times New Roman" w:hAnsi="Verdana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pressunit@coe.int</w:t>
                    </w:r>
                  </w:hyperlink>
                </w:p>
              </w:tc>
            </w:tr>
            <w:tr w:rsidR="00253DAE" w:rsidRPr="00253DAE">
              <w:tc>
                <w:tcPr>
                  <w:tcW w:w="9386" w:type="dxa"/>
                  <w:shd w:val="clear" w:color="auto" w:fill="FFFFFF"/>
                  <w:vAlign w:val="center"/>
                  <w:hideMark/>
                </w:tcPr>
                <w:p w:rsidR="00253DAE" w:rsidRPr="00253DAE" w:rsidRDefault="00253DAE" w:rsidP="00253DAE">
                  <w:pPr>
                    <w:spacing w:before="96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R</w:t>
                  </w:r>
                  <w:r w:rsidRPr="00253DAE">
                    <w:rPr>
                      <w:rFonts w:ascii="MS Gothic" w:eastAsia="MS Gothic" w:hAnsi="MS Gothic" w:cs="Times New Roman" w:hint="eastAsia"/>
                      <w:color w:val="333333"/>
                      <w:sz w:val="18"/>
                      <w:szCs w:val="18"/>
                    </w:rPr>
                    <w:t>馮</w:t>
                  </w: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 xml:space="preserve"> DC 120(2020)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4"/>
                      <w:szCs w:val="24"/>
                      <w:lang w:val="en-GB"/>
                    </w:rPr>
                    <w:t>New Council of Europe guide to public debate on human rights and biomedicine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Strasbourg, 28.09.2020 The Council of Europe today launched a new guide to assist member states in initiating and promoting dialogue with the public on the challenges posed by biomedical developments, both for individuals and society.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Addressed primarily to government officials, public authorities, national ethics committees and other relevant institutions and organisations, the </w:t>
                  </w:r>
                  <w:hyperlink r:id="rId6" w:tgtFrame="_blank" w:history="1">
                    <w:r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t xml:space="preserve">Guide to Public Debate on Human Rights and </w:t>
                    </w:r>
                    <w:r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lastRenderedPageBreak/>
                      <w:t>Biomedicine</w:t>
                    </w:r>
                  </w:hyperlink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 promotes open discussion on biomedical developments, the human rights implications of which are questions not only for experts or authorities but for a society as a whole.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The Guide highlights the need for public debate, how to prepare for it, ways to make it effective and meaningful. It is a tool which helps to involve the public in discussion on biomedical issues and the possible concerns they raise about integrity, dignity, autonomy, privacy, justice, equity and non-discrimination among human beings.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It also refers to examples of public debate in a selected number of countries, which illustrates good practices and experiences.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The Guide (available in English, French, German and Portuguese) was developed by the Committee on Bioethics (DH-BIO) in the light of Article 28 of the </w:t>
                  </w:r>
                  <w:hyperlink r:id="rId7" w:tgtFrame="_blank" w:history="1">
                    <w:r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t>Oviedo Convention</w:t>
                    </w:r>
                  </w:hyperlink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, the only international legally binding instrument addressing the protection of human rights in biomedicine.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It is part of the Council of Europe </w:t>
                  </w:r>
                  <w:hyperlink r:id="rId8" w:tgtFrame="_blank" w:history="1">
                    <w:r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t>action plan</w:t>
                    </w:r>
                  </w:hyperlink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 on Human Rights and Technologies in Biomedicine (2020-2025).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Besides, the Council of Europe Parliamentary Assembly adopted a </w:t>
                  </w:r>
                  <w:hyperlink r:id="rId9" w:tgtFrame="_blank" w:history="1">
                    <w:r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t>report</w:t>
                    </w:r>
                  </w:hyperlink>
                  <w:r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> on Ethics in science and technology: a new culture of public dialogue. According to the report the COVID-19 pandemic, with its deep impact on societies globally, highlights even more the need to strengthen public dialogue, posing new and complex issues which require participatory policy and decision-making processes during and beyond this crisis.</w:t>
                  </w:r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Open Sans" w:eastAsia="Times New Roman" w:hAnsi="Open Sans" w:cs="Times New Roman"/>
                      <w:color w:val="333333"/>
                      <w:sz w:val="20"/>
                      <w:szCs w:val="20"/>
                      <w:lang w:val="en-GB"/>
                    </w:rPr>
                    <w:t> </w:t>
                  </w:r>
                </w:p>
                <w:p w:rsidR="00253DAE" w:rsidRPr="00253DAE" w:rsidRDefault="00936DA4" w:rsidP="00253DAE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tgtFrame="_blank" w:history="1">
                    <w:r w:rsidR="00253DAE"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t>More information</w:t>
                    </w:r>
                  </w:hyperlink>
                </w:p>
                <w:p w:rsidR="00253DAE" w:rsidRPr="00253DAE" w:rsidRDefault="00936DA4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tgtFrame="_blank" w:history="1">
                    <w:r w:rsidR="00253DAE"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t>Council of Europe contribution to support member states in addressing healthcare issues in the context of the present public health crisis and beyond</w:t>
                    </w:r>
                  </w:hyperlink>
                </w:p>
                <w:p w:rsidR="00253DAE" w:rsidRPr="00253DAE" w:rsidRDefault="00253DAE" w:rsidP="00253DAE">
                  <w:pPr>
                    <w:spacing w:before="100" w:beforeAutospacing="1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en-GB"/>
                    </w:rPr>
                    <w:t>DH-BIO statement</w:t>
                  </w:r>
                  <w:r w:rsidRPr="00253DAE">
                    <w:rPr>
                      <w:rFonts w:ascii="Open Sans" w:eastAsia="Times New Roman" w:hAnsi="Open Sans" w:cs="Times New Roman"/>
                      <w:color w:val="333333"/>
                      <w:sz w:val="20"/>
                      <w:szCs w:val="20"/>
                      <w:lang w:val="en-GB"/>
                    </w:rPr>
                    <w:t> </w:t>
                  </w:r>
                  <w:hyperlink r:id="rId12" w:tgtFrame="_blank" w:history="1">
                    <w:r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t>COVID-19: Human rights principles must guide health decisions</w:t>
                    </w:r>
                  </w:hyperlink>
                </w:p>
                <w:p w:rsidR="00253DAE" w:rsidRPr="00253DAE" w:rsidRDefault="00253DAE" w:rsidP="00253DAE">
                  <w:pPr>
                    <w:spacing w:before="96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3DAE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8"/>
                      <w:szCs w:val="18"/>
                      <w:lang w:val="en-GB"/>
                    </w:rPr>
                    <w:t>Contact:</w:t>
                  </w:r>
                </w:p>
                <w:p w:rsidR="00253DAE" w:rsidRPr="00253DAE" w:rsidRDefault="00936DA4" w:rsidP="00253DAE">
                  <w:pPr>
                    <w:spacing w:before="96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tgtFrame="_blank" w:history="1">
                    <w:r w:rsidR="00253DAE" w:rsidRPr="00253DAE">
                      <w:rPr>
                        <w:rFonts w:ascii="Verdana" w:eastAsia="Times New Roman" w:hAnsi="Verdana" w:cs="Times New Roman"/>
                        <w:color w:val="129AF0"/>
                        <w:sz w:val="18"/>
                        <w:szCs w:val="18"/>
                        <w:u w:val="single"/>
                        <w:lang w:val="en-GB"/>
                      </w:rPr>
                      <w:t>Estelle Steiner</w:t>
                    </w:r>
                  </w:hyperlink>
                  <w:r w:rsidR="00253DAE"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val="en-GB"/>
                    </w:rPr>
                    <w:t xml:space="preserve">, Spokesperson/Press officer, Tel. </w:t>
                  </w:r>
                  <w:r w:rsidR="00253DAE" w:rsidRPr="00253DAE"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</w:rPr>
                    <w:t>+33 3 88 41 33 35; Mob. +33 6 08 46 01 57</w:t>
                  </w:r>
                </w:p>
              </w:tc>
            </w:tr>
          </w:tbl>
          <w:p w:rsidR="00253DAE" w:rsidRPr="00253DAE" w:rsidRDefault="00253DAE" w:rsidP="00253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253DAE" w:rsidRPr="00253DAE" w:rsidRDefault="00253DAE" w:rsidP="00253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53DAE" w:rsidRPr="00253DAE" w:rsidRDefault="00253DAE" w:rsidP="00253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53DAE" w:rsidRPr="00253DAE" w:rsidRDefault="00253DAE" w:rsidP="00253D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38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9"/>
            </w:tblGrid>
            <w:tr w:rsidR="00253DAE" w:rsidRPr="00253DAE">
              <w:tc>
                <w:tcPr>
                  <w:tcW w:w="9386" w:type="dxa"/>
                  <w:shd w:val="clear" w:color="auto" w:fill="FFFFFF"/>
                  <w:vAlign w:val="center"/>
                  <w:hideMark/>
                </w:tcPr>
                <w:p w:rsidR="00253DAE" w:rsidRPr="00253DAE" w:rsidRDefault="00253DAE" w:rsidP="00253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3DAE" w:rsidRPr="00253DAE">
              <w:tc>
                <w:tcPr>
                  <w:tcW w:w="9386" w:type="dxa"/>
                  <w:shd w:val="clear" w:color="auto" w:fill="auto"/>
                  <w:vAlign w:val="center"/>
                  <w:hideMark/>
                </w:tcPr>
                <w:tbl>
                  <w:tblPr>
                    <w:tblW w:w="9386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86"/>
                  </w:tblGrid>
                  <w:tr w:rsidR="00253DAE" w:rsidRPr="00253DAE">
                    <w:tc>
                      <w:tcPr>
                        <w:tcW w:w="9326" w:type="dxa"/>
                        <w:shd w:val="clear" w:color="auto" w:fill="FFFFFF"/>
                        <w:vAlign w:val="center"/>
                        <w:hideMark/>
                      </w:tcPr>
                      <w:p w:rsidR="00253DAE" w:rsidRPr="00253DAE" w:rsidRDefault="00253DAE" w:rsidP="00253DAE">
                        <w:pPr>
                          <w:spacing w:before="96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53DAE" w:rsidRPr="00253DAE">
                    <w:tc>
                      <w:tcPr>
                        <w:tcW w:w="9326" w:type="dxa"/>
                        <w:shd w:val="clear" w:color="auto" w:fill="FFFFFF"/>
                        <w:vAlign w:val="center"/>
                        <w:hideMark/>
                      </w:tcPr>
                      <w:p w:rsidR="00253DAE" w:rsidRPr="00253DAE" w:rsidRDefault="00253DAE" w:rsidP="00253DAE">
                        <w:pPr>
                          <w:spacing w:before="96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7"/>
                            <w:szCs w:val="17"/>
                          </w:rPr>
                          <w:t xml:space="preserve">T +33(0)388412560             </w:t>
                        </w:r>
                        <w:hyperlink r:id="rId14" w:tgtFrame="_blank" w:history="1">
                          <w:r w:rsidRPr="00253DAE">
                            <w:rPr>
                              <w:rFonts w:ascii="Verdana" w:eastAsia="Times New Roman" w:hAnsi="Verdana" w:cs="Times New Roman"/>
                              <w:color w:val="0000FF"/>
                              <w:sz w:val="17"/>
                              <w:szCs w:val="17"/>
                              <w:u w:val="single"/>
                            </w:rPr>
                            <w:t>www.coe.int</w:t>
                          </w:r>
                        </w:hyperlink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7"/>
                            <w:szCs w:val="17"/>
                          </w:rPr>
                          <w:t xml:space="preserve">                 </w:t>
                        </w:r>
                        <w:hyperlink r:id="rId15" w:tgtFrame="_blank" w:history="1">
                          <w:r w:rsidRPr="00253DAE">
                            <w:rPr>
                              <w:rFonts w:ascii="Verdana" w:eastAsia="Times New Roman" w:hAnsi="Verdana" w:cs="Times New Roman"/>
                              <w:color w:val="0000FF"/>
                              <w:sz w:val="17"/>
                              <w:szCs w:val="17"/>
                              <w:u w:val="single"/>
                            </w:rPr>
                            <w:t>pressunit@coe.int</w:t>
                          </w:r>
                        </w:hyperlink>
                      </w:p>
                    </w:tc>
                  </w:tr>
                  <w:tr w:rsidR="00253DAE" w:rsidRPr="00253DAE">
                    <w:tc>
                      <w:tcPr>
                        <w:tcW w:w="9326" w:type="dxa"/>
                        <w:shd w:val="clear" w:color="auto" w:fill="auto"/>
                        <w:vAlign w:val="center"/>
                        <w:hideMark/>
                      </w:tcPr>
                      <w:p w:rsidR="00253DAE" w:rsidRPr="00253DAE" w:rsidRDefault="00253DAE" w:rsidP="00253DAE">
                        <w:pPr>
                          <w:spacing w:before="96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Réf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. DC 120(2020)</w:t>
                        </w:r>
                      </w:p>
                      <w:p w:rsidR="00253DAE" w:rsidRPr="00253DAE" w:rsidRDefault="00253DAE" w:rsidP="00253DAE">
                        <w:pPr>
                          <w:spacing w:before="240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Nouveau guide du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Conseil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l’Europe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pour le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débat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public sur les droits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l’homme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et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biomédecine</w:t>
                        </w:r>
                        <w:proofErr w:type="spellEnd"/>
                      </w:p>
                      <w:p w:rsidR="00253DAE" w:rsidRPr="00253DAE" w:rsidRDefault="00253DAE" w:rsidP="00253DAE">
                        <w:pPr>
                          <w:spacing w:before="240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Strasbourg, 28.09.2020 – Le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Conseil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l’Europe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présenté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aujourd’hui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un nouveau guide qui a pour but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d’aider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États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membres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à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ouvrir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promouvoir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 dialogue avec le public sur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défis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que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représentent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progrès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biomédecine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pour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individus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pour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société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.</w:t>
                        </w:r>
                      </w:p>
                      <w:p w:rsidR="00253DAE" w:rsidRPr="00253DAE" w:rsidRDefault="00253DAE" w:rsidP="00253DAE">
                        <w:pPr>
                          <w:spacing w:before="240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Essentiellement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destiné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aux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responsables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gouvernementaux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aux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autorités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publiques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aux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comités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nationaux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d’éthique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aux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autres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institutions et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organisations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pertinentes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, le </w:t>
                        </w:r>
                        <w:hyperlink r:id="rId16" w:tgtFrame="_blank" w:history="1"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Guide pour le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débat</w:t>
                          </w:r>
                          <w:proofErr w:type="spellEnd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public </w:t>
                          </w:r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lastRenderedPageBreak/>
                            <w:t xml:space="preserve">sur les droits de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l’homme</w:t>
                          </w:r>
                          <w:proofErr w:type="spellEnd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et la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biomédecine</w:t>
                          </w:r>
                          <w:proofErr w:type="spellEnd"/>
                        </w:hyperlink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 vise à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promouvoir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une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discussion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ouverte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sur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nouvelles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technologies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biomédicales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dont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conséquences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pour les droits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l’homme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ne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sont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pas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seulement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l’affaire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des experts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ou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autorités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mais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intéressent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société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dans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son ensemble.</w:t>
                        </w:r>
                      </w:p>
                      <w:p w:rsidR="00253DAE" w:rsidRPr="00253DAE" w:rsidRDefault="00253DAE" w:rsidP="00253DAE">
                        <w:pPr>
                          <w:spacing w:before="240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Le guide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explique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pourquoi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débat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public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est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nécessaire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comment le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préparer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comment le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rendre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efficace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constructif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C’est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un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outil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qui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doit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permettre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d’associer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citoyens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à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réflexion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sur les questions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biomédicales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sur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inquiétudes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qu’elles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peuvent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susciter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qui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concerne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l’intégrité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dignité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l’autonomie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la vie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privée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la justice,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l’équité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la non-discrimination entre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êtres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humains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.</w:t>
                        </w:r>
                      </w:p>
                      <w:p w:rsidR="00253DAE" w:rsidRPr="00253DAE" w:rsidRDefault="00253DAE" w:rsidP="00253DAE">
                        <w:pPr>
                          <w:spacing w:before="240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Il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donne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aussi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exemples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illustrant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manière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dont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débat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public se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déroule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dans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un certain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nombre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pays et met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avant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bonnes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pratiques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tirées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expériences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.</w:t>
                        </w:r>
                      </w:p>
                      <w:p w:rsidR="00253DAE" w:rsidRPr="00253DAE" w:rsidRDefault="00253DAE" w:rsidP="00253DAE">
                        <w:pPr>
                          <w:spacing w:before="100" w:beforeAutospacing="1" w:after="24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Ce guide (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disponible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français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anglais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allemand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portugais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) 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été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élaboré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par le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Comité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bioéthique</w:t>
                        </w:r>
                        <w:proofErr w:type="spellEnd"/>
                        <w:r w:rsidRPr="00253DAE">
                          <w:rPr>
                            <w:rFonts w:ascii="Open Sans" w:eastAsia="Times New Roman" w:hAnsi="Open Sans" w:cs="Times New Roman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(DH-BIO)</w:t>
                        </w:r>
                        <w:r w:rsidRPr="00253DAE">
                          <w:rPr>
                            <w:rFonts w:ascii="Open Sans" w:eastAsia="Times New Roman" w:hAnsi="Open Sans" w:cs="Times New Roman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pour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favoriser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mise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œuvre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l’article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 28 de la </w:t>
                        </w:r>
                        <w:hyperlink r:id="rId17" w:tgtFrame="_blank" w:history="1"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Convention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d’Oviedo</w:t>
                          </w:r>
                          <w:proofErr w:type="spellEnd"/>
                        </w:hyperlink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, qui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est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seul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instrument international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juridiquement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contraignant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à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protéger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les droits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l’homme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contre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toute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application abusive des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progrès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biologiques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médicaux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.</w:t>
                        </w:r>
                      </w:p>
                      <w:p w:rsidR="00253DAE" w:rsidRPr="00253DAE" w:rsidRDefault="00253DAE" w:rsidP="00253DAE">
                        <w:pPr>
                          <w:spacing w:before="100" w:beforeAutospacing="1" w:after="24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Il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s’inscrit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dans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le</w:t>
                        </w:r>
                        <w:r w:rsidRPr="00253DAE">
                          <w:rPr>
                            <w:rFonts w:ascii="Open Sans" w:eastAsia="Times New Roman" w:hAnsi="Open Sans" w:cs="Times New Roman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hyperlink r:id="rId18" w:tgtFrame="_blank" w:history="1"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plan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d’action</w:t>
                          </w:r>
                          <w:proofErr w:type="spellEnd"/>
                        </w:hyperlink>
                        <w:r w:rsidRPr="00253DAE">
                          <w:rPr>
                            <w:rFonts w:ascii="Open Sans" w:eastAsia="Times New Roman" w:hAnsi="Open Sans" w:cs="Times New Roman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du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Conseil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l’Europe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sur les droits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l’Homme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et les technologies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en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biomédecine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(2020-2025).</w:t>
                        </w:r>
                      </w:p>
                      <w:p w:rsidR="00253DAE" w:rsidRPr="00253DAE" w:rsidRDefault="00253DAE" w:rsidP="00253DAE">
                        <w:pPr>
                          <w:spacing w:before="96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Par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ailleurs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,</w:t>
                        </w:r>
                        <w:r w:rsidRPr="00253DAE">
                          <w:rPr>
                            <w:rFonts w:ascii="Open Sans" w:eastAsia="Times New Roman" w:hAnsi="Open Sans" w:cs="Times New Roman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l’Assemblée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parlementaire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du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Conseil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l’Europe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vient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d’adopter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un</w:t>
                        </w:r>
                        <w:r w:rsidRPr="00253DAE">
                          <w:rPr>
                            <w:rFonts w:ascii="Open Sans" w:eastAsia="Times New Roman" w:hAnsi="Open Sans" w:cs="Times New Roman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hyperlink r:id="rId19" w:tgtFrame="_blank" w:history="1"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rapport</w:t>
                          </w:r>
                        </w:hyperlink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 sur « 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L’éthique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dans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la science et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technologie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: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une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nouvelle culture du dialogue public ».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Selon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ce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rapport, l</w:t>
                        </w:r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pandémie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de COVID-19, avec son impact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profond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sur les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sociétés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à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l’échelle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mondiale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,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souligne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encore plus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nécessité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de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renforcer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le dialogue public,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posant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des questions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nouvelles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et complexes qui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nécessitent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des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processus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politiques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et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décisionnels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participatifs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 xml:space="preserve"> pendant et après la </w:t>
                        </w: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crise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161616"/>
                            <w:sz w:val="18"/>
                            <w:szCs w:val="18"/>
                            <w:shd w:val="clear" w:color="auto" w:fill="FFFFFF"/>
                          </w:rPr>
                          <w:t>.</w:t>
                        </w:r>
                      </w:p>
                      <w:p w:rsidR="00253DAE" w:rsidRPr="00253DAE" w:rsidRDefault="00936DA4" w:rsidP="00253DAE">
                        <w:pPr>
                          <w:spacing w:before="100" w:beforeAutospacing="1" w:after="24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tgtFrame="_blank" w:history="1"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Plus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d’informations</w:t>
                          </w:r>
                          <w:proofErr w:type="spellEnd"/>
                        </w:hyperlink>
                      </w:p>
                      <w:p w:rsidR="00253DAE" w:rsidRPr="00253DAE" w:rsidRDefault="00936DA4" w:rsidP="00253DAE">
                        <w:pPr>
                          <w:spacing w:before="100" w:beforeAutospacing="1" w:after="24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tgtFrame="_blank" w:history="1"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Contribution du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Conseil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de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l’Europe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aux efforts des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Etats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membres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face aux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défis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du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secteur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de la santé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dans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le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contexte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de la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crise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sanitaire 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actuelle</w:t>
                          </w:r>
                          <w:proofErr w:type="spellEnd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et au-</w:t>
                          </w:r>
                          <w:proofErr w:type="spellStart"/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delà</w:t>
                          </w:r>
                          <w:proofErr w:type="spellEnd"/>
                        </w:hyperlink>
                      </w:p>
                      <w:p w:rsidR="00253DAE" w:rsidRPr="00253DAE" w:rsidRDefault="00253DAE" w:rsidP="00253DAE">
                        <w:pPr>
                          <w:spacing w:before="96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253DA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Déclaration</w:t>
                        </w:r>
                        <w:proofErr w:type="spellEnd"/>
                        <w:r w:rsidRPr="00253DA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du DH-BIO </w:t>
                        </w:r>
                        <w:hyperlink r:id="rId22" w:tgtFrame="_blank" w:history="1"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« COVID-19 : les droits de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l’homme</w:t>
                          </w:r>
                          <w:proofErr w:type="spellEnd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doivent</w:t>
                          </w:r>
                          <w:proofErr w:type="spellEnd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guider les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décisions</w:t>
                          </w:r>
                          <w:proofErr w:type="spellEnd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en</w:t>
                          </w:r>
                          <w:proofErr w:type="spellEnd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matière</w:t>
                          </w:r>
                          <w:proofErr w:type="spellEnd"/>
                          <w:r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 xml:space="preserve"> de santé »</w:t>
                          </w:r>
                        </w:hyperlink>
                      </w:p>
                      <w:p w:rsidR="00253DAE" w:rsidRPr="00253DAE" w:rsidRDefault="00253DAE" w:rsidP="00253DAE">
                        <w:pPr>
                          <w:spacing w:before="96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253DA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Contact :</w:t>
                        </w:r>
                        <w:proofErr w:type="gramEnd"/>
                      </w:p>
                      <w:p w:rsidR="00253DAE" w:rsidRPr="00253DAE" w:rsidRDefault="00936DA4" w:rsidP="00253DAE">
                        <w:pPr>
                          <w:spacing w:before="96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tgtFrame="_blank" w:history="1">
                          <w:r w:rsidR="00253DAE" w:rsidRPr="00253DAE">
                            <w:rPr>
                              <w:rFonts w:ascii="Verdana" w:eastAsia="Times New Roman" w:hAnsi="Verdana" w:cs="Times New Roman"/>
                              <w:color w:val="129AF0"/>
                              <w:sz w:val="18"/>
                              <w:szCs w:val="18"/>
                              <w:u w:val="single"/>
                            </w:rPr>
                            <w:t>Estelle Steiner</w:t>
                          </w:r>
                        </w:hyperlink>
                        <w:r w:rsidR="00253DAE"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, Porte-parole/</w:t>
                        </w:r>
                        <w:proofErr w:type="spellStart"/>
                        <w:r w:rsidR="00253DAE"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Attachée</w:t>
                        </w:r>
                        <w:proofErr w:type="spellEnd"/>
                        <w:r w:rsidR="00253DAE"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 xml:space="preserve"> de </w:t>
                        </w:r>
                        <w:proofErr w:type="spellStart"/>
                        <w:r w:rsidR="00253DAE"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presse</w:t>
                        </w:r>
                        <w:proofErr w:type="spellEnd"/>
                        <w:r w:rsidR="00253DAE"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,</w:t>
                        </w:r>
                        <w:r w:rsidR="00253DAE" w:rsidRPr="00253DAE">
                          <w:rPr>
                            <w:rFonts w:ascii="Open Sans" w:eastAsia="Times New Roman" w:hAnsi="Open Sans" w:cs="Times New Roman"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="00253DAE"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Tél</w:t>
                        </w:r>
                        <w:proofErr w:type="spellEnd"/>
                        <w:r w:rsidR="00253DAE" w:rsidRPr="00253DAE">
                          <w:rPr>
                            <w:rFonts w:ascii="Verdana" w:eastAsia="Times New Roman" w:hAnsi="Verdana" w:cs="Times New Roman"/>
                            <w:color w:val="333333"/>
                            <w:sz w:val="18"/>
                            <w:szCs w:val="18"/>
                          </w:rPr>
                          <w:t>. +33 3 88 41 33 35 ; mobile +33 6 08 46 01 57</w:t>
                        </w:r>
                      </w:p>
                    </w:tc>
                  </w:tr>
                </w:tbl>
                <w:p w:rsidR="00253DAE" w:rsidRPr="00253DAE" w:rsidRDefault="00253DAE" w:rsidP="00253D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53DAE" w:rsidRPr="00253DAE" w:rsidRDefault="00253DAE" w:rsidP="0025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 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902"/>
      </w:tblGrid>
      <w:tr w:rsidR="00253DAE" w:rsidRPr="00253DAE" w:rsidTr="00253DAE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375" w:type="dxa"/>
            </w:tcMar>
            <w:hideMark/>
          </w:tcPr>
          <w:p w:rsidR="00253DAE" w:rsidRPr="00253DAE" w:rsidRDefault="00253DAE" w:rsidP="0025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DAE" w:rsidRPr="00253DAE" w:rsidRDefault="00253DAE" w:rsidP="00253DA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 xml:space="preserve">Bioethics Unit </w:t>
            </w:r>
            <w:r w:rsidRPr="00253DAE">
              <w:rPr>
                <w:rFonts w:ascii="Helvetica" w:eastAsia="Times New Roman" w:hAnsi="Helvetica" w:cs="Times New Roman"/>
                <w:sz w:val="18"/>
                <w:szCs w:val="18"/>
              </w:rPr>
              <w:t>–</w:t>
            </w:r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 xml:space="preserve"> </w:t>
            </w:r>
            <w:proofErr w:type="spellStart"/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>Unité</w:t>
            </w:r>
            <w:proofErr w:type="spellEnd"/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 xml:space="preserve"> </w:t>
            </w:r>
            <w:proofErr w:type="spellStart"/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>Bioéthique</w:t>
            </w:r>
            <w:proofErr w:type="spellEnd"/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br/>
              <w:t xml:space="preserve">Human Rights Directorate - Direction des Droits de </w:t>
            </w:r>
            <w:proofErr w:type="spellStart"/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>l'Homme</w:t>
            </w:r>
            <w:proofErr w:type="spellEnd"/>
            <w:r w:rsidRPr="00253DAE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br/>
            </w:r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 xml:space="preserve">Council of Europe - </w:t>
            </w:r>
            <w:proofErr w:type="spellStart"/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>Conseil</w:t>
            </w:r>
            <w:proofErr w:type="spellEnd"/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 xml:space="preserve"> de </w:t>
            </w:r>
            <w:proofErr w:type="spellStart"/>
            <w:r w:rsidRPr="00253DAE">
              <w:rPr>
                <w:rFonts w:ascii="Helvetica" w:eastAsia="Times New Roman" w:hAnsi="Helvetica" w:cs="Times New Roman"/>
                <w:color w:val="25567B"/>
                <w:sz w:val="18"/>
                <w:szCs w:val="18"/>
              </w:rPr>
              <w:t>l'Europe</w:t>
            </w:r>
            <w:proofErr w:type="spellEnd"/>
            <w:r w:rsidRPr="00253DAE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br/>
            </w:r>
            <w:r w:rsidRPr="00253DAE">
              <w:rPr>
                <w:rFonts w:ascii="Helvetica" w:eastAsia="Times New Roman" w:hAnsi="Helvetica" w:cs="Times New Roman"/>
                <w:color w:val="000000"/>
                <w:sz w:val="10"/>
                <w:szCs w:val="10"/>
              </w:rPr>
              <w:t> </w:t>
            </w:r>
          </w:p>
          <w:p w:rsidR="00253DAE" w:rsidRPr="00253DAE" w:rsidRDefault="00936DA4" w:rsidP="00253DA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253DAE" w:rsidRPr="00253DAE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</w:rPr>
                <w:t>http://www.coe.int/bioethics</w:t>
              </w:r>
            </w:hyperlink>
          </w:p>
        </w:tc>
      </w:tr>
    </w:tbl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 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:rsidR="00253DAE" w:rsidRPr="00253DAE" w:rsidRDefault="00253DAE" w:rsidP="00253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DAE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:rsidR="00BF6E10" w:rsidRDefault="00BF6E10"/>
    <w:sectPr w:rsidR="00BF6E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AE"/>
    <w:rsid w:val="00253DAE"/>
    <w:rsid w:val="00936DA4"/>
    <w:rsid w:val="00B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46889-6DF2-470B-B737-C415671B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b">
    <w:name w:val="_pe_b"/>
    <w:basedOn w:val="DefaultParagraphFont"/>
    <w:rsid w:val="00253DAE"/>
  </w:style>
  <w:style w:type="character" w:customStyle="1" w:styleId="bidi">
    <w:name w:val="bidi"/>
    <w:basedOn w:val="DefaultParagraphFont"/>
    <w:rsid w:val="00253DAE"/>
  </w:style>
  <w:style w:type="character" w:customStyle="1" w:styleId="fr2">
    <w:name w:val="_f_r2"/>
    <w:basedOn w:val="DefaultParagraphFont"/>
    <w:rsid w:val="00253DAE"/>
  </w:style>
  <w:style w:type="character" w:customStyle="1" w:styleId="fs2">
    <w:name w:val="_f_s2"/>
    <w:basedOn w:val="DefaultParagraphFont"/>
    <w:rsid w:val="00253DAE"/>
  </w:style>
  <w:style w:type="character" w:customStyle="1" w:styleId="fy2">
    <w:name w:val="_f_y2"/>
    <w:basedOn w:val="DefaultParagraphFont"/>
    <w:rsid w:val="00253DAE"/>
  </w:style>
  <w:style w:type="character" w:customStyle="1" w:styleId="fz2">
    <w:name w:val="_f_z2"/>
    <w:basedOn w:val="DefaultParagraphFont"/>
    <w:rsid w:val="00253DAE"/>
  </w:style>
  <w:style w:type="character" w:styleId="Strong">
    <w:name w:val="Strong"/>
    <w:basedOn w:val="DefaultParagraphFont"/>
    <w:uiPriority w:val="22"/>
    <w:qFormat/>
    <w:rsid w:val="00253D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3D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3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5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92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1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62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67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37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55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89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1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9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42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0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1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72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strategic-action-plan-final-e/16809c3af1" TargetMode="External"/><Relationship Id="rId13" Type="http://schemas.openxmlformats.org/officeDocument/2006/relationships/hyperlink" Target="mailto:estelle.steiner@coe.int" TargetMode="External"/><Relationship Id="rId18" Type="http://schemas.openxmlformats.org/officeDocument/2006/relationships/hyperlink" Target="https://rm.coe.int/plan-d-action-strategique-final-f/16809c3af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earch.coe.int/cm/Pages/result_details.aspx?ObjectId=09000016809f94fc" TargetMode="External"/><Relationship Id="rId7" Type="http://schemas.openxmlformats.org/officeDocument/2006/relationships/hyperlink" Target="https://www.coe.int/en/web/bioethics/oviedo-convention" TargetMode="External"/><Relationship Id="rId12" Type="http://schemas.openxmlformats.org/officeDocument/2006/relationships/hyperlink" Target="https://www.coe.int/en/web/bioethics/-/covid-19-human-rights-principles-must-guide-health-decisio-1" TargetMode="External"/><Relationship Id="rId17" Type="http://schemas.openxmlformats.org/officeDocument/2006/relationships/hyperlink" Target="https://www.coe.int/fr/web/bioethics/oviedo-conventio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e.int/fr/web/bioethics/public-debate" TargetMode="External"/><Relationship Id="rId20" Type="http://schemas.openxmlformats.org/officeDocument/2006/relationships/hyperlink" Target="https://www.coe.int/fr/web/bioethic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e.int/en/web/bioethics/public-debate" TargetMode="External"/><Relationship Id="rId11" Type="http://schemas.openxmlformats.org/officeDocument/2006/relationships/hyperlink" Target="https://search.coe.int/cm/Pages/result_details.aspx?ObjectId=09000016809f953a" TargetMode="External"/><Relationship Id="rId24" Type="http://schemas.openxmlformats.org/officeDocument/2006/relationships/hyperlink" Target="http://www.coe.int/bioethics" TargetMode="External"/><Relationship Id="rId5" Type="http://schemas.openxmlformats.org/officeDocument/2006/relationships/hyperlink" Target="mailto:pressunit@coe.int" TargetMode="External"/><Relationship Id="rId15" Type="http://schemas.openxmlformats.org/officeDocument/2006/relationships/hyperlink" Target="mailto:pressunit@coe.int" TargetMode="External"/><Relationship Id="rId23" Type="http://schemas.openxmlformats.org/officeDocument/2006/relationships/hyperlink" Target="mailto:estelle.Steiner@coe.int" TargetMode="External"/><Relationship Id="rId10" Type="http://schemas.openxmlformats.org/officeDocument/2006/relationships/hyperlink" Target="https://www.coe.int/en/web/bioethics" TargetMode="External"/><Relationship Id="rId19" Type="http://schemas.openxmlformats.org/officeDocument/2006/relationships/hyperlink" Target="https://pace.coe.int/fr/news/8007/promoting-a-new-culture-of-public-debate-on-new-technologies" TargetMode="External"/><Relationship Id="rId4" Type="http://schemas.openxmlformats.org/officeDocument/2006/relationships/hyperlink" Target="http://www.coe.int/" TargetMode="External"/><Relationship Id="rId9" Type="http://schemas.openxmlformats.org/officeDocument/2006/relationships/hyperlink" Target="https://pace.coe.int/en/news/8007/promoting-a-new-culture-of-public-debate-on-new-technologies" TargetMode="External"/><Relationship Id="rId14" Type="http://schemas.openxmlformats.org/officeDocument/2006/relationships/hyperlink" Target="http://www.coe.int" TargetMode="External"/><Relationship Id="rId22" Type="http://schemas.openxmlformats.org/officeDocument/2006/relationships/hyperlink" Target="https://search.coe.int/directorate_of_communications/Pages/COVID-19%20:%20les%20droits%20de%20l%E2%80%99homme%20doivent%20guider%20les%20d%C3%A9cisions%20en%20mati%C3%A8re%20de%20sant%C3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Tamar Beridze</cp:lastModifiedBy>
  <cp:revision>2</cp:revision>
  <dcterms:created xsi:type="dcterms:W3CDTF">2020-10-02T14:02:00Z</dcterms:created>
  <dcterms:modified xsi:type="dcterms:W3CDTF">2020-10-02T14:02:00Z</dcterms:modified>
</cp:coreProperties>
</file>