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125" w:type="dxa"/>
        <w:jc w:val="center"/>
        <w:tblLayout w:type="fixed"/>
        <w:tblLook w:val="04A0" w:firstRow="1" w:lastRow="0" w:firstColumn="1" w:lastColumn="0" w:noHBand="0" w:noVBand="1"/>
      </w:tblPr>
      <w:tblGrid>
        <w:gridCol w:w="383"/>
        <w:gridCol w:w="2617"/>
        <w:gridCol w:w="1938"/>
        <w:gridCol w:w="285"/>
        <w:gridCol w:w="1944"/>
        <w:gridCol w:w="2138"/>
        <w:gridCol w:w="2229"/>
        <w:gridCol w:w="1938"/>
        <w:gridCol w:w="1653"/>
      </w:tblGrid>
      <w:tr w:rsidR="00010B20" w:rsidRPr="00F6137D" w:rsidTr="002C727D">
        <w:trPr>
          <w:tblHeader/>
          <w:jc w:val="center"/>
        </w:trPr>
        <w:tc>
          <w:tcPr>
            <w:tcW w:w="383" w:type="dxa"/>
            <w:shd w:val="clear" w:color="auto" w:fill="FFF2CC" w:themeFill="accent4" w:themeFillTint="33"/>
          </w:tcPr>
          <w:p w:rsidR="00010B20" w:rsidRPr="000E6330" w:rsidRDefault="00010B20" w:rsidP="0089146A">
            <w:pPr>
              <w:rPr>
                <w:rFonts w:ascii="Sylfaen" w:hAnsi="Sylfaen"/>
                <w:b/>
                <w:sz w:val="16"/>
                <w:szCs w:val="20"/>
                <w:lang w:val="ka-GE"/>
              </w:rPr>
            </w:pPr>
            <w:bookmarkStart w:id="0" w:name="_GoBack"/>
            <w:bookmarkEnd w:id="0"/>
            <w:r w:rsidRPr="000E6330">
              <w:rPr>
                <w:rFonts w:ascii="Sylfaen" w:hAnsi="Sylfaen"/>
                <w:b/>
                <w:sz w:val="16"/>
                <w:szCs w:val="20"/>
                <w:lang w:val="ka-GE"/>
              </w:rPr>
              <w:t>N</w:t>
            </w:r>
          </w:p>
        </w:tc>
        <w:tc>
          <w:tcPr>
            <w:tcW w:w="2617" w:type="dxa"/>
            <w:shd w:val="clear" w:color="auto" w:fill="FFF2CC" w:themeFill="accent4" w:themeFillTint="33"/>
          </w:tcPr>
          <w:p w:rsidR="00010B20" w:rsidRPr="00010B20" w:rsidRDefault="00010B20" w:rsidP="00010B20">
            <w:pPr>
              <w:rPr>
                <w:rFonts w:ascii="Sylfaen" w:hAnsi="Sylfaen"/>
                <w:b/>
                <w:sz w:val="16"/>
                <w:szCs w:val="20"/>
                <w:lang w:val="ka-GE"/>
              </w:rPr>
            </w:pPr>
            <w:r w:rsidRPr="00010B20">
              <w:rPr>
                <w:rFonts w:ascii="Sylfaen" w:hAnsi="Sylfaen"/>
                <w:b/>
                <w:sz w:val="16"/>
                <w:szCs w:val="20"/>
                <w:lang w:val="ka-GE"/>
              </w:rPr>
              <w:t>Article/Paragraph of the</w:t>
            </w:r>
          </w:p>
          <w:p w:rsidR="00010B20" w:rsidRPr="00010B20" w:rsidRDefault="00010B20" w:rsidP="00010B20">
            <w:pPr>
              <w:rPr>
                <w:rFonts w:ascii="Sylfaen" w:hAnsi="Sylfaen"/>
                <w:b/>
                <w:sz w:val="16"/>
                <w:szCs w:val="20"/>
              </w:rPr>
            </w:pPr>
            <w:r w:rsidRPr="00010B20">
              <w:rPr>
                <w:rFonts w:ascii="Sylfaen" w:hAnsi="Sylfaen"/>
                <w:b/>
                <w:sz w:val="16"/>
                <w:szCs w:val="20"/>
                <w:lang w:val="ka-GE"/>
              </w:rPr>
              <w:t>Association Agreement</w:t>
            </w:r>
            <w:r>
              <w:rPr>
                <w:rFonts w:ascii="Sylfaen" w:hAnsi="Sylfaen"/>
                <w:b/>
                <w:sz w:val="16"/>
                <w:szCs w:val="20"/>
              </w:rPr>
              <w:t xml:space="preserve"> or </w:t>
            </w:r>
            <w:r w:rsidRPr="00010B20">
              <w:rPr>
                <w:rFonts w:ascii="Sylfaen" w:hAnsi="Sylfaen"/>
                <w:b/>
                <w:sz w:val="16"/>
                <w:szCs w:val="20"/>
                <w:lang w:val="ka-GE"/>
              </w:rPr>
              <w:t>Association</w:t>
            </w:r>
            <w:r>
              <w:rPr>
                <w:rFonts w:ascii="Sylfaen" w:hAnsi="Sylfaen"/>
                <w:b/>
                <w:sz w:val="16"/>
                <w:szCs w:val="20"/>
              </w:rPr>
              <w:t xml:space="preserve"> Agenda</w:t>
            </w:r>
          </w:p>
        </w:tc>
        <w:tc>
          <w:tcPr>
            <w:tcW w:w="1938" w:type="dxa"/>
            <w:shd w:val="clear" w:color="auto" w:fill="FFF2CC" w:themeFill="accent4" w:themeFillTint="33"/>
          </w:tcPr>
          <w:p w:rsidR="00010B20" w:rsidRPr="000E6330" w:rsidRDefault="00010B20" w:rsidP="0089146A">
            <w:pPr>
              <w:rPr>
                <w:rFonts w:ascii="Sylfaen" w:hAnsi="Sylfaen"/>
                <w:b/>
                <w:sz w:val="16"/>
                <w:szCs w:val="20"/>
                <w:lang w:val="ka-GE"/>
              </w:rPr>
            </w:pPr>
            <w:r w:rsidRPr="00010B20">
              <w:rPr>
                <w:rFonts w:ascii="Sylfaen" w:hAnsi="Sylfaen"/>
                <w:b/>
                <w:sz w:val="16"/>
                <w:szCs w:val="20"/>
                <w:lang w:val="ka-GE"/>
              </w:rPr>
              <w:t>Planned Activity</w:t>
            </w:r>
          </w:p>
        </w:tc>
        <w:tc>
          <w:tcPr>
            <w:tcW w:w="2229" w:type="dxa"/>
            <w:gridSpan w:val="2"/>
            <w:shd w:val="clear" w:color="auto" w:fill="FFF2CC" w:themeFill="accent4" w:themeFillTint="33"/>
          </w:tcPr>
          <w:p w:rsidR="00010B20" w:rsidRPr="000E6330" w:rsidRDefault="00010B20" w:rsidP="0089146A">
            <w:pPr>
              <w:rPr>
                <w:rFonts w:ascii="Sylfaen" w:hAnsi="Sylfaen"/>
                <w:b/>
                <w:sz w:val="16"/>
                <w:szCs w:val="20"/>
                <w:lang w:val="ka-GE"/>
              </w:rPr>
            </w:pPr>
            <w:r w:rsidRPr="00010B20">
              <w:rPr>
                <w:rFonts w:ascii="Sylfaen" w:hAnsi="Sylfaen"/>
                <w:b/>
                <w:sz w:val="16"/>
                <w:szCs w:val="20"/>
                <w:lang w:val="ka-GE"/>
              </w:rPr>
              <w:t>Result / Output</w:t>
            </w:r>
            <w:r w:rsidRPr="000E6330">
              <w:rPr>
                <w:rFonts w:ascii="Sylfaen" w:hAnsi="Sylfaen"/>
                <w:b/>
                <w:sz w:val="16"/>
                <w:szCs w:val="20"/>
                <w:lang w:val="ka-GE"/>
              </w:rPr>
              <w:tab/>
            </w:r>
          </w:p>
        </w:tc>
        <w:tc>
          <w:tcPr>
            <w:tcW w:w="2138" w:type="dxa"/>
            <w:shd w:val="clear" w:color="auto" w:fill="FFF2CC" w:themeFill="accent4" w:themeFillTint="33"/>
          </w:tcPr>
          <w:p w:rsidR="00010B20" w:rsidRPr="000E6330" w:rsidRDefault="00010B20" w:rsidP="0089146A">
            <w:pPr>
              <w:rPr>
                <w:rFonts w:ascii="Sylfaen" w:hAnsi="Sylfaen"/>
                <w:b/>
                <w:sz w:val="16"/>
                <w:szCs w:val="20"/>
                <w:lang w:val="ka-GE"/>
              </w:rPr>
            </w:pPr>
            <w:r w:rsidRPr="00010B20">
              <w:rPr>
                <w:rFonts w:ascii="Sylfaen" w:hAnsi="Sylfaen"/>
                <w:b/>
                <w:sz w:val="16"/>
                <w:szCs w:val="20"/>
                <w:lang w:val="ka-GE"/>
              </w:rPr>
              <w:t>Indicators</w:t>
            </w:r>
          </w:p>
        </w:tc>
        <w:tc>
          <w:tcPr>
            <w:tcW w:w="2229" w:type="dxa"/>
            <w:shd w:val="clear" w:color="auto" w:fill="FFF2CC" w:themeFill="accent4" w:themeFillTint="33"/>
          </w:tcPr>
          <w:p w:rsidR="00010B20" w:rsidRPr="00010B20" w:rsidRDefault="00010B20" w:rsidP="00010B20">
            <w:pPr>
              <w:rPr>
                <w:rFonts w:ascii="Sylfaen" w:hAnsi="Sylfaen"/>
                <w:b/>
                <w:sz w:val="16"/>
                <w:szCs w:val="20"/>
                <w:lang w:val="ka-GE"/>
              </w:rPr>
            </w:pPr>
            <w:r>
              <w:rPr>
                <w:rFonts w:ascii="Sylfaen" w:hAnsi="Sylfaen"/>
                <w:b/>
                <w:sz w:val="16"/>
                <w:szCs w:val="20"/>
                <w:lang w:val="ka-GE"/>
              </w:rPr>
              <w:t>Responsibl</w:t>
            </w:r>
            <w:r>
              <w:rPr>
                <w:rFonts w:ascii="Sylfaen" w:hAnsi="Sylfaen"/>
                <w:b/>
                <w:sz w:val="16"/>
                <w:szCs w:val="20"/>
              </w:rPr>
              <w:t xml:space="preserve">e / </w:t>
            </w:r>
            <w:r w:rsidRPr="00010B20">
              <w:rPr>
                <w:rFonts w:ascii="Sylfaen" w:hAnsi="Sylfaen"/>
                <w:b/>
                <w:sz w:val="16"/>
                <w:szCs w:val="20"/>
                <w:lang w:val="ka-GE"/>
              </w:rPr>
              <w:t>Supporting</w:t>
            </w:r>
          </w:p>
          <w:p w:rsidR="00010B20" w:rsidRPr="000E6330" w:rsidRDefault="00010B20" w:rsidP="00010B20">
            <w:pPr>
              <w:rPr>
                <w:rFonts w:ascii="Sylfaen" w:hAnsi="Sylfaen"/>
                <w:b/>
                <w:sz w:val="16"/>
                <w:szCs w:val="20"/>
                <w:lang w:val="ka-GE"/>
              </w:rPr>
            </w:pPr>
            <w:r w:rsidRPr="00010B20">
              <w:rPr>
                <w:rFonts w:ascii="Sylfaen" w:hAnsi="Sylfaen"/>
                <w:b/>
                <w:sz w:val="16"/>
                <w:szCs w:val="20"/>
                <w:lang w:val="ka-GE"/>
              </w:rPr>
              <w:t>Institution</w:t>
            </w:r>
          </w:p>
        </w:tc>
        <w:tc>
          <w:tcPr>
            <w:tcW w:w="1938" w:type="dxa"/>
            <w:shd w:val="clear" w:color="auto" w:fill="FFF2CC" w:themeFill="accent4" w:themeFillTint="33"/>
          </w:tcPr>
          <w:p w:rsidR="00010B20" w:rsidRPr="000E6330" w:rsidRDefault="00010B20" w:rsidP="00010B20">
            <w:pPr>
              <w:rPr>
                <w:rFonts w:ascii="Sylfaen" w:hAnsi="Sylfaen"/>
                <w:b/>
                <w:sz w:val="16"/>
                <w:szCs w:val="20"/>
                <w:lang w:val="ka-GE"/>
              </w:rPr>
            </w:pPr>
            <w:r w:rsidRPr="00010B20">
              <w:rPr>
                <w:rFonts w:ascii="Sylfaen" w:hAnsi="Sylfaen"/>
                <w:b/>
                <w:sz w:val="16"/>
                <w:szCs w:val="20"/>
                <w:lang w:val="ka-GE"/>
              </w:rPr>
              <w:t>Source of</w:t>
            </w:r>
            <w:r>
              <w:rPr>
                <w:rFonts w:ascii="Sylfaen" w:hAnsi="Sylfaen"/>
                <w:b/>
                <w:sz w:val="16"/>
                <w:szCs w:val="20"/>
              </w:rPr>
              <w:t xml:space="preserve"> </w:t>
            </w:r>
            <w:r w:rsidRPr="00010B20">
              <w:rPr>
                <w:rFonts w:ascii="Sylfaen" w:hAnsi="Sylfaen"/>
                <w:b/>
                <w:sz w:val="16"/>
                <w:szCs w:val="20"/>
                <w:lang w:val="ka-GE"/>
              </w:rPr>
              <w:t>Funding</w:t>
            </w:r>
            <w:r>
              <w:rPr>
                <w:rFonts w:ascii="Sylfaen" w:hAnsi="Sylfaen"/>
                <w:b/>
                <w:sz w:val="16"/>
                <w:szCs w:val="20"/>
              </w:rPr>
              <w:t xml:space="preserve"> / </w:t>
            </w:r>
            <w:r w:rsidRPr="00010B20">
              <w:rPr>
                <w:rFonts w:ascii="Sylfaen" w:hAnsi="Sylfaen"/>
                <w:b/>
                <w:sz w:val="16"/>
                <w:szCs w:val="20"/>
                <w:lang w:val="ka-GE"/>
              </w:rPr>
              <w:t>Donor</w:t>
            </w:r>
          </w:p>
        </w:tc>
        <w:tc>
          <w:tcPr>
            <w:tcW w:w="1653" w:type="dxa"/>
            <w:shd w:val="clear" w:color="auto" w:fill="FFF2CC" w:themeFill="accent4" w:themeFillTint="33"/>
          </w:tcPr>
          <w:p w:rsidR="00010B20" w:rsidRPr="000E6330" w:rsidRDefault="00010B20" w:rsidP="0089146A">
            <w:pPr>
              <w:rPr>
                <w:rFonts w:ascii="Sylfaen" w:hAnsi="Sylfaen"/>
                <w:b/>
                <w:sz w:val="16"/>
                <w:szCs w:val="20"/>
                <w:lang w:val="ka-GE"/>
              </w:rPr>
            </w:pPr>
            <w:r w:rsidRPr="00010B20">
              <w:rPr>
                <w:rFonts w:ascii="Sylfaen" w:hAnsi="Sylfaen"/>
                <w:b/>
                <w:sz w:val="16"/>
                <w:szCs w:val="20"/>
                <w:lang w:val="ka-GE"/>
              </w:rPr>
              <w:t>Comment</w:t>
            </w:r>
          </w:p>
        </w:tc>
      </w:tr>
      <w:tr w:rsidR="00010B20" w:rsidRPr="00F6137D" w:rsidTr="002C727D">
        <w:trPr>
          <w:trHeight w:val="548"/>
          <w:jc w:val="center"/>
        </w:trPr>
        <w:tc>
          <w:tcPr>
            <w:tcW w:w="15125" w:type="dxa"/>
            <w:gridSpan w:val="9"/>
            <w:shd w:val="clear" w:color="auto" w:fill="BDD6EE" w:themeFill="accent1" w:themeFillTint="66"/>
            <w:vAlign w:val="center"/>
          </w:tcPr>
          <w:p w:rsidR="00010B20" w:rsidRPr="000E6330" w:rsidRDefault="00010B20" w:rsidP="00010B20">
            <w:pPr>
              <w:jc w:val="center"/>
              <w:rPr>
                <w:b/>
                <w:sz w:val="20"/>
                <w:szCs w:val="20"/>
                <w:lang w:val="ka-GE"/>
              </w:rPr>
            </w:pPr>
            <w:r w:rsidRPr="00010B20">
              <w:rPr>
                <w:rFonts w:ascii="Sylfaen" w:hAnsi="Sylfaen" w:cs="Sylfaen"/>
                <w:b/>
                <w:sz w:val="20"/>
                <w:szCs w:val="20"/>
              </w:rPr>
              <w:t>DCFTA Implementation National Action Plan for 201</w:t>
            </w:r>
            <w:r w:rsidRPr="00010B20">
              <w:rPr>
                <w:rFonts w:ascii="Sylfaen" w:hAnsi="Sylfaen" w:cs="Sylfaen"/>
                <w:b/>
                <w:sz w:val="20"/>
                <w:szCs w:val="20"/>
                <w:lang w:val="ka-GE"/>
              </w:rPr>
              <w:t>9</w:t>
            </w:r>
          </w:p>
        </w:tc>
      </w:tr>
      <w:tr w:rsidR="002C727D" w:rsidTr="002C727D">
        <w:trPr>
          <w:jc w:val="center"/>
        </w:trPr>
        <w:tc>
          <w:tcPr>
            <w:tcW w:w="383" w:type="dxa"/>
            <w:vMerge w:val="restart"/>
          </w:tcPr>
          <w:p w:rsidR="002C727D" w:rsidRPr="002C727D" w:rsidRDefault="002C727D" w:rsidP="002C727D">
            <w:pPr>
              <w:rPr>
                <w:rFonts w:ascii="Sylfaen" w:hAnsi="Sylfaen"/>
                <w:sz w:val="18"/>
              </w:rPr>
            </w:pPr>
            <w:r>
              <w:rPr>
                <w:rFonts w:ascii="Sylfaen" w:hAnsi="Sylfaen"/>
                <w:sz w:val="18"/>
              </w:rPr>
              <w:t>1</w:t>
            </w:r>
          </w:p>
        </w:tc>
        <w:tc>
          <w:tcPr>
            <w:tcW w:w="2617" w:type="dxa"/>
            <w:vMerge w:val="restart"/>
          </w:tcPr>
          <w:p w:rsidR="002C727D" w:rsidRPr="000E6330" w:rsidRDefault="002C727D" w:rsidP="002C727D">
            <w:pPr>
              <w:jc w:val="both"/>
              <w:rPr>
                <w:lang w:val="ka-GE"/>
              </w:rPr>
            </w:pPr>
            <w:r w:rsidRPr="001D29A2">
              <w:rPr>
                <w:rFonts w:ascii="Sylfaen" w:hAnsi="Sylfaen"/>
                <w:bCs/>
                <w:sz w:val="20"/>
                <w:szCs w:val="20"/>
                <w:shd w:val="clear" w:color="auto" w:fill="FFFFFF"/>
              </w:rPr>
              <w:t xml:space="preserve">Chapter on Trade and Sustainable Development of the Association Agreement, in particular exchanging information on the development of an appropriate </w:t>
            </w:r>
            <w:proofErr w:type="spellStart"/>
            <w:r w:rsidRPr="001D29A2">
              <w:rPr>
                <w:rFonts w:ascii="Sylfaen" w:hAnsi="Sylfaen"/>
                <w:bCs/>
                <w:sz w:val="20"/>
                <w:szCs w:val="20"/>
                <w:shd w:val="clear" w:color="auto" w:fill="FFFFFF"/>
              </w:rPr>
              <w:t>labour</w:t>
            </w:r>
            <w:proofErr w:type="spellEnd"/>
            <w:r w:rsidRPr="001D29A2">
              <w:rPr>
                <w:rFonts w:ascii="Sylfaen" w:hAnsi="Sylfaen"/>
                <w:bCs/>
                <w:sz w:val="20"/>
                <w:szCs w:val="20"/>
                <w:shd w:val="clear" w:color="auto" w:fill="FFFFFF"/>
              </w:rPr>
              <w:t xml:space="preserve"> inspection system for all international fundamental </w:t>
            </w:r>
            <w:proofErr w:type="spellStart"/>
            <w:r w:rsidRPr="001D29A2">
              <w:rPr>
                <w:rFonts w:ascii="Sylfaen" w:hAnsi="Sylfaen"/>
                <w:bCs/>
                <w:sz w:val="20"/>
                <w:szCs w:val="20"/>
                <w:shd w:val="clear" w:color="auto" w:fill="FFFFFF"/>
              </w:rPr>
              <w:t>labour</w:t>
            </w:r>
            <w:proofErr w:type="spellEnd"/>
            <w:r w:rsidRPr="001D29A2">
              <w:rPr>
                <w:rFonts w:ascii="Sylfaen" w:hAnsi="Sylfaen"/>
                <w:bCs/>
                <w:sz w:val="20"/>
                <w:szCs w:val="20"/>
                <w:shd w:val="clear" w:color="auto" w:fill="FFFFFF"/>
              </w:rPr>
              <w:t xml:space="preserve"> standards, implementation of the Labour Code, implementation of multilateral environmental agreements, which either side is party to, and implementation of their commitments related to sustainable development, as well as discuss and exchange best practices on the future implementation of the commitments under the Chapter with regard to stakeholder involvement and civil society dialogue</w:t>
            </w:r>
          </w:p>
        </w:tc>
        <w:tc>
          <w:tcPr>
            <w:tcW w:w="1938" w:type="dxa"/>
          </w:tcPr>
          <w:p w:rsidR="002C727D" w:rsidRPr="001D29A2" w:rsidRDefault="002C727D" w:rsidP="002C727D">
            <w:pPr>
              <w:rPr>
                <w:rFonts w:ascii="Sylfaen" w:eastAsia="Calibri" w:hAnsi="Sylfaen"/>
                <w:sz w:val="20"/>
                <w:szCs w:val="20"/>
                <w:lang w:val="ka-GE"/>
              </w:rPr>
            </w:pPr>
            <w:r w:rsidRPr="001D29A2">
              <w:rPr>
                <w:rFonts w:ascii="Sylfaen" w:eastAsia="Calibri" w:hAnsi="Sylfaen"/>
                <w:sz w:val="20"/>
                <w:szCs w:val="20"/>
                <w:lang w:val="ka-GE"/>
              </w:rPr>
              <w:t>Informing employees and employers about occupational health and safety rules at workplaces</w:t>
            </w:r>
          </w:p>
        </w:tc>
        <w:tc>
          <w:tcPr>
            <w:tcW w:w="2229" w:type="dxa"/>
            <w:gridSpan w:val="2"/>
          </w:tcPr>
          <w:p w:rsidR="002C727D" w:rsidRPr="001D29A2" w:rsidRDefault="002C727D" w:rsidP="002C727D">
            <w:pPr>
              <w:rPr>
                <w:rFonts w:ascii="Sylfaen" w:eastAsia="Calibri" w:hAnsi="Sylfaen"/>
                <w:sz w:val="20"/>
                <w:szCs w:val="20"/>
                <w:lang w:val="ka-GE"/>
              </w:rPr>
            </w:pPr>
            <w:r w:rsidRPr="001D29A2">
              <w:rPr>
                <w:rFonts w:ascii="Sylfaen" w:eastAsia="Calibri" w:hAnsi="Sylfaen"/>
                <w:sz w:val="20"/>
                <w:szCs w:val="20"/>
                <w:lang w:val="ka-GE"/>
              </w:rPr>
              <w:t xml:space="preserve">Increased awareness of employers and employees </w:t>
            </w:r>
          </w:p>
        </w:tc>
        <w:tc>
          <w:tcPr>
            <w:tcW w:w="2138" w:type="dxa"/>
          </w:tcPr>
          <w:p w:rsidR="002C727D" w:rsidRPr="001D29A2" w:rsidRDefault="002C727D" w:rsidP="002C727D">
            <w:pPr>
              <w:rPr>
                <w:rFonts w:ascii="Sylfaen" w:eastAsia="Calibri" w:hAnsi="Sylfaen"/>
                <w:sz w:val="20"/>
                <w:szCs w:val="20"/>
                <w:lang w:val="ka-GE"/>
              </w:rPr>
            </w:pPr>
            <w:r w:rsidRPr="001D29A2">
              <w:rPr>
                <w:rFonts w:ascii="Sylfaen" w:eastAsia="Calibri" w:hAnsi="Sylfaen"/>
                <w:sz w:val="20"/>
                <w:szCs w:val="20"/>
                <w:lang w:val="ka-GE"/>
              </w:rPr>
              <w:t>Number of informational meetings and consultations</w:t>
            </w:r>
          </w:p>
          <w:p w:rsidR="002C727D" w:rsidRPr="001D29A2" w:rsidRDefault="002C727D" w:rsidP="002C727D">
            <w:pPr>
              <w:rPr>
                <w:rFonts w:ascii="Sylfaen" w:eastAsia="Calibri" w:hAnsi="Sylfaen"/>
                <w:sz w:val="20"/>
                <w:szCs w:val="20"/>
                <w:lang w:val="ka-GE"/>
              </w:rPr>
            </w:pPr>
          </w:p>
          <w:p w:rsidR="002C727D" w:rsidRPr="001D29A2" w:rsidRDefault="002C727D" w:rsidP="002C727D">
            <w:pPr>
              <w:rPr>
                <w:rFonts w:ascii="Sylfaen" w:eastAsia="Calibri" w:hAnsi="Sylfaen"/>
                <w:sz w:val="20"/>
                <w:szCs w:val="20"/>
                <w:lang w:val="ka-GE"/>
              </w:rPr>
            </w:pPr>
          </w:p>
        </w:tc>
        <w:tc>
          <w:tcPr>
            <w:tcW w:w="2229" w:type="dxa"/>
          </w:tcPr>
          <w:p w:rsidR="002C727D" w:rsidRPr="001D29A2" w:rsidRDefault="002C727D" w:rsidP="002C727D">
            <w:pPr>
              <w:rPr>
                <w:rFonts w:ascii="Sylfaen" w:eastAsia="Calibri" w:hAnsi="Sylfaen"/>
                <w:sz w:val="20"/>
                <w:szCs w:val="20"/>
                <w:lang w:val="ka-GE"/>
              </w:rPr>
            </w:pPr>
            <w:r w:rsidRPr="001D29A2">
              <w:rPr>
                <w:rFonts w:ascii="Sylfaen" w:eastAsia="Calibri" w:hAnsi="Sylfaen"/>
                <w:sz w:val="20"/>
                <w:szCs w:val="20"/>
                <w:lang w:val="ka-GE"/>
              </w:rPr>
              <w:t xml:space="preserve">Ministry of </w:t>
            </w:r>
            <w:r>
              <w:rPr>
                <w:rFonts w:ascii="Sylfaen" w:eastAsia="Calibri" w:hAnsi="Sylfaen"/>
                <w:sz w:val="20"/>
                <w:szCs w:val="20"/>
              </w:rPr>
              <w:t xml:space="preserve">Internally Displaced Persons from the Occupied Territories, </w:t>
            </w:r>
            <w:r w:rsidRPr="001D29A2">
              <w:rPr>
                <w:rFonts w:ascii="Sylfaen" w:eastAsia="Calibri" w:hAnsi="Sylfaen"/>
                <w:sz w:val="20"/>
                <w:szCs w:val="20"/>
                <w:lang w:val="ka-GE"/>
              </w:rPr>
              <w:t>Labour, Health and Social Affairs of Georgia</w:t>
            </w:r>
          </w:p>
          <w:p w:rsidR="002C727D" w:rsidRPr="001D29A2" w:rsidRDefault="002C727D" w:rsidP="002C727D">
            <w:pPr>
              <w:rPr>
                <w:rFonts w:ascii="Sylfaen" w:eastAsia="Calibri" w:hAnsi="Sylfaen"/>
                <w:sz w:val="20"/>
                <w:szCs w:val="20"/>
                <w:lang w:val="ka-GE"/>
              </w:rPr>
            </w:pPr>
          </w:p>
        </w:tc>
        <w:tc>
          <w:tcPr>
            <w:tcW w:w="1938" w:type="dxa"/>
          </w:tcPr>
          <w:p w:rsidR="002C727D" w:rsidRPr="002C727D" w:rsidRDefault="002C727D" w:rsidP="002C727D">
            <w:pPr>
              <w:rPr>
                <w:rFonts w:ascii="Sylfaen" w:eastAsia="Calibri" w:hAnsi="Sylfaen"/>
                <w:sz w:val="20"/>
                <w:szCs w:val="20"/>
              </w:rPr>
            </w:pPr>
            <w:r>
              <w:rPr>
                <w:rFonts w:ascii="Sylfaen" w:eastAsia="Calibri" w:hAnsi="Sylfaen"/>
                <w:sz w:val="20"/>
                <w:szCs w:val="20"/>
              </w:rPr>
              <w:t>State budget</w:t>
            </w:r>
          </w:p>
        </w:tc>
        <w:tc>
          <w:tcPr>
            <w:tcW w:w="1653" w:type="dxa"/>
          </w:tcPr>
          <w:p w:rsidR="002C727D" w:rsidRPr="00DD12B1" w:rsidRDefault="002C727D" w:rsidP="002C727D">
            <w:pPr>
              <w:rPr>
                <w:rFonts w:ascii="Sylfaen" w:hAnsi="Sylfaen" w:cs="Sylfaen"/>
                <w:sz w:val="20"/>
                <w:szCs w:val="20"/>
              </w:rPr>
            </w:pPr>
          </w:p>
        </w:tc>
      </w:tr>
      <w:tr w:rsidR="002C727D" w:rsidTr="002C727D">
        <w:trPr>
          <w:jc w:val="center"/>
        </w:trPr>
        <w:tc>
          <w:tcPr>
            <w:tcW w:w="383" w:type="dxa"/>
            <w:vMerge/>
          </w:tcPr>
          <w:p w:rsidR="002C727D" w:rsidRPr="00F21DF0" w:rsidRDefault="002C727D" w:rsidP="002C727D">
            <w:pPr>
              <w:rPr>
                <w:rFonts w:ascii="Sylfaen" w:hAnsi="Sylfaen"/>
                <w:sz w:val="18"/>
                <w:lang w:val="ka-GE"/>
              </w:rPr>
            </w:pPr>
          </w:p>
        </w:tc>
        <w:tc>
          <w:tcPr>
            <w:tcW w:w="2617" w:type="dxa"/>
            <w:vMerge/>
          </w:tcPr>
          <w:p w:rsidR="002C727D" w:rsidRPr="000E6330" w:rsidRDefault="002C727D" w:rsidP="002C727D">
            <w:pPr>
              <w:jc w:val="both"/>
              <w:rPr>
                <w:lang w:val="ka-GE"/>
              </w:rPr>
            </w:pPr>
          </w:p>
        </w:tc>
        <w:tc>
          <w:tcPr>
            <w:tcW w:w="1938" w:type="dxa"/>
          </w:tcPr>
          <w:p w:rsidR="002C727D" w:rsidRPr="001D29A2" w:rsidRDefault="002C727D" w:rsidP="002C727D">
            <w:pPr>
              <w:rPr>
                <w:rFonts w:ascii="Sylfaen" w:eastAsia="Calibri" w:hAnsi="Sylfaen"/>
                <w:sz w:val="20"/>
                <w:szCs w:val="20"/>
                <w:lang w:val="ka-GE"/>
              </w:rPr>
            </w:pPr>
            <w:r w:rsidRPr="001D29A2">
              <w:rPr>
                <w:rFonts w:ascii="Sylfaen" w:eastAsia="Calibri" w:hAnsi="Sylfaen"/>
                <w:sz w:val="20"/>
                <w:szCs w:val="20"/>
                <w:lang w:val="ka-GE"/>
              </w:rPr>
              <w:t>Rising Awareness of employees and employers regarding child labour issues</w:t>
            </w:r>
          </w:p>
        </w:tc>
        <w:tc>
          <w:tcPr>
            <w:tcW w:w="2229" w:type="dxa"/>
            <w:gridSpan w:val="2"/>
          </w:tcPr>
          <w:p w:rsidR="002C727D" w:rsidRPr="001D29A2" w:rsidRDefault="002C727D" w:rsidP="002C727D">
            <w:pPr>
              <w:rPr>
                <w:rFonts w:ascii="Sylfaen" w:eastAsia="Calibri" w:hAnsi="Sylfaen"/>
                <w:sz w:val="20"/>
                <w:szCs w:val="20"/>
                <w:lang w:val="ka-GE"/>
              </w:rPr>
            </w:pPr>
            <w:r w:rsidRPr="001D29A2">
              <w:rPr>
                <w:rFonts w:ascii="Sylfaen" w:eastAsia="Calibri" w:hAnsi="Sylfaen"/>
                <w:sz w:val="20"/>
                <w:szCs w:val="20"/>
                <w:lang w:val="ka-GE"/>
              </w:rPr>
              <w:t xml:space="preserve">Reducing  child labour at enterprises </w:t>
            </w:r>
          </w:p>
        </w:tc>
        <w:tc>
          <w:tcPr>
            <w:tcW w:w="2138" w:type="dxa"/>
          </w:tcPr>
          <w:p w:rsidR="002C727D" w:rsidRPr="001D29A2" w:rsidRDefault="002C727D" w:rsidP="002C727D">
            <w:pPr>
              <w:rPr>
                <w:rFonts w:ascii="Sylfaen" w:eastAsia="Calibri" w:hAnsi="Sylfaen"/>
                <w:sz w:val="20"/>
                <w:szCs w:val="20"/>
                <w:lang w:val="ka-GE"/>
              </w:rPr>
            </w:pPr>
            <w:r w:rsidRPr="001D29A2">
              <w:rPr>
                <w:rFonts w:ascii="Sylfaen" w:eastAsia="Calibri" w:hAnsi="Sylfaen"/>
                <w:sz w:val="20"/>
                <w:szCs w:val="20"/>
                <w:lang w:val="ka-GE"/>
              </w:rPr>
              <w:t>Number of held awareness rising meetings regarding child labour</w:t>
            </w:r>
          </w:p>
        </w:tc>
        <w:tc>
          <w:tcPr>
            <w:tcW w:w="2229" w:type="dxa"/>
          </w:tcPr>
          <w:p w:rsidR="002C727D" w:rsidRPr="001D29A2" w:rsidRDefault="002C727D" w:rsidP="002C727D">
            <w:pPr>
              <w:rPr>
                <w:rFonts w:ascii="Sylfaen" w:eastAsia="Calibri" w:hAnsi="Sylfaen"/>
                <w:sz w:val="20"/>
                <w:szCs w:val="20"/>
                <w:lang w:val="ka-GE"/>
              </w:rPr>
            </w:pPr>
            <w:r w:rsidRPr="001D29A2">
              <w:rPr>
                <w:rFonts w:ascii="Sylfaen" w:eastAsia="Calibri" w:hAnsi="Sylfaen"/>
                <w:sz w:val="20"/>
                <w:szCs w:val="20"/>
                <w:lang w:val="ka-GE"/>
              </w:rPr>
              <w:t xml:space="preserve">Ministry of </w:t>
            </w:r>
            <w:r>
              <w:rPr>
                <w:rFonts w:ascii="Sylfaen" w:eastAsia="Calibri" w:hAnsi="Sylfaen"/>
                <w:sz w:val="20"/>
                <w:szCs w:val="20"/>
              </w:rPr>
              <w:t xml:space="preserve">Internally Displaced Persons from the Occupied Territories, </w:t>
            </w:r>
            <w:r w:rsidRPr="001D29A2">
              <w:rPr>
                <w:rFonts w:ascii="Sylfaen" w:eastAsia="Calibri" w:hAnsi="Sylfaen"/>
                <w:sz w:val="20"/>
                <w:szCs w:val="20"/>
                <w:lang w:val="ka-GE"/>
              </w:rPr>
              <w:t>Labour, Health and Social Affairs of Georgia</w:t>
            </w:r>
          </w:p>
          <w:p w:rsidR="002C727D" w:rsidRPr="001D29A2" w:rsidRDefault="002C727D" w:rsidP="002C727D">
            <w:pPr>
              <w:rPr>
                <w:rFonts w:ascii="Sylfaen" w:eastAsia="Calibri" w:hAnsi="Sylfaen"/>
                <w:sz w:val="20"/>
                <w:szCs w:val="20"/>
                <w:lang w:val="ka-GE"/>
              </w:rPr>
            </w:pPr>
          </w:p>
        </w:tc>
        <w:tc>
          <w:tcPr>
            <w:tcW w:w="1938" w:type="dxa"/>
          </w:tcPr>
          <w:p w:rsidR="002C727D" w:rsidRPr="001D29A2" w:rsidRDefault="002C727D" w:rsidP="002C727D">
            <w:pPr>
              <w:rPr>
                <w:rFonts w:ascii="Sylfaen" w:eastAsia="Calibri" w:hAnsi="Sylfaen"/>
                <w:sz w:val="20"/>
                <w:szCs w:val="20"/>
                <w:lang w:val="ka-GE"/>
              </w:rPr>
            </w:pPr>
            <w:r>
              <w:rPr>
                <w:rFonts w:ascii="Sylfaen" w:eastAsia="Calibri" w:hAnsi="Sylfaen"/>
                <w:sz w:val="20"/>
                <w:szCs w:val="20"/>
              </w:rPr>
              <w:t>State budget</w:t>
            </w:r>
          </w:p>
        </w:tc>
        <w:tc>
          <w:tcPr>
            <w:tcW w:w="1653" w:type="dxa"/>
          </w:tcPr>
          <w:p w:rsidR="002C727D" w:rsidRPr="000B60DC" w:rsidRDefault="002C727D" w:rsidP="002C727D">
            <w:pPr>
              <w:jc w:val="both"/>
              <w:rPr>
                <w:rFonts w:ascii="Sylfaen" w:eastAsia="Calibri" w:hAnsi="Sylfaen"/>
                <w:sz w:val="20"/>
                <w:szCs w:val="20"/>
              </w:rPr>
            </w:pPr>
            <w:r>
              <w:rPr>
                <w:rFonts w:ascii="Sylfaen" w:eastAsia="Calibri" w:hAnsi="Sylfaen"/>
                <w:sz w:val="20"/>
                <w:szCs w:val="20"/>
              </w:rPr>
              <w:t xml:space="preserve">Additional funding might be needed </w:t>
            </w:r>
          </w:p>
        </w:tc>
      </w:tr>
      <w:tr w:rsidR="002C727D" w:rsidTr="002C727D">
        <w:trPr>
          <w:trHeight w:val="4354"/>
          <w:jc w:val="center"/>
        </w:trPr>
        <w:tc>
          <w:tcPr>
            <w:tcW w:w="383" w:type="dxa"/>
            <w:vMerge/>
          </w:tcPr>
          <w:p w:rsidR="002C727D" w:rsidRPr="00F21DF0" w:rsidRDefault="002C727D" w:rsidP="002C727D">
            <w:pPr>
              <w:rPr>
                <w:rFonts w:ascii="Sylfaen" w:hAnsi="Sylfaen"/>
                <w:sz w:val="18"/>
                <w:lang w:val="ka-GE"/>
              </w:rPr>
            </w:pPr>
          </w:p>
        </w:tc>
        <w:tc>
          <w:tcPr>
            <w:tcW w:w="2617" w:type="dxa"/>
            <w:vMerge/>
          </w:tcPr>
          <w:p w:rsidR="002C727D" w:rsidRPr="000E6330" w:rsidRDefault="002C727D" w:rsidP="002C727D">
            <w:pPr>
              <w:jc w:val="both"/>
              <w:rPr>
                <w:lang w:val="ka-GE"/>
              </w:rPr>
            </w:pPr>
          </w:p>
        </w:tc>
        <w:tc>
          <w:tcPr>
            <w:tcW w:w="1938" w:type="dxa"/>
          </w:tcPr>
          <w:p w:rsidR="002C727D" w:rsidRPr="001D29A2" w:rsidRDefault="002C727D" w:rsidP="002C727D">
            <w:pPr>
              <w:rPr>
                <w:rFonts w:ascii="Sylfaen" w:eastAsia="Calibri" w:hAnsi="Sylfaen"/>
                <w:sz w:val="20"/>
                <w:szCs w:val="20"/>
                <w:lang w:val="ka-GE"/>
              </w:rPr>
            </w:pPr>
            <w:r w:rsidRPr="001D29A2">
              <w:rPr>
                <w:rFonts w:ascii="Sylfaen" w:eastAsia="Calibri" w:hAnsi="Sylfaen"/>
                <w:sz w:val="20"/>
                <w:szCs w:val="20"/>
                <w:lang w:val="ka-GE"/>
              </w:rPr>
              <w:t xml:space="preserve">Functioning of Tripartite Social Partnership Commission </w:t>
            </w:r>
          </w:p>
          <w:p w:rsidR="002C727D" w:rsidRPr="001D29A2" w:rsidRDefault="002C727D" w:rsidP="002C727D">
            <w:pPr>
              <w:rPr>
                <w:rFonts w:ascii="Sylfaen" w:eastAsia="Calibri" w:hAnsi="Sylfaen"/>
                <w:sz w:val="20"/>
                <w:szCs w:val="20"/>
                <w:lang w:val="ka-GE"/>
              </w:rPr>
            </w:pPr>
          </w:p>
        </w:tc>
        <w:tc>
          <w:tcPr>
            <w:tcW w:w="2229" w:type="dxa"/>
            <w:gridSpan w:val="2"/>
          </w:tcPr>
          <w:p w:rsidR="002C727D" w:rsidRPr="001D29A2" w:rsidRDefault="002C727D" w:rsidP="002C727D">
            <w:pPr>
              <w:rPr>
                <w:rFonts w:ascii="Sylfaen" w:eastAsia="Calibri" w:hAnsi="Sylfaen"/>
                <w:sz w:val="20"/>
                <w:szCs w:val="20"/>
                <w:lang w:val="ka-GE"/>
              </w:rPr>
            </w:pPr>
            <w:r w:rsidRPr="001D29A2">
              <w:rPr>
                <w:rFonts w:ascii="Sylfaen" w:eastAsia="Calibri" w:hAnsi="Sylfaen"/>
                <w:sz w:val="20"/>
                <w:szCs w:val="20"/>
                <w:lang w:val="ka-GE"/>
              </w:rPr>
              <w:t>Strengthened social partnership and social dialogue</w:t>
            </w:r>
            <w:r>
              <w:rPr>
                <w:rFonts w:ascii="Sylfaen" w:eastAsia="Calibri" w:hAnsi="Sylfaen"/>
                <w:sz w:val="20"/>
                <w:szCs w:val="20"/>
              </w:rPr>
              <w:t>;</w:t>
            </w:r>
            <w:r w:rsidRPr="001D29A2">
              <w:rPr>
                <w:rFonts w:ascii="Sylfaen" w:eastAsia="Calibri" w:hAnsi="Sylfaen"/>
                <w:sz w:val="20"/>
                <w:szCs w:val="20"/>
                <w:lang w:val="ka-GE"/>
              </w:rPr>
              <w:t xml:space="preserve"> </w:t>
            </w:r>
          </w:p>
        </w:tc>
        <w:tc>
          <w:tcPr>
            <w:tcW w:w="2138" w:type="dxa"/>
          </w:tcPr>
          <w:p w:rsidR="002C727D" w:rsidRPr="001D29A2" w:rsidRDefault="002C727D" w:rsidP="002C727D">
            <w:pPr>
              <w:rPr>
                <w:rFonts w:ascii="Sylfaen" w:eastAsia="Calibri" w:hAnsi="Sylfaen"/>
                <w:sz w:val="20"/>
                <w:szCs w:val="20"/>
                <w:lang w:val="ka-GE"/>
              </w:rPr>
            </w:pPr>
            <w:r w:rsidRPr="001D29A2">
              <w:rPr>
                <w:rFonts w:ascii="Sylfaen" w:eastAsia="Calibri" w:hAnsi="Sylfaen"/>
                <w:sz w:val="20"/>
                <w:szCs w:val="20"/>
                <w:lang w:val="ka-GE"/>
              </w:rPr>
              <w:t>Number of commission meetings.</w:t>
            </w:r>
          </w:p>
        </w:tc>
        <w:tc>
          <w:tcPr>
            <w:tcW w:w="2229" w:type="dxa"/>
          </w:tcPr>
          <w:p w:rsidR="002C727D" w:rsidRPr="001D29A2" w:rsidRDefault="002C727D" w:rsidP="002C727D">
            <w:pPr>
              <w:rPr>
                <w:rFonts w:ascii="Sylfaen" w:eastAsia="Calibri" w:hAnsi="Sylfaen"/>
                <w:sz w:val="20"/>
                <w:szCs w:val="20"/>
                <w:lang w:val="ka-GE"/>
              </w:rPr>
            </w:pPr>
            <w:r w:rsidRPr="001D29A2">
              <w:rPr>
                <w:rFonts w:ascii="Sylfaen" w:eastAsia="Calibri" w:hAnsi="Sylfaen"/>
                <w:sz w:val="20"/>
                <w:szCs w:val="20"/>
                <w:lang w:val="ka-GE"/>
              </w:rPr>
              <w:t xml:space="preserve">Ministry of </w:t>
            </w:r>
            <w:r>
              <w:rPr>
                <w:rFonts w:ascii="Sylfaen" w:eastAsia="Calibri" w:hAnsi="Sylfaen"/>
                <w:sz w:val="20"/>
                <w:szCs w:val="20"/>
              </w:rPr>
              <w:t xml:space="preserve">Internally Displaced Persons from the Occupied Territories, </w:t>
            </w:r>
            <w:r w:rsidRPr="001D29A2">
              <w:rPr>
                <w:rFonts w:ascii="Sylfaen" w:eastAsia="Calibri" w:hAnsi="Sylfaen"/>
                <w:sz w:val="20"/>
                <w:szCs w:val="20"/>
                <w:lang w:val="ka-GE"/>
              </w:rPr>
              <w:t>Labour, Health and Social Affairs of Georgia</w:t>
            </w:r>
          </w:p>
          <w:p w:rsidR="002C727D" w:rsidRDefault="002C727D" w:rsidP="002C727D">
            <w:pPr>
              <w:rPr>
                <w:rFonts w:ascii="Sylfaen" w:eastAsia="Calibri" w:hAnsi="Sylfaen"/>
                <w:sz w:val="20"/>
                <w:szCs w:val="20"/>
                <w:lang w:val="ka-GE"/>
              </w:rPr>
            </w:pPr>
          </w:p>
          <w:p w:rsidR="002C727D" w:rsidRPr="001D29A2" w:rsidRDefault="002C727D" w:rsidP="002C727D">
            <w:pPr>
              <w:rPr>
                <w:rFonts w:ascii="Sylfaen" w:eastAsia="Calibri" w:hAnsi="Sylfaen"/>
                <w:sz w:val="20"/>
                <w:szCs w:val="20"/>
                <w:lang w:val="ka-GE"/>
              </w:rPr>
            </w:pPr>
            <w:r w:rsidRPr="004A1BFD">
              <w:rPr>
                <w:rFonts w:ascii="Sylfaen" w:eastAsia="Calibri" w:hAnsi="Sylfaen"/>
                <w:sz w:val="20"/>
                <w:szCs w:val="20"/>
                <w:lang w:val="ka-GE"/>
              </w:rPr>
              <w:t>Tripartite Social Partnership Commission</w:t>
            </w:r>
          </w:p>
        </w:tc>
        <w:tc>
          <w:tcPr>
            <w:tcW w:w="1938" w:type="dxa"/>
          </w:tcPr>
          <w:p w:rsidR="002C727D" w:rsidRPr="001D29A2" w:rsidRDefault="002C727D" w:rsidP="002C727D">
            <w:pPr>
              <w:rPr>
                <w:rFonts w:ascii="Sylfaen" w:eastAsia="Calibri" w:hAnsi="Sylfaen"/>
                <w:sz w:val="20"/>
                <w:szCs w:val="20"/>
                <w:lang w:val="ka-GE"/>
              </w:rPr>
            </w:pPr>
            <w:r>
              <w:rPr>
                <w:rFonts w:ascii="Sylfaen" w:eastAsia="Calibri" w:hAnsi="Sylfaen"/>
                <w:sz w:val="20"/>
                <w:szCs w:val="20"/>
              </w:rPr>
              <w:t>State budget</w:t>
            </w:r>
          </w:p>
        </w:tc>
        <w:tc>
          <w:tcPr>
            <w:tcW w:w="1653" w:type="dxa"/>
          </w:tcPr>
          <w:p w:rsidR="002C727D" w:rsidRPr="00CC5CD8" w:rsidRDefault="002C727D" w:rsidP="002C727D">
            <w:pPr>
              <w:jc w:val="both"/>
              <w:rPr>
                <w:rFonts w:ascii="Times New Roman" w:hAnsi="Times New Roman"/>
                <w:sz w:val="20"/>
                <w:szCs w:val="20"/>
              </w:rPr>
            </w:pPr>
          </w:p>
        </w:tc>
      </w:tr>
      <w:tr w:rsidR="006D3D88" w:rsidTr="008F4C95">
        <w:trPr>
          <w:jc w:val="center"/>
        </w:trPr>
        <w:tc>
          <w:tcPr>
            <w:tcW w:w="383" w:type="dxa"/>
          </w:tcPr>
          <w:p w:rsidR="006D3D88" w:rsidRPr="006D3D88" w:rsidRDefault="006D3D88" w:rsidP="008F4C95">
            <w:pPr>
              <w:rPr>
                <w:rFonts w:ascii="Sylfaen" w:hAnsi="Sylfaen"/>
                <w:sz w:val="18"/>
              </w:rPr>
            </w:pPr>
            <w:r>
              <w:rPr>
                <w:rFonts w:ascii="Sylfaen" w:hAnsi="Sylfaen"/>
                <w:sz w:val="18"/>
              </w:rPr>
              <w:lastRenderedPageBreak/>
              <w:t>1</w:t>
            </w:r>
          </w:p>
        </w:tc>
        <w:tc>
          <w:tcPr>
            <w:tcW w:w="2617" w:type="dxa"/>
          </w:tcPr>
          <w:p w:rsidR="006D3D88" w:rsidRPr="000E6330" w:rsidRDefault="006D3D88" w:rsidP="008F4C95">
            <w:pPr>
              <w:jc w:val="both"/>
              <w:rPr>
                <w:lang w:val="ka-GE"/>
              </w:rPr>
            </w:pPr>
            <w:r w:rsidRPr="006D3D88">
              <w:rPr>
                <w:rFonts w:ascii="Sylfaen" w:hAnsi="Sylfaen"/>
                <w:bCs/>
                <w:sz w:val="20"/>
                <w:szCs w:val="20"/>
                <w:shd w:val="clear" w:color="auto" w:fill="FFFFFF"/>
              </w:rPr>
              <w:t>2.5 trade and trade-related issues: the elaboration of the legislation, which is the obligation of Georgia in accordance with the Association Agreement on Technical Barriers to Trade (TBT) strategy.</w:t>
            </w:r>
          </w:p>
        </w:tc>
        <w:tc>
          <w:tcPr>
            <w:tcW w:w="2223" w:type="dxa"/>
            <w:gridSpan w:val="2"/>
          </w:tcPr>
          <w:p w:rsidR="006D3D88" w:rsidRPr="006D3D88" w:rsidRDefault="006D3D88" w:rsidP="008F4C95">
            <w:pPr>
              <w:jc w:val="both"/>
              <w:rPr>
                <w:rFonts w:ascii="Sylfaen" w:hAnsi="Sylfaen"/>
                <w:bCs/>
                <w:sz w:val="20"/>
                <w:szCs w:val="20"/>
                <w:shd w:val="clear" w:color="auto" w:fill="FFFFFF"/>
              </w:rPr>
            </w:pPr>
            <w:r w:rsidRPr="006D3D88">
              <w:rPr>
                <w:rFonts w:ascii="Sylfaen" w:hAnsi="Sylfaen"/>
                <w:bCs/>
                <w:sz w:val="20"/>
                <w:szCs w:val="20"/>
                <w:shd w:val="clear" w:color="auto" w:fill="FFFFFF"/>
              </w:rPr>
              <w:t>Appendix III-A of the Association Agreement with the purpose of preparation/adoption of relevant technical regulations:</w:t>
            </w:r>
          </w:p>
          <w:p w:rsidR="006D3D88" w:rsidRPr="006D3D88" w:rsidRDefault="006D3D88" w:rsidP="008F4C95">
            <w:pPr>
              <w:jc w:val="both"/>
              <w:rPr>
                <w:rFonts w:ascii="Sylfaen" w:hAnsi="Sylfaen"/>
                <w:bCs/>
                <w:sz w:val="20"/>
                <w:szCs w:val="20"/>
                <w:shd w:val="clear" w:color="auto" w:fill="FFFFFF"/>
              </w:rPr>
            </w:pPr>
            <w:r w:rsidRPr="006D3D88">
              <w:rPr>
                <w:rFonts w:ascii="Sylfaen" w:hAnsi="Sylfaen"/>
                <w:bCs/>
                <w:sz w:val="20"/>
                <w:szCs w:val="20"/>
                <w:shd w:val="clear" w:color="auto" w:fill="FFFFFF"/>
              </w:rPr>
              <w:t>A) Working group formation;</w:t>
            </w:r>
          </w:p>
          <w:p w:rsidR="006D3D88" w:rsidRPr="006D3D88" w:rsidRDefault="006D3D88" w:rsidP="008F4C95">
            <w:pPr>
              <w:jc w:val="both"/>
              <w:rPr>
                <w:rFonts w:ascii="Sylfaen" w:hAnsi="Sylfaen"/>
                <w:bCs/>
                <w:sz w:val="20"/>
                <w:szCs w:val="20"/>
                <w:shd w:val="clear" w:color="auto" w:fill="FFFFFF"/>
              </w:rPr>
            </w:pPr>
            <w:r w:rsidRPr="006D3D88">
              <w:rPr>
                <w:rFonts w:ascii="Sylfaen" w:hAnsi="Sylfaen"/>
                <w:bCs/>
                <w:sz w:val="20"/>
                <w:szCs w:val="20"/>
                <w:shd w:val="clear" w:color="auto" w:fill="FFFFFF"/>
              </w:rPr>
              <w:t>B) Assessment of the situation in the working group regarding the obligations defined by the Association Agreement;</w:t>
            </w:r>
          </w:p>
          <w:p w:rsidR="006D3D88" w:rsidRPr="006A7C75" w:rsidRDefault="006D3D88" w:rsidP="008F4C95">
            <w:pPr>
              <w:jc w:val="both"/>
            </w:pPr>
            <w:r w:rsidRPr="006D3D88">
              <w:rPr>
                <w:rFonts w:ascii="Sylfaen" w:hAnsi="Sylfaen"/>
                <w:bCs/>
                <w:sz w:val="20"/>
                <w:szCs w:val="20"/>
                <w:shd w:val="clear" w:color="auto" w:fill="FFFFFF"/>
              </w:rPr>
              <w:t>c) translation of euro directives.</w:t>
            </w:r>
          </w:p>
        </w:tc>
        <w:tc>
          <w:tcPr>
            <w:tcW w:w="1944" w:type="dxa"/>
          </w:tcPr>
          <w:p w:rsidR="006D3D88" w:rsidRPr="000E6330" w:rsidRDefault="006D3D88" w:rsidP="008F4C95">
            <w:pPr>
              <w:jc w:val="both"/>
              <w:rPr>
                <w:lang w:val="ka-GE"/>
              </w:rPr>
            </w:pPr>
            <w:r w:rsidRPr="006D3D88">
              <w:rPr>
                <w:rFonts w:ascii="Sylfaen" w:hAnsi="Sylfaen"/>
                <w:bCs/>
                <w:sz w:val="20"/>
                <w:szCs w:val="20"/>
                <w:shd w:val="clear" w:color="auto" w:fill="FFFFFF"/>
              </w:rPr>
              <w:t>Appendix III-A of the Association Agreement, the basis for the preparation of relevant technical regulations has been developed</w:t>
            </w:r>
          </w:p>
        </w:tc>
        <w:tc>
          <w:tcPr>
            <w:tcW w:w="2138" w:type="dxa"/>
          </w:tcPr>
          <w:p w:rsidR="006D3D88" w:rsidRPr="006D3D88" w:rsidRDefault="006D3D88" w:rsidP="008F4C95">
            <w:pPr>
              <w:jc w:val="both"/>
              <w:rPr>
                <w:rFonts w:ascii="Sylfaen" w:hAnsi="Sylfaen"/>
                <w:bCs/>
                <w:sz w:val="20"/>
                <w:szCs w:val="20"/>
                <w:shd w:val="clear" w:color="auto" w:fill="FFFFFF"/>
              </w:rPr>
            </w:pPr>
            <w:r w:rsidRPr="006D3D88">
              <w:rPr>
                <w:rFonts w:ascii="Sylfaen" w:hAnsi="Sylfaen"/>
                <w:bCs/>
                <w:sz w:val="20"/>
                <w:szCs w:val="20"/>
                <w:shd w:val="clear" w:color="auto" w:fill="FFFFFF"/>
              </w:rPr>
              <w:t>By June 1, 2019 the Working Group was created;</w:t>
            </w:r>
          </w:p>
          <w:p w:rsidR="006D3D88" w:rsidRPr="006D3D88" w:rsidRDefault="006D3D88" w:rsidP="008F4C95">
            <w:pPr>
              <w:jc w:val="both"/>
              <w:rPr>
                <w:rFonts w:ascii="Sylfaen" w:hAnsi="Sylfaen"/>
                <w:bCs/>
                <w:sz w:val="20"/>
                <w:szCs w:val="20"/>
                <w:shd w:val="clear" w:color="auto" w:fill="FFFFFF"/>
              </w:rPr>
            </w:pPr>
          </w:p>
          <w:p w:rsidR="006D3D88" w:rsidRPr="006D3D88" w:rsidRDefault="006D3D88" w:rsidP="008F4C95">
            <w:pPr>
              <w:jc w:val="both"/>
              <w:rPr>
                <w:rFonts w:ascii="Sylfaen" w:hAnsi="Sylfaen"/>
                <w:bCs/>
                <w:sz w:val="20"/>
                <w:szCs w:val="20"/>
                <w:shd w:val="clear" w:color="auto" w:fill="FFFFFF"/>
              </w:rPr>
            </w:pPr>
            <w:r w:rsidRPr="006D3D88">
              <w:rPr>
                <w:rFonts w:ascii="Sylfaen" w:hAnsi="Sylfaen"/>
                <w:bCs/>
                <w:sz w:val="20"/>
                <w:szCs w:val="20"/>
                <w:shd w:val="clear" w:color="auto" w:fill="FFFFFF"/>
              </w:rPr>
              <w:t>By October 1, 2019, the current situation In the direction of medical devices in Georgia is estimated by the working group;</w:t>
            </w:r>
          </w:p>
          <w:p w:rsidR="006D3D88" w:rsidRPr="006D3D88" w:rsidRDefault="006D3D88" w:rsidP="008F4C95">
            <w:pPr>
              <w:jc w:val="both"/>
              <w:rPr>
                <w:rFonts w:ascii="Sylfaen" w:hAnsi="Sylfaen"/>
                <w:bCs/>
                <w:sz w:val="20"/>
                <w:szCs w:val="20"/>
                <w:shd w:val="clear" w:color="auto" w:fill="FFFFFF"/>
              </w:rPr>
            </w:pPr>
          </w:p>
          <w:p w:rsidR="006D3D88" w:rsidRPr="006D3D88" w:rsidRDefault="006D3D88" w:rsidP="008F4C95">
            <w:pPr>
              <w:jc w:val="both"/>
              <w:rPr>
                <w:rFonts w:ascii="Sylfaen" w:hAnsi="Sylfaen"/>
                <w:bCs/>
                <w:sz w:val="20"/>
                <w:szCs w:val="20"/>
                <w:shd w:val="clear" w:color="auto" w:fill="FFFFFF"/>
              </w:rPr>
            </w:pPr>
            <w:r w:rsidRPr="006D3D88">
              <w:rPr>
                <w:rFonts w:ascii="Sylfaen" w:hAnsi="Sylfaen"/>
                <w:bCs/>
                <w:sz w:val="20"/>
                <w:szCs w:val="20"/>
                <w:shd w:val="clear" w:color="auto" w:fill="FFFFFF"/>
              </w:rPr>
              <w:t>By December 31, 2019, Georgian translation of directives (REGULATION (EU) 2017/745 OF THE EUROPEAN PARLIAMENT AND OF THE COUNCIL</w:t>
            </w:r>
          </w:p>
          <w:p w:rsidR="006D3D88" w:rsidRPr="006D3D88" w:rsidRDefault="006D3D88" w:rsidP="008F4C95">
            <w:pPr>
              <w:jc w:val="both"/>
              <w:rPr>
                <w:rFonts w:ascii="Sylfaen" w:hAnsi="Sylfaen"/>
                <w:bCs/>
                <w:sz w:val="20"/>
                <w:szCs w:val="20"/>
                <w:shd w:val="clear" w:color="auto" w:fill="FFFFFF"/>
              </w:rPr>
            </w:pPr>
            <w:r w:rsidRPr="006D3D88">
              <w:rPr>
                <w:rFonts w:ascii="Sylfaen" w:hAnsi="Sylfaen"/>
                <w:bCs/>
                <w:sz w:val="20"/>
                <w:szCs w:val="20"/>
                <w:shd w:val="clear" w:color="auto" w:fill="FFFFFF"/>
              </w:rPr>
              <w:t>of 5 April 2017</w:t>
            </w:r>
          </w:p>
          <w:p w:rsidR="006D3D88" w:rsidRPr="006D3D88" w:rsidRDefault="006D3D88" w:rsidP="008F4C95">
            <w:pPr>
              <w:jc w:val="both"/>
              <w:rPr>
                <w:rFonts w:ascii="Sylfaen" w:hAnsi="Sylfaen"/>
                <w:bCs/>
                <w:sz w:val="20"/>
                <w:szCs w:val="20"/>
                <w:shd w:val="clear" w:color="auto" w:fill="FFFFFF"/>
              </w:rPr>
            </w:pPr>
            <w:r w:rsidRPr="006D3D88">
              <w:rPr>
                <w:rFonts w:ascii="Sylfaen" w:hAnsi="Sylfaen"/>
                <w:bCs/>
                <w:sz w:val="20"/>
                <w:szCs w:val="20"/>
                <w:shd w:val="clear" w:color="auto" w:fill="FFFFFF"/>
              </w:rPr>
              <w:t>on medical devices, amending Directive 2001/83/EC, Regulation (EC) No 178/2002 and</w:t>
            </w:r>
          </w:p>
          <w:p w:rsidR="006D3D88" w:rsidRPr="006D3D88" w:rsidRDefault="006D3D88" w:rsidP="008F4C95">
            <w:pPr>
              <w:jc w:val="both"/>
              <w:rPr>
                <w:rFonts w:ascii="Sylfaen" w:hAnsi="Sylfaen"/>
                <w:bCs/>
                <w:sz w:val="20"/>
                <w:szCs w:val="20"/>
                <w:shd w:val="clear" w:color="auto" w:fill="FFFFFF"/>
              </w:rPr>
            </w:pPr>
            <w:r w:rsidRPr="006D3D88">
              <w:rPr>
                <w:rFonts w:ascii="Sylfaen" w:hAnsi="Sylfaen"/>
                <w:bCs/>
                <w:sz w:val="20"/>
                <w:szCs w:val="20"/>
                <w:shd w:val="clear" w:color="auto" w:fill="FFFFFF"/>
              </w:rPr>
              <w:t xml:space="preserve">Regulation (EC) No 1223/2009 and repealing Council Directives 90/385/EEC and 93/42/EEC; REGULATION (EU) 2017/746 OF THE </w:t>
            </w:r>
            <w:r w:rsidRPr="006D3D88">
              <w:rPr>
                <w:rFonts w:ascii="Sylfaen" w:hAnsi="Sylfaen"/>
                <w:bCs/>
                <w:sz w:val="20"/>
                <w:szCs w:val="20"/>
                <w:shd w:val="clear" w:color="auto" w:fill="FFFFFF"/>
              </w:rPr>
              <w:lastRenderedPageBreak/>
              <w:t>EUROPEAN PARLIAMENT AND OF THE COUNCIL</w:t>
            </w:r>
          </w:p>
          <w:p w:rsidR="006D3D88" w:rsidRPr="006D3D88" w:rsidRDefault="006D3D88" w:rsidP="008F4C95">
            <w:pPr>
              <w:jc w:val="both"/>
              <w:rPr>
                <w:rFonts w:ascii="Sylfaen" w:hAnsi="Sylfaen"/>
                <w:bCs/>
                <w:sz w:val="20"/>
                <w:szCs w:val="20"/>
                <w:shd w:val="clear" w:color="auto" w:fill="FFFFFF"/>
              </w:rPr>
            </w:pPr>
            <w:r w:rsidRPr="006D3D88">
              <w:rPr>
                <w:rFonts w:ascii="Sylfaen" w:hAnsi="Sylfaen"/>
                <w:bCs/>
                <w:sz w:val="20"/>
                <w:szCs w:val="20"/>
                <w:shd w:val="clear" w:color="auto" w:fill="FFFFFF"/>
              </w:rPr>
              <w:t>of 5 April 2017</w:t>
            </w:r>
          </w:p>
          <w:p w:rsidR="006D3D88" w:rsidRPr="006D3D88" w:rsidRDefault="006D3D88" w:rsidP="008F4C95">
            <w:pPr>
              <w:jc w:val="both"/>
              <w:rPr>
                <w:rFonts w:ascii="Sylfaen" w:hAnsi="Sylfaen"/>
                <w:bCs/>
                <w:sz w:val="20"/>
                <w:szCs w:val="20"/>
                <w:shd w:val="clear" w:color="auto" w:fill="FFFFFF"/>
              </w:rPr>
            </w:pPr>
            <w:r w:rsidRPr="006D3D88">
              <w:rPr>
                <w:rFonts w:ascii="Sylfaen" w:hAnsi="Sylfaen"/>
                <w:bCs/>
                <w:sz w:val="20"/>
                <w:szCs w:val="20"/>
                <w:shd w:val="clear" w:color="auto" w:fill="FFFFFF"/>
              </w:rPr>
              <w:t>on in vitro diagnostic medical devices and repealing Directive 98/79/EC and Commission Decision</w:t>
            </w:r>
          </w:p>
          <w:p w:rsidR="006D3D88" w:rsidRPr="000E6330" w:rsidRDefault="006D3D88" w:rsidP="008F4C95">
            <w:pPr>
              <w:jc w:val="both"/>
              <w:rPr>
                <w:lang w:val="ka-GE"/>
              </w:rPr>
            </w:pPr>
            <w:r w:rsidRPr="006D3D88">
              <w:rPr>
                <w:rFonts w:ascii="Sylfaen" w:hAnsi="Sylfaen"/>
                <w:bCs/>
                <w:sz w:val="20"/>
                <w:szCs w:val="20"/>
                <w:shd w:val="clear" w:color="auto" w:fill="FFFFFF"/>
              </w:rPr>
              <w:t>2010/227/EU)  was prepared.</w:t>
            </w:r>
          </w:p>
        </w:tc>
        <w:tc>
          <w:tcPr>
            <w:tcW w:w="2229" w:type="dxa"/>
          </w:tcPr>
          <w:p w:rsidR="006D3D88" w:rsidRPr="006D3D88" w:rsidRDefault="006D3D88" w:rsidP="006D3D88">
            <w:pPr>
              <w:rPr>
                <w:rFonts w:ascii="Sylfaen" w:hAnsi="Sylfaen"/>
                <w:bCs/>
                <w:sz w:val="20"/>
                <w:szCs w:val="20"/>
                <w:shd w:val="clear" w:color="auto" w:fill="FFFFFF"/>
              </w:rPr>
            </w:pPr>
            <w:r w:rsidRPr="006D3D88">
              <w:rPr>
                <w:rFonts w:ascii="Sylfaen" w:hAnsi="Sylfaen"/>
                <w:bCs/>
                <w:sz w:val="20"/>
                <w:szCs w:val="20"/>
                <w:shd w:val="clear" w:color="auto" w:fill="FFFFFF"/>
              </w:rPr>
              <w:lastRenderedPageBreak/>
              <w:t>Ministry of Economy and Sustainable Development of Georgia</w:t>
            </w:r>
          </w:p>
          <w:p w:rsidR="006D3D88" w:rsidRPr="006D3D88" w:rsidRDefault="006D3D88" w:rsidP="008F4C95">
            <w:pPr>
              <w:jc w:val="both"/>
              <w:rPr>
                <w:rFonts w:ascii="Sylfaen" w:hAnsi="Sylfaen"/>
                <w:bCs/>
                <w:sz w:val="20"/>
                <w:szCs w:val="20"/>
                <w:shd w:val="clear" w:color="auto" w:fill="FFFFFF"/>
              </w:rPr>
            </w:pPr>
          </w:p>
          <w:p w:rsidR="006D3D88" w:rsidRPr="006D3D88" w:rsidRDefault="006D3D88" w:rsidP="006D3D88">
            <w:pPr>
              <w:rPr>
                <w:rFonts w:ascii="Sylfaen" w:hAnsi="Sylfaen"/>
                <w:bCs/>
                <w:sz w:val="20"/>
                <w:szCs w:val="20"/>
                <w:shd w:val="clear" w:color="auto" w:fill="FFFFFF"/>
              </w:rPr>
            </w:pPr>
            <w:r w:rsidRPr="006D3D88">
              <w:rPr>
                <w:rFonts w:ascii="Sylfaen" w:hAnsi="Sylfaen"/>
                <w:bCs/>
                <w:sz w:val="20"/>
                <w:szCs w:val="20"/>
                <w:shd w:val="clear" w:color="auto" w:fill="FFFFFF"/>
              </w:rPr>
              <w:t>Ministry of Internally Displaced Persons from the Occupied Territories Labour, Health and Social Affairs of Georgia</w:t>
            </w:r>
          </w:p>
          <w:p w:rsidR="006D3D88" w:rsidRPr="006D3D88" w:rsidRDefault="006D3D88" w:rsidP="008F4C95">
            <w:pPr>
              <w:jc w:val="both"/>
              <w:rPr>
                <w:rFonts w:ascii="Sylfaen" w:hAnsi="Sylfaen"/>
                <w:bCs/>
                <w:sz w:val="20"/>
                <w:szCs w:val="20"/>
                <w:shd w:val="clear" w:color="auto" w:fill="FFFFFF"/>
              </w:rPr>
            </w:pPr>
          </w:p>
          <w:p w:rsidR="006D3D88" w:rsidRPr="000E6330" w:rsidRDefault="006D3D88" w:rsidP="006D3D88">
            <w:pPr>
              <w:rPr>
                <w:lang w:val="ka-GE"/>
              </w:rPr>
            </w:pPr>
            <w:r w:rsidRPr="006D3D88">
              <w:rPr>
                <w:rFonts w:ascii="Sylfaen" w:hAnsi="Sylfaen"/>
                <w:bCs/>
                <w:sz w:val="20"/>
                <w:szCs w:val="20"/>
                <w:shd w:val="clear" w:color="auto" w:fill="FFFFFF"/>
              </w:rPr>
              <w:t>LEPL Technical and Construction Supervision Agency (TCSA)</w:t>
            </w:r>
          </w:p>
        </w:tc>
        <w:tc>
          <w:tcPr>
            <w:tcW w:w="1938" w:type="dxa"/>
          </w:tcPr>
          <w:p w:rsidR="006D3D88" w:rsidRPr="000E6330" w:rsidRDefault="006D3D88" w:rsidP="008F4C95">
            <w:pPr>
              <w:jc w:val="both"/>
              <w:rPr>
                <w:lang w:val="ka-GE"/>
              </w:rPr>
            </w:pPr>
            <w:r w:rsidRPr="006D3D88">
              <w:rPr>
                <w:rFonts w:ascii="Sylfaen" w:hAnsi="Sylfaen"/>
                <w:bCs/>
                <w:sz w:val="20"/>
                <w:szCs w:val="20"/>
                <w:shd w:val="clear" w:color="auto" w:fill="FFFFFF"/>
              </w:rPr>
              <w:t>State budget</w:t>
            </w:r>
          </w:p>
        </w:tc>
        <w:tc>
          <w:tcPr>
            <w:tcW w:w="1653" w:type="dxa"/>
          </w:tcPr>
          <w:p w:rsidR="006D3D88" w:rsidRPr="000E6330" w:rsidRDefault="006D3D88" w:rsidP="008F4C95">
            <w:pPr>
              <w:jc w:val="both"/>
              <w:rPr>
                <w:lang w:val="ka-GE"/>
              </w:rPr>
            </w:pPr>
          </w:p>
        </w:tc>
      </w:tr>
    </w:tbl>
    <w:p w:rsidR="006D3D88" w:rsidRDefault="006D3D88" w:rsidP="006D3D88"/>
    <w:p w:rsidR="001B5222" w:rsidRDefault="001B5222"/>
    <w:sectPr w:rsidR="001B5222" w:rsidSect="00F6137D">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007" w:rsidRDefault="00327007" w:rsidP="00010B20">
      <w:pPr>
        <w:spacing w:after="0" w:line="240" w:lineRule="auto"/>
      </w:pPr>
      <w:r>
        <w:separator/>
      </w:r>
    </w:p>
  </w:endnote>
  <w:endnote w:type="continuationSeparator" w:id="0">
    <w:p w:rsidR="00327007" w:rsidRDefault="00327007" w:rsidP="0001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B20" w:rsidRDefault="00010B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B20" w:rsidRDefault="00010B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B20" w:rsidRDefault="00010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007" w:rsidRDefault="00327007" w:rsidP="00010B20">
      <w:pPr>
        <w:spacing w:after="0" w:line="240" w:lineRule="auto"/>
      </w:pPr>
      <w:r>
        <w:separator/>
      </w:r>
    </w:p>
  </w:footnote>
  <w:footnote w:type="continuationSeparator" w:id="0">
    <w:p w:rsidR="00327007" w:rsidRDefault="00327007" w:rsidP="00010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B20" w:rsidRDefault="00010B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B20" w:rsidRPr="00010B20" w:rsidRDefault="00010B20" w:rsidP="00010B20">
    <w:pPr>
      <w:pStyle w:val="Header"/>
      <w:jc w:val="right"/>
      <w:rPr>
        <w:b/>
        <w:i/>
      </w:rPr>
    </w:pPr>
    <w:proofErr w:type="gramStart"/>
    <w:r w:rsidRPr="00010B20">
      <w:rPr>
        <w:b/>
        <w:i/>
      </w:rPr>
      <w:t>draft</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B20" w:rsidRDefault="00010B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7D"/>
    <w:rsid w:val="00010B20"/>
    <w:rsid w:val="001B5222"/>
    <w:rsid w:val="002C727D"/>
    <w:rsid w:val="003112ED"/>
    <w:rsid w:val="00327007"/>
    <w:rsid w:val="003B7CF8"/>
    <w:rsid w:val="006D3D88"/>
    <w:rsid w:val="006D7489"/>
    <w:rsid w:val="00AC1A09"/>
    <w:rsid w:val="00BE6AB6"/>
    <w:rsid w:val="00BF72FD"/>
    <w:rsid w:val="00C307F2"/>
    <w:rsid w:val="00D27F11"/>
    <w:rsid w:val="00F6137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0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B20"/>
  </w:style>
  <w:style w:type="paragraph" w:styleId="Footer">
    <w:name w:val="footer"/>
    <w:basedOn w:val="Normal"/>
    <w:link w:val="FooterChar"/>
    <w:uiPriority w:val="99"/>
    <w:unhideWhenUsed/>
    <w:rsid w:val="00010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0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B20"/>
  </w:style>
  <w:style w:type="paragraph" w:styleId="Footer">
    <w:name w:val="footer"/>
    <w:basedOn w:val="Normal"/>
    <w:link w:val="FooterChar"/>
    <w:uiPriority w:val="99"/>
    <w:unhideWhenUsed/>
    <w:rsid w:val="00010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935979">
      <w:bodyDiv w:val="1"/>
      <w:marLeft w:val="0"/>
      <w:marRight w:val="0"/>
      <w:marTop w:val="0"/>
      <w:marBottom w:val="0"/>
      <w:divBdr>
        <w:top w:val="none" w:sz="0" w:space="0" w:color="auto"/>
        <w:left w:val="none" w:sz="0" w:space="0" w:color="auto"/>
        <w:bottom w:val="none" w:sz="0" w:space="0" w:color="auto"/>
        <w:right w:val="none" w:sz="0" w:space="0" w:color="auto"/>
      </w:divBdr>
      <w:divsChild>
        <w:div w:id="1596093885">
          <w:marLeft w:val="0"/>
          <w:marRight w:val="0"/>
          <w:marTop w:val="0"/>
          <w:marBottom w:val="0"/>
          <w:divBdr>
            <w:top w:val="none" w:sz="0" w:space="0" w:color="auto"/>
            <w:left w:val="none" w:sz="0" w:space="0" w:color="auto"/>
            <w:bottom w:val="none" w:sz="0" w:space="0" w:color="auto"/>
            <w:right w:val="none" w:sz="0" w:space="0" w:color="auto"/>
          </w:divBdr>
        </w:div>
        <w:div w:id="278411520">
          <w:marLeft w:val="0"/>
          <w:marRight w:val="0"/>
          <w:marTop w:val="0"/>
          <w:marBottom w:val="0"/>
          <w:divBdr>
            <w:top w:val="none" w:sz="0" w:space="0" w:color="auto"/>
            <w:left w:val="none" w:sz="0" w:space="0" w:color="auto"/>
            <w:bottom w:val="none" w:sz="0" w:space="0" w:color="auto"/>
            <w:right w:val="none" w:sz="0" w:space="0" w:color="auto"/>
          </w:divBdr>
        </w:div>
        <w:div w:id="1038621957">
          <w:marLeft w:val="0"/>
          <w:marRight w:val="0"/>
          <w:marTop w:val="0"/>
          <w:marBottom w:val="0"/>
          <w:divBdr>
            <w:top w:val="none" w:sz="0" w:space="0" w:color="auto"/>
            <w:left w:val="none" w:sz="0" w:space="0" w:color="auto"/>
            <w:bottom w:val="none" w:sz="0" w:space="0" w:color="auto"/>
            <w:right w:val="none" w:sz="0" w:space="0" w:color="auto"/>
          </w:divBdr>
        </w:div>
        <w:div w:id="1389304461">
          <w:marLeft w:val="0"/>
          <w:marRight w:val="0"/>
          <w:marTop w:val="0"/>
          <w:marBottom w:val="0"/>
          <w:divBdr>
            <w:top w:val="none" w:sz="0" w:space="0" w:color="auto"/>
            <w:left w:val="none" w:sz="0" w:space="0" w:color="auto"/>
            <w:bottom w:val="none" w:sz="0" w:space="0" w:color="auto"/>
            <w:right w:val="none" w:sz="0" w:space="0" w:color="auto"/>
          </w:divBdr>
        </w:div>
        <w:div w:id="284891997">
          <w:marLeft w:val="0"/>
          <w:marRight w:val="0"/>
          <w:marTop w:val="0"/>
          <w:marBottom w:val="0"/>
          <w:divBdr>
            <w:top w:val="none" w:sz="0" w:space="0" w:color="auto"/>
            <w:left w:val="none" w:sz="0" w:space="0" w:color="auto"/>
            <w:bottom w:val="none" w:sz="0" w:space="0" w:color="auto"/>
            <w:right w:val="none" w:sz="0" w:space="0" w:color="auto"/>
          </w:divBdr>
        </w:div>
        <w:div w:id="1581869494">
          <w:marLeft w:val="0"/>
          <w:marRight w:val="0"/>
          <w:marTop w:val="0"/>
          <w:marBottom w:val="0"/>
          <w:divBdr>
            <w:top w:val="none" w:sz="0" w:space="0" w:color="auto"/>
            <w:left w:val="none" w:sz="0" w:space="0" w:color="auto"/>
            <w:bottom w:val="none" w:sz="0" w:space="0" w:color="auto"/>
            <w:right w:val="none" w:sz="0" w:space="0" w:color="auto"/>
          </w:divBdr>
        </w:div>
        <w:div w:id="137843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Tsikoridze</dc:creator>
  <cp:lastModifiedBy>Natia Nogaideli</cp:lastModifiedBy>
  <cp:revision>2</cp:revision>
  <dcterms:created xsi:type="dcterms:W3CDTF">2018-12-12T07:28:00Z</dcterms:created>
  <dcterms:modified xsi:type="dcterms:W3CDTF">2018-12-12T07:28:00Z</dcterms:modified>
</cp:coreProperties>
</file>