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00D" w:rsidRPr="00840D30" w:rsidRDefault="00E4300D" w:rsidP="00E4300D">
      <w:pPr>
        <w:pStyle w:val="Heading1"/>
        <w:spacing w:line="276" w:lineRule="auto"/>
        <w:jc w:val="center"/>
        <w:rPr>
          <w:rFonts w:ascii="Sylfaen" w:hAnsi="Sylfaen" w:cs="Sylfaen"/>
          <w:b/>
          <w:color w:val="auto"/>
          <w:sz w:val="20"/>
          <w:szCs w:val="20"/>
          <w:lang w:val="ka-GE"/>
        </w:rPr>
      </w:pPr>
      <w:r>
        <w:rPr>
          <w:rFonts w:ascii="Sylfaen" w:eastAsia="Helvetica" w:hAnsi="Sylfaen" w:cs="Helvetica"/>
          <w:b/>
          <w:color w:val="auto"/>
          <w:sz w:val="20"/>
          <w:szCs w:val="20"/>
          <w:lang w:val="ka-GE"/>
        </w:rPr>
        <w:t xml:space="preserve">ინფორმაცია </w:t>
      </w:r>
      <w:r w:rsidR="005918F7">
        <w:rPr>
          <w:rFonts w:ascii="Sylfaen" w:eastAsia="Helvetica" w:hAnsi="Sylfaen" w:cs="Helvetica"/>
          <w:b/>
          <w:color w:val="auto"/>
          <w:sz w:val="20"/>
          <w:szCs w:val="20"/>
          <w:lang w:val="ka-GE"/>
        </w:rPr>
        <w:t>„</w:t>
      </w:r>
      <w:r w:rsidRPr="00840D30">
        <w:rPr>
          <w:rFonts w:ascii="Sylfaen" w:eastAsia="Helvetica" w:hAnsi="Sylfaen" w:cs="Helvetica"/>
          <w:b/>
          <w:color w:val="auto"/>
          <w:sz w:val="20"/>
          <w:szCs w:val="20"/>
          <w:lang w:val="ka-GE"/>
        </w:rPr>
        <w:t>საქართველოს</w:t>
      </w:r>
      <w:r>
        <w:rPr>
          <w:rFonts w:ascii="Sylfaen" w:hAnsi="Sylfaen" w:cs="Sylfaen"/>
          <w:b/>
          <w:color w:val="auto"/>
          <w:sz w:val="20"/>
          <w:szCs w:val="20"/>
          <w:lang w:val="ka-GE"/>
        </w:rPr>
        <w:t xml:space="preserve"> 2020</w:t>
      </w:r>
      <w:r w:rsidRPr="00840D30">
        <w:rPr>
          <w:rFonts w:ascii="Sylfaen" w:hAnsi="Sylfaen" w:cs="Sylfaen"/>
          <w:b/>
          <w:color w:val="auto"/>
          <w:sz w:val="20"/>
          <w:szCs w:val="20"/>
          <w:lang w:val="ka-GE"/>
        </w:rPr>
        <w:t xml:space="preserve"> </w:t>
      </w:r>
      <w:r w:rsidRPr="00840D30">
        <w:rPr>
          <w:rFonts w:ascii="Sylfaen" w:eastAsia="Helvetica" w:hAnsi="Sylfaen" w:cs="Helvetica"/>
          <w:b/>
          <w:color w:val="auto"/>
          <w:sz w:val="20"/>
          <w:szCs w:val="20"/>
          <w:lang w:val="ka-GE"/>
        </w:rPr>
        <w:t>წლის</w:t>
      </w:r>
      <w:r>
        <w:rPr>
          <w:rFonts w:ascii="Sylfaen" w:eastAsia="Helvetica" w:hAnsi="Sylfaen" w:cs="Helvetica"/>
          <w:b/>
          <w:color w:val="auto"/>
          <w:sz w:val="20"/>
          <w:szCs w:val="20"/>
          <w:lang w:val="ka-GE"/>
        </w:rPr>
        <w:t xml:space="preserve"> სახელმწიფო </w:t>
      </w:r>
      <w:r w:rsidRPr="00840D30">
        <w:rPr>
          <w:rFonts w:ascii="Sylfaen" w:eastAsia="Helvetica" w:hAnsi="Sylfaen" w:cs="Helvetica"/>
          <w:b/>
          <w:color w:val="auto"/>
          <w:sz w:val="20"/>
          <w:szCs w:val="20"/>
          <w:lang w:val="ka-GE"/>
        </w:rPr>
        <w:t>ბიუჯეტის</w:t>
      </w:r>
      <w:r>
        <w:rPr>
          <w:rFonts w:ascii="Sylfaen" w:hAnsi="Sylfaen" w:cs="Sylfaen"/>
          <w:b/>
          <w:color w:val="auto"/>
          <w:sz w:val="20"/>
          <w:szCs w:val="20"/>
          <w:lang w:val="ka-GE"/>
        </w:rPr>
        <w:t xml:space="preserve"> შესახებ“ საქართველოს კანონის პროექტზე</w:t>
      </w:r>
      <w:r w:rsidRPr="00840D30">
        <w:rPr>
          <w:rFonts w:ascii="Sylfaen" w:hAnsi="Sylfaen" w:cs="Sylfaen"/>
          <w:b/>
          <w:color w:val="auto"/>
          <w:sz w:val="20"/>
          <w:szCs w:val="20"/>
          <w:lang w:val="ka-GE"/>
        </w:rPr>
        <w:t xml:space="preserve"> </w:t>
      </w:r>
      <w:r w:rsidRPr="00840D30">
        <w:rPr>
          <w:rFonts w:ascii="Sylfaen" w:eastAsia="Helvetica" w:hAnsi="Sylfaen" w:cs="Helvetica"/>
          <w:b/>
          <w:color w:val="auto"/>
          <w:sz w:val="20"/>
          <w:szCs w:val="20"/>
          <w:lang w:val="ka-GE"/>
        </w:rPr>
        <w:t>საქართველოს</w:t>
      </w:r>
      <w:r w:rsidRPr="00840D30">
        <w:rPr>
          <w:rFonts w:ascii="Sylfaen" w:hAnsi="Sylfaen"/>
          <w:b/>
          <w:color w:val="auto"/>
          <w:sz w:val="20"/>
          <w:szCs w:val="20"/>
          <w:lang w:val="ka-GE"/>
        </w:rPr>
        <w:t xml:space="preserve"> </w:t>
      </w:r>
      <w:r w:rsidRPr="00840D30">
        <w:rPr>
          <w:rFonts w:ascii="Sylfaen" w:eastAsia="Helvetica" w:hAnsi="Sylfaen" w:cs="Helvetica"/>
          <w:b/>
          <w:color w:val="auto"/>
          <w:sz w:val="20"/>
          <w:szCs w:val="20"/>
          <w:lang w:val="ka-GE"/>
        </w:rPr>
        <w:t>პარლამენტისა</w:t>
      </w:r>
      <w:r w:rsidRPr="00840D30">
        <w:rPr>
          <w:rFonts w:ascii="Sylfaen" w:hAnsi="Sylfaen"/>
          <w:b/>
          <w:color w:val="auto"/>
          <w:sz w:val="20"/>
          <w:szCs w:val="20"/>
          <w:lang w:val="ka-GE"/>
        </w:rPr>
        <w:t xml:space="preserve"> </w:t>
      </w:r>
      <w:r w:rsidRPr="00840D30">
        <w:rPr>
          <w:rFonts w:ascii="Sylfaen" w:eastAsia="Helvetica" w:hAnsi="Sylfaen" w:cs="Helvetica"/>
          <w:b/>
          <w:color w:val="auto"/>
          <w:sz w:val="20"/>
          <w:szCs w:val="20"/>
          <w:lang w:val="ka-GE"/>
        </w:rPr>
        <w:t>და</w:t>
      </w:r>
      <w:r w:rsidRPr="00840D30">
        <w:rPr>
          <w:rFonts w:ascii="Sylfaen" w:hAnsi="Sylfaen"/>
          <w:b/>
          <w:color w:val="auto"/>
          <w:sz w:val="20"/>
          <w:szCs w:val="20"/>
          <w:lang w:val="ka-GE"/>
        </w:rPr>
        <w:t xml:space="preserve"> </w:t>
      </w:r>
      <w:r w:rsidRPr="00840D30">
        <w:rPr>
          <w:rFonts w:ascii="Sylfaen" w:eastAsia="Helvetica" w:hAnsi="Sylfaen" w:cs="Helvetica"/>
          <w:b/>
          <w:color w:val="auto"/>
          <w:sz w:val="20"/>
          <w:szCs w:val="20"/>
          <w:lang w:val="ka-GE"/>
        </w:rPr>
        <w:t>სახელმწიფო</w:t>
      </w:r>
      <w:r w:rsidRPr="00840D30">
        <w:rPr>
          <w:rFonts w:ascii="Sylfaen" w:hAnsi="Sylfaen" w:cs="Sylfaen"/>
          <w:b/>
          <w:color w:val="auto"/>
          <w:sz w:val="20"/>
          <w:szCs w:val="20"/>
          <w:lang w:val="ka-GE"/>
        </w:rPr>
        <w:t xml:space="preserve"> </w:t>
      </w:r>
      <w:r w:rsidRPr="00840D30">
        <w:rPr>
          <w:rFonts w:ascii="Sylfaen" w:eastAsia="Helvetica" w:hAnsi="Sylfaen" w:cs="Helvetica"/>
          <w:b/>
          <w:color w:val="auto"/>
          <w:sz w:val="20"/>
          <w:szCs w:val="20"/>
          <w:lang w:val="ka-GE"/>
        </w:rPr>
        <w:t>აუდიტის</w:t>
      </w:r>
      <w:r w:rsidRPr="00840D30">
        <w:rPr>
          <w:rFonts w:ascii="Sylfaen" w:hAnsi="Sylfaen" w:cs="Sylfaen"/>
          <w:b/>
          <w:color w:val="auto"/>
          <w:sz w:val="20"/>
          <w:szCs w:val="20"/>
          <w:lang w:val="ka-GE"/>
        </w:rPr>
        <w:t xml:space="preserve"> </w:t>
      </w:r>
      <w:r w:rsidRPr="00840D30">
        <w:rPr>
          <w:rFonts w:ascii="Sylfaen" w:eastAsia="Helvetica" w:hAnsi="Sylfaen" w:cs="Helvetica"/>
          <w:b/>
          <w:color w:val="auto"/>
          <w:sz w:val="20"/>
          <w:szCs w:val="20"/>
          <w:lang w:val="ka-GE"/>
        </w:rPr>
        <w:t>სამსახურის</w:t>
      </w:r>
      <w:r w:rsidRPr="00840D30">
        <w:rPr>
          <w:rFonts w:ascii="Sylfaen" w:hAnsi="Sylfaen" w:cs="Sylfaen"/>
          <w:b/>
          <w:color w:val="auto"/>
          <w:sz w:val="20"/>
          <w:szCs w:val="20"/>
          <w:lang w:val="ka-GE"/>
        </w:rPr>
        <w:t xml:space="preserve"> </w:t>
      </w:r>
      <w:r w:rsidRPr="00840D30">
        <w:rPr>
          <w:rFonts w:ascii="Sylfaen" w:eastAsia="Helvetica" w:hAnsi="Sylfaen" w:cs="Helvetica"/>
          <w:b/>
          <w:color w:val="auto"/>
          <w:sz w:val="20"/>
          <w:szCs w:val="20"/>
          <w:lang w:val="ka-GE"/>
        </w:rPr>
        <w:t>რეკომენდაციები</w:t>
      </w:r>
      <w:r>
        <w:rPr>
          <w:rFonts w:ascii="Sylfaen" w:eastAsia="Helvetica" w:hAnsi="Sylfaen" w:cs="Helvetica"/>
          <w:b/>
          <w:color w:val="auto"/>
          <w:sz w:val="20"/>
          <w:szCs w:val="20"/>
          <w:lang w:val="ka-GE"/>
        </w:rPr>
        <w:t>ს გათვალისწინების თაობაზე</w:t>
      </w:r>
    </w:p>
    <w:p w:rsidR="00E4300D" w:rsidRDefault="00E4300D">
      <w:pPr>
        <w:rPr>
          <w:rFonts w:ascii="Sylfaen" w:eastAsia="Helvetica" w:hAnsi="Sylfaen" w:cs="Helvetica"/>
          <w:b/>
          <w:sz w:val="20"/>
          <w:szCs w:val="20"/>
          <w:lang w:val="ka-GE"/>
        </w:rPr>
      </w:pPr>
    </w:p>
    <w:tbl>
      <w:tblPr>
        <w:tblStyle w:val="TableGrid"/>
        <w:tblW w:w="0" w:type="auto"/>
        <w:tblLook w:val="04A0" w:firstRow="1" w:lastRow="0" w:firstColumn="1" w:lastColumn="0" w:noHBand="0" w:noVBand="1"/>
      </w:tblPr>
      <w:tblGrid>
        <w:gridCol w:w="7128"/>
        <w:gridCol w:w="6048"/>
      </w:tblGrid>
      <w:tr w:rsidR="00E4300D" w:rsidTr="005918F7">
        <w:trPr>
          <w:trHeight w:val="413"/>
          <w:tblHeader/>
        </w:trPr>
        <w:tc>
          <w:tcPr>
            <w:tcW w:w="7128" w:type="dxa"/>
            <w:vAlign w:val="center"/>
          </w:tcPr>
          <w:p w:rsidR="00E4300D" w:rsidRDefault="00E4300D" w:rsidP="00E4300D">
            <w:pPr>
              <w:jc w:val="center"/>
              <w:rPr>
                <w:rFonts w:ascii="Sylfaen" w:eastAsia="Helvetica" w:hAnsi="Sylfaen" w:cs="Helvetica"/>
                <w:b/>
                <w:sz w:val="20"/>
                <w:szCs w:val="20"/>
                <w:lang w:val="ka-GE"/>
              </w:rPr>
            </w:pPr>
            <w:r>
              <w:rPr>
                <w:rFonts w:ascii="Sylfaen" w:eastAsia="Helvetica" w:hAnsi="Sylfaen" w:cs="Helvetica"/>
                <w:b/>
                <w:sz w:val="20"/>
                <w:szCs w:val="20"/>
                <w:lang w:val="ka-GE"/>
              </w:rPr>
              <w:br w:type="page"/>
            </w:r>
            <w:r w:rsidRPr="002A697D">
              <w:rPr>
                <w:rFonts w:ascii="Sylfaen" w:hAnsi="Sylfaen"/>
                <w:b/>
                <w:sz w:val="20"/>
                <w:szCs w:val="20"/>
                <w:lang w:val="ka-GE"/>
              </w:rPr>
              <w:t>რეკომენდაცია</w:t>
            </w:r>
          </w:p>
        </w:tc>
        <w:tc>
          <w:tcPr>
            <w:tcW w:w="6048" w:type="dxa"/>
            <w:vAlign w:val="center"/>
          </w:tcPr>
          <w:p w:rsidR="00E4300D" w:rsidRDefault="00E4300D" w:rsidP="00E4300D">
            <w:pPr>
              <w:jc w:val="center"/>
              <w:rPr>
                <w:rFonts w:ascii="Sylfaen" w:eastAsia="Helvetica" w:hAnsi="Sylfaen" w:cs="Helvetica"/>
                <w:b/>
                <w:sz w:val="20"/>
                <w:szCs w:val="20"/>
                <w:lang w:val="ka-GE"/>
              </w:rPr>
            </w:pPr>
            <w:r w:rsidRPr="002A697D">
              <w:rPr>
                <w:rFonts w:ascii="Sylfaen" w:hAnsi="Sylfaen"/>
                <w:b/>
                <w:sz w:val="20"/>
                <w:szCs w:val="20"/>
                <w:lang w:val="ka-GE"/>
              </w:rPr>
              <w:t>რეკომენდაციის გათვალისწინების შესაძლებლობა</w:t>
            </w:r>
          </w:p>
        </w:tc>
      </w:tr>
      <w:tr w:rsidR="00E4300D" w:rsidTr="005918F7">
        <w:tc>
          <w:tcPr>
            <w:tcW w:w="13176" w:type="dxa"/>
            <w:gridSpan w:val="2"/>
            <w:shd w:val="clear" w:color="auto" w:fill="C5E0B3" w:themeFill="accent6" w:themeFillTint="66"/>
            <w:vAlign w:val="center"/>
          </w:tcPr>
          <w:p w:rsidR="00E4300D" w:rsidRDefault="005918F7" w:rsidP="00E4300D">
            <w:pPr>
              <w:jc w:val="center"/>
              <w:rPr>
                <w:rFonts w:ascii="Sylfaen" w:eastAsia="Helvetica" w:hAnsi="Sylfaen" w:cs="Helvetica"/>
                <w:b/>
                <w:sz w:val="20"/>
                <w:szCs w:val="20"/>
                <w:lang w:val="ka-GE"/>
              </w:rPr>
            </w:pPr>
            <w:r>
              <w:rPr>
                <w:rFonts w:ascii="Sylfaen" w:hAnsi="Sylfaen"/>
                <w:b/>
                <w:sz w:val="20"/>
                <w:szCs w:val="20"/>
                <w:lang w:val="ka-GE"/>
              </w:rPr>
              <w:t xml:space="preserve">საქართველოს პარლამენტის </w:t>
            </w:r>
            <w:r w:rsidR="00E4300D" w:rsidRPr="002A697D">
              <w:rPr>
                <w:rFonts w:ascii="Sylfaen" w:hAnsi="Sylfaen"/>
                <w:b/>
                <w:sz w:val="20"/>
                <w:szCs w:val="20"/>
                <w:lang w:val="ka-GE"/>
              </w:rPr>
              <w:t>საფინანსო-საბიუჯეტო კომიტეტი</w:t>
            </w:r>
          </w:p>
        </w:tc>
      </w:tr>
      <w:tr w:rsidR="00E4300D" w:rsidTr="005918F7">
        <w:tc>
          <w:tcPr>
            <w:tcW w:w="7128" w:type="dxa"/>
          </w:tcPr>
          <w:p w:rsidR="00E4300D" w:rsidRPr="00DE68ED" w:rsidRDefault="00DE68ED" w:rsidP="00DE68ED">
            <w:pPr>
              <w:jc w:val="both"/>
              <w:rPr>
                <w:rFonts w:ascii="Sylfaen" w:eastAsia="Helvetica" w:hAnsi="Sylfaen" w:cs="Helvetica"/>
                <w:sz w:val="20"/>
                <w:szCs w:val="20"/>
                <w:lang w:val="ka-GE"/>
              </w:rPr>
            </w:pPr>
            <w:r w:rsidRPr="00DE68ED">
              <w:rPr>
                <w:rFonts w:ascii="Sylfaen" w:eastAsia="Helvetica" w:hAnsi="Sylfaen" w:cs="Helvetica"/>
                <w:sz w:val="20"/>
                <w:szCs w:val="20"/>
                <w:lang w:val="ka-GE"/>
              </w:rPr>
              <w:t>ბიუჯეტის საშემოსავლო ნაწილთან დაკავშირებით</w:t>
            </w:r>
            <w:r>
              <w:rPr>
                <w:rFonts w:ascii="Sylfaen" w:eastAsia="Helvetica" w:hAnsi="Sylfaen" w:cs="Helvetica"/>
                <w:sz w:val="20"/>
                <w:szCs w:val="20"/>
                <w:lang w:val="ka-GE"/>
              </w:rPr>
              <w:t xml:space="preserve"> </w:t>
            </w:r>
            <w:r w:rsidRPr="00DE68ED">
              <w:rPr>
                <w:rFonts w:ascii="Sylfaen" w:eastAsia="Helvetica" w:hAnsi="Sylfaen" w:cs="Helvetica"/>
                <w:sz w:val="20"/>
                <w:szCs w:val="20"/>
                <w:lang w:val="ka-GE"/>
              </w:rPr>
              <w:t>მიგვაჩნია, რომ მიმდინარე წლის განვლილი პერიოდის</w:t>
            </w:r>
            <w:r>
              <w:rPr>
                <w:rFonts w:ascii="Sylfaen" w:eastAsia="Helvetica" w:hAnsi="Sylfaen" w:cs="Helvetica"/>
                <w:sz w:val="20"/>
                <w:szCs w:val="20"/>
                <w:lang w:val="ka-GE"/>
              </w:rPr>
              <w:t xml:space="preserve"> </w:t>
            </w:r>
            <w:r w:rsidRPr="00DE68ED">
              <w:rPr>
                <w:rFonts w:ascii="Sylfaen" w:eastAsia="Helvetica" w:hAnsi="Sylfaen" w:cs="Helvetica"/>
                <w:sz w:val="20"/>
                <w:szCs w:val="20"/>
                <w:lang w:val="ka-GE"/>
              </w:rPr>
              <w:t>ეკონომიკური ზრდის წინასწარი მაჩვენებლის გათვალისწინებით</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მოსალოდნელია საგეგმო წელს მშპ-ს ნომინალური ზრდის ტემპი დიდი ალბათობით იყოს უფრო მაღალი, ვიდრე 2019 წლის საგეგმო მაჩვენებელია.</w:t>
            </w:r>
            <w:r w:rsidRPr="00DE68ED">
              <w:rPr>
                <w:rFonts w:ascii="Sylfaen" w:eastAsia="Helvetica" w:hAnsi="Sylfaen" w:cs="Helvetica"/>
                <w:sz w:val="20"/>
                <w:szCs w:val="20"/>
                <w:lang w:val="ka-GE"/>
              </w:rPr>
              <w:t xml:space="preserve"> ხოლო </w:t>
            </w:r>
            <w:r w:rsidRPr="00E25671">
              <w:rPr>
                <w:rFonts w:ascii="Sylfaen" w:eastAsia="Helvetica" w:hAnsi="Sylfaen" w:cs="Helvetica"/>
                <w:b/>
                <w:sz w:val="20"/>
                <w:szCs w:val="20"/>
                <w:lang w:val="ka-GE"/>
              </w:rPr>
              <w:t>მიმდინარე წლის მშპ-ს მაღალი მაჩვენებელი შესაძლებლობას მოგვცემს, 2020 წლისათვის მშპ-ს მოცულობა იყოს დაგეგმილზე მეტი, რაც დამატებითი საბიუჯეტო ფინანსური რესურსების მობილიზაციის საშუალება იქნება.</w:t>
            </w:r>
            <w:r w:rsidRPr="00DE68ED">
              <w:rPr>
                <w:rFonts w:ascii="Sylfaen" w:eastAsia="Helvetica" w:hAnsi="Sylfaen" w:cs="Helvetica"/>
                <w:sz w:val="20"/>
                <w:szCs w:val="20"/>
                <w:lang w:val="ka-GE"/>
              </w:rPr>
              <w:t xml:space="preserve"> შესაბამისად, მიგვაჩნია, რომ მთავრობამ ამ</w:t>
            </w:r>
            <w:r>
              <w:rPr>
                <w:rFonts w:ascii="Sylfaen" w:eastAsia="Helvetica" w:hAnsi="Sylfaen" w:cs="Helvetica"/>
                <w:sz w:val="20"/>
                <w:szCs w:val="20"/>
                <w:lang w:val="ka-GE"/>
              </w:rPr>
              <w:t xml:space="preserve"> </w:t>
            </w:r>
            <w:r w:rsidRPr="00DE68ED">
              <w:rPr>
                <w:rFonts w:ascii="Sylfaen" w:eastAsia="Helvetica" w:hAnsi="Sylfaen" w:cs="Helvetica"/>
                <w:sz w:val="20"/>
                <w:szCs w:val="20"/>
                <w:lang w:val="ka-GE"/>
              </w:rPr>
              <w:t>მიმართულებით უნდა გაგრძელოს მუშაობა.</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E25671" w:rsidRDefault="00E25671" w:rsidP="00E25671">
            <w:pPr>
              <w:jc w:val="both"/>
              <w:rPr>
                <w:rFonts w:ascii="Sylfaen" w:eastAsia="Helvetica" w:hAnsi="Sylfaen" w:cs="Helvetica"/>
                <w:sz w:val="20"/>
                <w:szCs w:val="20"/>
                <w:lang w:val="ka-GE"/>
              </w:rPr>
            </w:pPr>
            <w:r w:rsidRPr="00E25671">
              <w:rPr>
                <w:rFonts w:ascii="Sylfaen" w:eastAsia="Helvetica" w:hAnsi="Sylfaen" w:cs="Helvetica"/>
                <w:sz w:val="20"/>
                <w:szCs w:val="20"/>
                <w:lang w:val="ka-GE"/>
              </w:rPr>
              <w:t>ბავშვის უფლებათა კოდექსით გათვალისწინებული</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ვალდებულებების შესრულების მიზნით მიზანშეწონილია</w:t>
            </w:r>
            <w:r>
              <w:rPr>
                <w:rFonts w:ascii="Sylfaen" w:eastAsia="Helvetica" w:hAnsi="Sylfaen" w:cs="Helvetica"/>
                <w:sz w:val="20"/>
                <w:szCs w:val="20"/>
                <w:lang w:val="ka-GE"/>
              </w:rPr>
              <w:t xml:space="preserve"> </w:t>
            </w:r>
            <w:r w:rsidRPr="00E25671">
              <w:rPr>
                <w:rFonts w:ascii="Sylfaen" w:eastAsia="Helvetica" w:hAnsi="Sylfaen" w:cs="Helvetica"/>
                <w:b/>
                <w:sz w:val="20"/>
                <w:szCs w:val="20"/>
                <w:lang w:val="ka-GE"/>
              </w:rPr>
              <w:t>ფინანსური სახსრები მიმართული იყოს პრიორიტეტულად ბავშვთა უფლებების დაცვისა და მხარდაჭერის პროგრამების დაფინანსებისკენ.</w:t>
            </w:r>
            <w:r w:rsidRPr="00E25671">
              <w:rPr>
                <w:rFonts w:ascii="Sylfaen" w:eastAsia="Helvetica" w:hAnsi="Sylfaen" w:cs="Helvetica"/>
                <w:sz w:val="20"/>
                <w:szCs w:val="20"/>
                <w:lang w:val="ka-GE"/>
              </w:rPr>
              <w:t xml:space="preserve"> გარდა ამისა, აღნიშნული პროგრამების</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 xml:space="preserve">შეუფერხებლად განხორციელების მიზნით, </w:t>
            </w:r>
            <w:r w:rsidRPr="00E25671">
              <w:rPr>
                <w:rFonts w:ascii="Sylfaen" w:eastAsia="Helvetica" w:hAnsi="Sylfaen" w:cs="Helvetica"/>
                <w:b/>
                <w:sz w:val="20"/>
                <w:szCs w:val="20"/>
                <w:lang w:val="ka-GE"/>
              </w:rPr>
              <w:t>საჭიროა მოხდეს დამატებით ფინანსური რესურსის მობილიზება თვითმმართველობებისთვის;</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E25671" w:rsidRDefault="00E25671" w:rsidP="00E25671">
            <w:pPr>
              <w:jc w:val="both"/>
              <w:rPr>
                <w:rFonts w:ascii="Sylfaen" w:eastAsia="Helvetica" w:hAnsi="Sylfaen" w:cs="Helvetica"/>
                <w:sz w:val="20"/>
                <w:szCs w:val="20"/>
                <w:lang w:val="ka-GE"/>
              </w:rPr>
            </w:pPr>
            <w:r w:rsidRPr="00E25671">
              <w:rPr>
                <w:rFonts w:ascii="Sylfaen" w:eastAsia="Helvetica" w:hAnsi="Sylfaen" w:cs="Helvetica"/>
                <w:sz w:val="20"/>
                <w:szCs w:val="20"/>
                <w:lang w:val="ka-GE"/>
              </w:rPr>
              <w:t>მნიშვნელოვანია, რომ საქართველოს მთავრობის მიერ</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 xml:space="preserve">წარმოდგენილ </w:t>
            </w:r>
            <w:r w:rsidRPr="00E25671">
              <w:rPr>
                <w:rFonts w:ascii="Sylfaen" w:eastAsia="Helvetica" w:hAnsi="Sylfaen" w:cs="Helvetica"/>
                <w:b/>
                <w:sz w:val="20"/>
                <w:szCs w:val="20"/>
                <w:lang w:val="ka-GE"/>
              </w:rPr>
              <w:t>2020 წლის სახელმწიფო ბიუჯეტში გათვალისწინებულ იქნეს და ეტაპობრივად გაგრძელდეს სოციალური მუშაობის შესახებ საქართველოს კანონის შესაბამისად სოციალური მუშაკების რაოდენობისა და მათი ხელფასების ზრდა;</w:t>
            </w:r>
          </w:p>
        </w:tc>
        <w:tc>
          <w:tcPr>
            <w:tcW w:w="6048" w:type="dxa"/>
          </w:tcPr>
          <w:p w:rsidR="005918F7" w:rsidRPr="005918F7" w:rsidRDefault="005918F7" w:rsidP="005918F7">
            <w:pPr>
              <w:jc w:val="both"/>
              <w:rPr>
                <w:rFonts w:ascii="Sylfaen" w:eastAsia="Helvetica" w:hAnsi="Sylfaen" w:cs="Helvetica"/>
                <w:sz w:val="20"/>
                <w:szCs w:val="20"/>
                <w:lang w:val="ka-GE"/>
              </w:rPr>
            </w:pPr>
            <w:bookmarkStart w:id="0" w:name="_GoBack"/>
            <w:bookmarkEnd w:id="0"/>
            <w:r w:rsidRPr="005918F7">
              <w:rPr>
                <w:rFonts w:ascii="Sylfaen" w:eastAsia="Helvetica" w:hAnsi="Sylfaen" w:cs="Helvetica"/>
                <w:sz w:val="20"/>
                <w:szCs w:val="20"/>
                <w:lang w:val="ka-GE"/>
              </w:rPr>
              <w:t xml:space="preserve"> </w:t>
            </w:r>
          </w:p>
        </w:tc>
      </w:tr>
      <w:tr w:rsidR="00E4300D" w:rsidTr="005918F7">
        <w:tc>
          <w:tcPr>
            <w:tcW w:w="7128" w:type="dxa"/>
          </w:tcPr>
          <w:p w:rsidR="00E4300D" w:rsidRPr="00E25671" w:rsidRDefault="00E25671" w:rsidP="00E25671">
            <w:pPr>
              <w:jc w:val="both"/>
              <w:rPr>
                <w:rFonts w:ascii="Sylfaen" w:eastAsia="Helvetica" w:hAnsi="Sylfaen" w:cs="Helvetica"/>
                <w:sz w:val="20"/>
                <w:szCs w:val="20"/>
                <w:lang w:val="ka-GE"/>
              </w:rPr>
            </w:pPr>
            <w:r w:rsidRPr="00E25671">
              <w:rPr>
                <w:rFonts w:ascii="Sylfaen" w:eastAsia="Helvetica" w:hAnsi="Sylfaen" w:cs="Helvetica"/>
                <w:b/>
                <w:sz w:val="20"/>
                <w:szCs w:val="20"/>
                <w:lang w:val="ka-GE"/>
              </w:rPr>
              <w:t xml:space="preserve">სსიპ </w:t>
            </w:r>
            <w:r w:rsidR="005918F7">
              <w:rPr>
                <w:rFonts w:ascii="Sylfaen" w:eastAsia="Helvetica" w:hAnsi="Sylfaen" w:cs="Helvetica"/>
                <w:b/>
                <w:sz w:val="20"/>
                <w:szCs w:val="20"/>
                <w:lang w:val="ka-GE"/>
              </w:rPr>
              <w:t xml:space="preserve">- </w:t>
            </w:r>
            <w:r w:rsidRPr="00E25671">
              <w:rPr>
                <w:rFonts w:ascii="Sylfaen" w:eastAsia="Helvetica" w:hAnsi="Sylfaen" w:cs="Helvetica"/>
                <w:b/>
                <w:sz w:val="20"/>
                <w:szCs w:val="20"/>
                <w:lang w:val="ka-GE"/>
              </w:rPr>
              <w:t>იურიდიული დახმარების სამსახურის მანდატი 2020 წლისთვის მნიშვნელოვნად ფართოვდება.</w:t>
            </w:r>
            <w:r w:rsidRPr="00E25671">
              <w:rPr>
                <w:rFonts w:ascii="Sylfaen" w:eastAsia="Helvetica" w:hAnsi="Sylfaen" w:cs="Helvetica"/>
                <w:sz w:val="20"/>
                <w:szCs w:val="20"/>
                <w:lang w:val="ka-GE"/>
              </w:rPr>
              <w:t xml:space="preserve"> შესაბამისად</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სამსახურისთვის 2020 წლის ბიუჯეტის პროექტით გამოყოფილი ასიგნება 2019 წლის</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გეგმასთან შედარებით გაზრდილია</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მანდატით დაკისრებული მოვალეობების ჯეროვნად</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შესასრულებლად დამატებითი თანხების საჭიროების</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შემთხვევაში, მიზანშეწონილია გაიმართოს სამუშაო შეხვედრა</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იურიდიული დახმარების სამსახურთან ბიუჯეტის დაზუსტების</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მიზნით;</w:t>
            </w:r>
          </w:p>
        </w:tc>
        <w:tc>
          <w:tcPr>
            <w:tcW w:w="6048" w:type="dxa"/>
          </w:tcPr>
          <w:p w:rsidR="00E4300D" w:rsidRPr="00C9699A" w:rsidRDefault="00E4300D">
            <w:pPr>
              <w:rPr>
                <w:rFonts w:ascii="Sylfaen" w:eastAsia="Helvetica" w:hAnsi="Sylfaen" w:cs="Helvetica"/>
                <w:b/>
                <w:sz w:val="20"/>
                <w:szCs w:val="20"/>
              </w:rPr>
            </w:pPr>
          </w:p>
        </w:tc>
      </w:tr>
      <w:tr w:rsidR="00E4300D" w:rsidTr="005918F7">
        <w:tc>
          <w:tcPr>
            <w:tcW w:w="7128" w:type="dxa"/>
          </w:tcPr>
          <w:p w:rsidR="00E4300D" w:rsidRPr="00E25671" w:rsidRDefault="00E25671" w:rsidP="00E25671">
            <w:pPr>
              <w:jc w:val="both"/>
              <w:rPr>
                <w:rFonts w:ascii="Sylfaen" w:eastAsia="Helvetica" w:hAnsi="Sylfaen" w:cs="Helvetica"/>
                <w:sz w:val="20"/>
                <w:szCs w:val="20"/>
                <w:lang w:val="ka-GE"/>
              </w:rPr>
            </w:pPr>
            <w:r w:rsidRPr="00E25671">
              <w:rPr>
                <w:rFonts w:ascii="Sylfaen" w:eastAsia="Helvetica" w:hAnsi="Sylfaen" w:cs="Helvetica"/>
                <w:sz w:val="20"/>
                <w:szCs w:val="20"/>
                <w:lang w:val="ka-GE"/>
              </w:rPr>
              <w:t>2020 წლის სახელმწიფო ბიუჯეტის პროექტით</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გათვალისწინებული ფინანსური სახსრები, რომლებიც</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 xml:space="preserve">მიმართულია </w:t>
            </w:r>
            <w:r w:rsidRPr="00E25671">
              <w:rPr>
                <w:rFonts w:ascii="Sylfaen" w:eastAsia="Helvetica" w:hAnsi="Sylfaen" w:cs="Helvetica"/>
                <w:b/>
                <w:sz w:val="20"/>
                <w:szCs w:val="20"/>
                <w:lang w:val="ka-GE"/>
              </w:rPr>
              <w:t xml:space="preserve">შშმ პირების ჯანმრთელობის დაცვისა და მხარდაჭერისკენ, გადანაწილდეს იმგვარად, </w:t>
            </w:r>
            <w:r w:rsidRPr="00E25671">
              <w:rPr>
                <w:rFonts w:ascii="Sylfaen" w:eastAsia="Helvetica" w:hAnsi="Sylfaen" w:cs="Helvetica"/>
                <w:b/>
                <w:sz w:val="20"/>
                <w:szCs w:val="20"/>
                <w:lang w:val="ka-GE"/>
              </w:rPr>
              <w:lastRenderedPageBreak/>
              <w:t>რომ საყოველთაო ჯანდაცვის პროგრამის ფარგლებში მოხდეს შშმ ბავშვებისთვის სტომატოლოგიური მომსახურება</w:t>
            </w:r>
            <w:r w:rsidRPr="00E25671">
              <w:rPr>
                <w:rFonts w:ascii="Sylfaen" w:eastAsia="Helvetica" w:hAnsi="Sylfaen" w:cs="Helvetica"/>
                <w:sz w:val="20"/>
                <w:szCs w:val="20"/>
                <w:lang w:val="ka-GE"/>
              </w:rPr>
              <w:t>. ასევე, შესაბამისი ფინანსური</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რესურსებით უზრუნველყოფილ იქნეს 2020 წლისთვის დაგეგმილ</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პარაოლიმპიურ თამაშებში საქართველოს პარაოლიმპიელების</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გაზრდილი ჩართულობა</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E25671" w:rsidRDefault="00E25671" w:rsidP="00E25671">
            <w:pPr>
              <w:jc w:val="both"/>
              <w:rPr>
                <w:rFonts w:ascii="Sylfaen" w:eastAsia="Helvetica" w:hAnsi="Sylfaen" w:cs="Helvetica"/>
                <w:sz w:val="20"/>
                <w:szCs w:val="20"/>
                <w:lang w:val="ka-GE"/>
              </w:rPr>
            </w:pPr>
            <w:r w:rsidRPr="00E25671">
              <w:rPr>
                <w:rFonts w:ascii="Sylfaen" w:eastAsia="Helvetica" w:hAnsi="Sylfaen" w:cs="Helvetica"/>
                <w:sz w:val="20"/>
                <w:szCs w:val="20"/>
                <w:lang w:val="ka-GE"/>
              </w:rPr>
              <w:t xml:space="preserve">სახელმწიფო ქვეპროგრამების </w:t>
            </w:r>
            <w:r w:rsidRPr="00E25671">
              <w:rPr>
                <w:rFonts w:ascii="Sylfaen" w:eastAsia="Helvetica" w:hAnsi="Sylfaen" w:cs="Helvetica"/>
                <w:b/>
                <w:sz w:val="20"/>
                <w:szCs w:val="20"/>
                <w:lang w:val="ka-GE"/>
              </w:rPr>
              <w:t>„ტუბერკულოზის მართვა“ და „აივ ინფექცია შიდსი“,</w:t>
            </w:r>
            <w:r w:rsidRPr="00E25671">
              <w:rPr>
                <w:rFonts w:ascii="Sylfaen" w:eastAsia="Helvetica" w:hAnsi="Sylfaen" w:cs="Helvetica"/>
                <w:sz w:val="20"/>
                <w:szCs w:val="20"/>
                <w:lang w:val="ka-GE"/>
              </w:rPr>
              <w:t xml:space="preserve"> </w:t>
            </w:r>
            <w:r w:rsidRPr="00E25671">
              <w:rPr>
                <w:rFonts w:ascii="Sylfaen" w:eastAsia="Helvetica" w:hAnsi="Sylfaen" w:cs="Helvetica"/>
                <w:b/>
                <w:sz w:val="20"/>
                <w:szCs w:val="20"/>
                <w:lang w:val="ka-GE"/>
              </w:rPr>
              <w:t>გლობალური ფონდის პროექტიდან ხდება ფინანსური ვალდებულებების თანდათანობითი გადმობარება სახელმწიფოს მიერ,</w:t>
            </w:r>
            <w:r w:rsidRPr="00E25671">
              <w:rPr>
                <w:rFonts w:ascii="Sylfaen" w:eastAsia="Helvetica" w:hAnsi="Sylfaen" w:cs="Helvetica"/>
                <w:sz w:val="20"/>
                <w:szCs w:val="20"/>
                <w:lang w:val="ka-GE"/>
              </w:rPr>
              <w:t xml:space="preserve"> რაც</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მოითხოვს სახელმწიფოს მხრიდან დამატებით თანხებს</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პროექტების შეუფერხებელი განხორციელებისთვის</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 xml:space="preserve">მიზანშეწონილია </w:t>
            </w:r>
            <w:r w:rsidRPr="00E25671">
              <w:rPr>
                <w:rFonts w:ascii="Sylfaen" w:eastAsia="Helvetica" w:hAnsi="Sylfaen" w:cs="Helvetica"/>
                <w:b/>
                <w:sz w:val="20"/>
                <w:szCs w:val="20"/>
                <w:lang w:val="ka-GE"/>
              </w:rPr>
              <w:t>აღნიშნული ხარჯების დაფარვა მოხდეს ოკუპირებული ტერიტორიებიდან დევნილთა, შრომის, ჯანმრთელობისა და სოციალური დაცვის სამინისტროს ასიგნებებიდან;</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E25671" w:rsidRDefault="00E25671" w:rsidP="00E25671">
            <w:pPr>
              <w:jc w:val="both"/>
              <w:rPr>
                <w:rFonts w:ascii="Sylfaen" w:eastAsia="Helvetica" w:hAnsi="Sylfaen" w:cs="Helvetica"/>
                <w:sz w:val="20"/>
                <w:szCs w:val="20"/>
                <w:lang w:val="ka-GE"/>
              </w:rPr>
            </w:pPr>
            <w:r w:rsidRPr="00E25671">
              <w:rPr>
                <w:rFonts w:ascii="Sylfaen" w:eastAsia="Helvetica" w:hAnsi="Sylfaen" w:cs="Helvetica"/>
                <w:sz w:val="20"/>
                <w:szCs w:val="20"/>
                <w:lang w:val="ka-GE"/>
              </w:rPr>
              <w:t xml:space="preserve">სახელმწიფო ქვეპროგრამა </w:t>
            </w:r>
            <w:r w:rsidRPr="00E25671">
              <w:rPr>
                <w:rFonts w:ascii="Sylfaen" w:eastAsia="Helvetica" w:hAnsi="Sylfaen" w:cs="Helvetica"/>
                <w:b/>
                <w:sz w:val="20"/>
                <w:szCs w:val="20"/>
                <w:lang w:val="ka-GE"/>
              </w:rPr>
              <w:t>„უსაფრთხო სისხლი“ ქვეყანაში მაღალტექნოლოგიური NAT (ნუკლეინის მჟავას ტესტირების) ტესტირების სისხლის უსაფრთხოების გაუმჯობესების მიზნით,</w:t>
            </w:r>
            <w:r w:rsidRPr="00E25671">
              <w:rPr>
                <w:rFonts w:ascii="Sylfaen" w:eastAsia="Helvetica" w:hAnsi="Sylfaen" w:cs="Helvetica"/>
                <w:sz w:val="20"/>
                <w:szCs w:val="20"/>
                <w:lang w:val="ka-GE"/>
              </w:rPr>
              <w:t xml:space="preserve"> ცენტრის მიერ გლობალური ფონდის</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ფინანსური მხარდაჭერით 2019 წელს შესყიდულ იქნა ნუკლეინის</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მჟავას ტესტირების (NAT) ორი აპარატი, რომელიც წარმოადგენს</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სისხლის ტესტირების უახლეს მაღალტექნოლოგიურ</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მეთოდოლოგიას. აღნიშნული ტექნიკური აღჭურვილობით</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მიმდინარე წლის ბოლოს თბილისის სისხლის ბანკებში</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პილოტურად დაგეგმილი იყო სისხლის ცენტრალიზებულად</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ტესტირების პროექტის პილოტირება, ხოლო 2020 წლის</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დასაწყისიდან სავალდებულოდ დანერგვა ქვეყნის მასშტაბით</w:t>
            </w:r>
            <w:r>
              <w:rPr>
                <w:rFonts w:ascii="Sylfaen" w:eastAsia="Helvetica" w:hAnsi="Sylfaen" w:cs="Helvetica"/>
                <w:sz w:val="20"/>
                <w:szCs w:val="20"/>
                <w:lang w:val="ka-GE"/>
              </w:rPr>
              <w:t xml:space="preserve">. </w:t>
            </w:r>
            <w:r w:rsidRPr="00E25671">
              <w:rPr>
                <w:rFonts w:ascii="Sylfaen" w:eastAsia="Helvetica" w:hAnsi="Sylfaen" w:cs="Helvetica"/>
                <w:sz w:val="20"/>
                <w:szCs w:val="20"/>
                <w:lang w:val="ka-GE"/>
              </w:rPr>
              <w:t xml:space="preserve">აქედან გამომდინარე </w:t>
            </w:r>
            <w:r w:rsidRPr="00E25671">
              <w:rPr>
                <w:rFonts w:ascii="Sylfaen" w:eastAsia="Helvetica" w:hAnsi="Sylfaen" w:cs="Helvetica"/>
                <w:b/>
                <w:sz w:val="20"/>
                <w:szCs w:val="20"/>
                <w:lang w:val="ka-GE"/>
              </w:rPr>
              <w:t>მიზანშეწონილია პროგრამის ბიუჯეტის გაზრდა, ოკუპირებული ტერიტორიებიდან დევნილთა, შრომის, ჯანმრთელობისა და სოციალური დაცვის სამინისტროსათვის დამატებითი ასიგნებების გამოყოფის გარეშე;</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9B192D" w:rsidRDefault="009B192D" w:rsidP="009B192D">
            <w:pPr>
              <w:jc w:val="both"/>
              <w:rPr>
                <w:rFonts w:ascii="Sylfaen" w:eastAsia="Helvetica" w:hAnsi="Sylfaen" w:cs="Helvetica"/>
                <w:sz w:val="20"/>
                <w:szCs w:val="20"/>
                <w:lang w:val="ka-GE"/>
              </w:rPr>
            </w:pPr>
            <w:r w:rsidRPr="009B192D">
              <w:rPr>
                <w:rFonts w:ascii="Sylfaen" w:eastAsia="Helvetica" w:hAnsi="Sylfaen" w:cs="Helvetica"/>
                <w:sz w:val="20"/>
                <w:szCs w:val="20"/>
                <w:lang w:val="ka-GE"/>
              </w:rPr>
              <w:t>2020 წლიდან დაგეგმილია სახელმწიფო</w:t>
            </w:r>
            <w:r>
              <w:rPr>
                <w:rFonts w:ascii="Sylfaen" w:eastAsia="Helvetica" w:hAnsi="Sylfaen" w:cs="Helvetica"/>
                <w:sz w:val="20"/>
                <w:szCs w:val="20"/>
                <w:lang w:val="ka-GE"/>
              </w:rPr>
              <w:t xml:space="preserve"> </w:t>
            </w:r>
            <w:r w:rsidRPr="009B192D">
              <w:rPr>
                <w:rFonts w:ascii="Sylfaen" w:eastAsia="Helvetica" w:hAnsi="Sylfaen" w:cs="Helvetica"/>
                <w:sz w:val="20"/>
                <w:szCs w:val="20"/>
                <w:lang w:val="ka-GE"/>
              </w:rPr>
              <w:t xml:space="preserve">ქვეპროგრამის </w:t>
            </w:r>
            <w:r w:rsidRPr="009B192D">
              <w:rPr>
                <w:rFonts w:ascii="Sylfaen" w:eastAsia="Helvetica" w:hAnsi="Sylfaen" w:cs="Helvetica"/>
                <w:b/>
                <w:sz w:val="20"/>
                <w:szCs w:val="20"/>
                <w:lang w:val="ka-GE"/>
              </w:rPr>
              <w:t>დაავადებათა ადრეული გამოვლენისა და სკრინინგის პროგრამის გაფართოვება ქვეყნის მასშტაბით.</w:t>
            </w:r>
            <w:r>
              <w:rPr>
                <w:rFonts w:ascii="Sylfaen" w:eastAsia="Helvetica" w:hAnsi="Sylfaen" w:cs="Helvetica"/>
                <w:sz w:val="20"/>
                <w:szCs w:val="20"/>
                <w:lang w:val="ka-GE"/>
              </w:rPr>
              <w:t xml:space="preserve"> </w:t>
            </w:r>
            <w:r w:rsidRPr="009B192D">
              <w:rPr>
                <w:rFonts w:ascii="Sylfaen" w:eastAsia="Helvetica" w:hAnsi="Sylfaen" w:cs="Helvetica"/>
                <w:sz w:val="20"/>
                <w:szCs w:val="20"/>
                <w:lang w:val="ka-GE"/>
              </w:rPr>
              <w:t>შესაბამისად, ოკუპირებული ტერიტორიებიდან დევნილთა,</w:t>
            </w:r>
            <w:r>
              <w:rPr>
                <w:rFonts w:ascii="Sylfaen" w:eastAsia="Helvetica" w:hAnsi="Sylfaen" w:cs="Helvetica"/>
                <w:sz w:val="20"/>
                <w:szCs w:val="20"/>
                <w:lang w:val="ka-GE"/>
              </w:rPr>
              <w:t xml:space="preserve"> </w:t>
            </w:r>
            <w:r w:rsidRPr="009B192D">
              <w:rPr>
                <w:rFonts w:ascii="Sylfaen" w:eastAsia="Helvetica" w:hAnsi="Sylfaen" w:cs="Helvetica"/>
                <w:sz w:val="20"/>
                <w:szCs w:val="20"/>
                <w:lang w:val="ka-GE"/>
              </w:rPr>
              <w:t>შრომის, ჯანმრთელობისა და სოციალური დაცვის სამინისტროს</w:t>
            </w:r>
            <w:r>
              <w:rPr>
                <w:rFonts w:ascii="Sylfaen" w:eastAsia="Helvetica" w:hAnsi="Sylfaen" w:cs="Helvetica"/>
                <w:sz w:val="20"/>
                <w:szCs w:val="20"/>
                <w:lang w:val="ka-GE"/>
              </w:rPr>
              <w:t xml:space="preserve"> </w:t>
            </w:r>
            <w:r w:rsidRPr="009B192D">
              <w:rPr>
                <w:rFonts w:ascii="Sylfaen" w:eastAsia="Helvetica" w:hAnsi="Sylfaen" w:cs="Helvetica"/>
                <w:sz w:val="20"/>
                <w:szCs w:val="20"/>
                <w:lang w:val="ka-GE"/>
              </w:rPr>
              <w:t>ასიგნებების ფარგლებში გამოიძებნოს რესურსები ქვეპროგრამით</w:t>
            </w:r>
            <w:r>
              <w:rPr>
                <w:rFonts w:ascii="Sylfaen" w:eastAsia="Helvetica" w:hAnsi="Sylfaen" w:cs="Helvetica"/>
                <w:sz w:val="20"/>
                <w:szCs w:val="20"/>
                <w:lang w:val="ka-GE"/>
              </w:rPr>
              <w:t xml:space="preserve"> </w:t>
            </w:r>
            <w:r w:rsidRPr="009B192D">
              <w:rPr>
                <w:rFonts w:ascii="Sylfaen" w:eastAsia="Helvetica" w:hAnsi="Sylfaen" w:cs="Helvetica"/>
                <w:sz w:val="20"/>
                <w:szCs w:val="20"/>
                <w:lang w:val="ka-GE"/>
              </w:rPr>
              <w:t>გათვალისწინებული ღონისძიებების შეუფერხებლად</w:t>
            </w:r>
            <w:r>
              <w:rPr>
                <w:rFonts w:ascii="Sylfaen" w:eastAsia="Helvetica" w:hAnsi="Sylfaen" w:cs="Helvetica"/>
                <w:sz w:val="20"/>
                <w:szCs w:val="20"/>
                <w:lang w:val="ka-GE"/>
              </w:rPr>
              <w:t xml:space="preserve"> </w:t>
            </w:r>
            <w:r w:rsidRPr="009B192D">
              <w:rPr>
                <w:rFonts w:ascii="Sylfaen" w:eastAsia="Helvetica" w:hAnsi="Sylfaen" w:cs="Helvetica"/>
                <w:sz w:val="20"/>
                <w:szCs w:val="20"/>
                <w:lang w:val="ka-GE"/>
              </w:rPr>
              <w:t>შესრულების მიზნით.</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AE1D17" w:rsidRDefault="00AE1D17" w:rsidP="00AE1D17">
            <w:pPr>
              <w:jc w:val="both"/>
              <w:rPr>
                <w:rFonts w:ascii="Sylfaen" w:eastAsia="Helvetica" w:hAnsi="Sylfaen" w:cs="Helvetica"/>
                <w:sz w:val="20"/>
                <w:szCs w:val="20"/>
                <w:lang w:val="ka-GE"/>
              </w:rPr>
            </w:pPr>
            <w:r w:rsidRPr="00AE1D17">
              <w:rPr>
                <w:rFonts w:ascii="Sylfaen" w:eastAsia="Helvetica" w:hAnsi="Sylfaen" w:cs="Helvetica"/>
                <w:sz w:val="20"/>
                <w:szCs w:val="20"/>
                <w:lang w:val="ka-GE"/>
              </w:rPr>
              <w:t>მომდევნო წელი სხვა მნიშვნელოვან ღონისძიებებთან</w:t>
            </w:r>
            <w:r>
              <w:rPr>
                <w:rFonts w:ascii="Sylfaen" w:eastAsia="Helvetica" w:hAnsi="Sylfaen" w:cs="Helvetica"/>
                <w:sz w:val="20"/>
                <w:szCs w:val="20"/>
                <w:lang w:val="ka-GE"/>
              </w:rPr>
              <w:t xml:space="preserve"> </w:t>
            </w:r>
            <w:r w:rsidRPr="00AE1D17">
              <w:rPr>
                <w:rFonts w:ascii="Sylfaen" w:eastAsia="Helvetica" w:hAnsi="Sylfaen" w:cs="Helvetica"/>
                <w:sz w:val="20"/>
                <w:szCs w:val="20"/>
                <w:lang w:val="ka-GE"/>
              </w:rPr>
              <w:t>ერთად წარმოადგენს ოლიმპიური თამაშების წელს. ამ სპორტულ</w:t>
            </w:r>
            <w:r>
              <w:rPr>
                <w:rFonts w:ascii="Sylfaen" w:eastAsia="Helvetica" w:hAnsi="Sylfaen" w:cs="Helvetica"/>
                <w:sz w:val="20"/>
                <w:szCs w:val="20"/>
                <w:lang w:val="ka-GE"/>
              </w:rPr>
              <w:t xml:space="preserve"> </w:t>
            </w:r>
            <w:r w:rsidRPr="00AE1D17">
              <w:rPr>
                <w:rFonts w:ascii="Sylfaen" w:eastAsia="Helvetica" w:hAnsi="Sylfaen" w:cs="Helvetica"/>
                <w:sz w:val="20"/>
                <w:szCs w:val="20"/>
                <w:lang w:val="ka-GE"/>
              </w:rPr>
              <w:t>ღონისძიებებში ქართველი სპორტსმენების წარმატებული</w:t>
            </w:r>
            <w:r>
              <w:rPr>
                <w:rFonts w:ascii="Sylfaen" w:eastAsia="Helvetica" w:hAnsi="Sylfaen" w:cs="Helvetica"/>
                <w:sz w:val="20"/>
                <w:szCs w:val="20"/>
                <w:lang w:val="ka-GE"/>
              </w:rPr>
              <w:t xml:space="preserve"> </w:t>
            </w:r>
            <w:r w:rsidRPr="00AE1D17">
              <w:rPr>
                <w:rFonts w:ascii="Sylfaen" w:eastAsia="Helvetica" w:hAnsi="Sylfaen" w:cs="Helvetica"/>
                <w:sz w:val="20"/>
                <w:szCs w:val="20"/>
                <w:lang w:val="ka-GE"/>
              </w:rPr>
              <w:t>მონაწილეობის უზრუნველსაყოფად</w:t>
            </w:r>
            <w:r>
              <w:rPr>
                <w:rFonts w:ascii="Sylfaen" w:eastAsia="Helvetica" w:hAnsi="Sylfaen" w:cs="Helvetica"/>
                <w:sz w:val="20"/>
                <w:szCs w:val="20"/>
                <w:lang w:val="ka-GE"/>
              </w:rPr>
              <w:t xml:space="preserve">, </w:t>
            </w:r>
            <w:r w:rsidRPr="00AE1D17">
              <w:rPr>
                <w:rFonts w:ascii="Sylfaen" w:eastAsia="Helvetica" w:hAnsi="Sylfaen" w:cs="Helvetica"/>
                <w:sz w:val="20"/>
                <w:szCs w:val="20"/>
                <w:lang w:val="ka-GE"/>
              </w:rPr>
              <w:t xml:space="preserve">მიზანშეწონილია </w:t>
            </w:r>
            <w:r w:rsidRPr="00AE1D17">
              <w:rPr>
                <w:rFonts w:ascii="Sylfaen" w:eastAsia="Helvetica" w:hAnsi="Sylfaen" w:cs="Helvetica"/>
                <w:b/>
                <w:sz w:val="20"/>
                <w:szCs w:val="20"/>
                <w:lang w:val="ka-GE"/>
              </w:rPr>
              <w:t>,,ოლიმპიური მოძრაობის სახელმწიფო მხარდაჭერის პროგრამის ფარგლებში“ ბიუჯეტის პროექტით გათვალისწინებული 14 მლნ ლარი გადანაწილდეს იმგვარად, რომ უზრუნველყოფილ იქნეს ოლიმპიური კომიტეტისა და ფედერაციების ეფექტიანი ფუნქციონირება</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E04B89" w:rsidRDefault="00E04B89" w:rsidP="00E04B89">
            <w:pPr>
              <w:jc w:val="both"/>
              <w:rPr>
                <w:rFonts w:ascii="Sylfaen" w:eastAsia="Helvetica" w:hAnsi="Sylfaen" w:cs="Helvetica"/>
                <w:sz w:val="20"/>
                <w:szCs w:val="20"/>
                <w:lang w:val="ka-GE"/>
              </w:rPr>
            </w:pPr>
            <w:r w:rsidRPr="00E04B89">
              <w:rPr>
                <w:rFonts w:ascii="Sylfaen" w:eastAsia="Helvetica" w:hAnsi="Sylfaen" w:cs="Helvetica"/>
                <w:sz w:val="20"/>
                <w:szCs w:val="20"/>
                <w:lang w:val="ka-GE"/>
              </w:rPr>
              <w:t>წარმატებულ მოსწავლეთა წახალისებისთვის</w:t>
            </w:r>
            <w:r>
              <w:rPr>
                <w:rFonts w:ascii="Sylfaen" w:eastAsia="Helvetica" w:hAnsi="Sylfaen" w:cs="Helvetica"/>
                <w:sz w:val="20"/>
                <w:szCs w:val="20"/>
                <w:lang w:val="ka-GE"/>
              </w:rPr>
              <w:t xml:space="preserve"> </w:t>
            </w:r>
            <w:r w:rsidRPr="00E04B89">
              <w:rPr>
                <w:rFonts w:ascii="Sylfaen" w:eastAsia="Helvetica" w:hAnsi="Sylfaen" w:cs="Helvetica"/>
                <w:sz w:val="20"/>
                <w:szCs w:val="20"/>
                <w:lang w:val="ka-GE"/>
              </w:rPr>
              <w:t>განსაკუთრებით ტექნოლოგიური საგნების მიმართულებით მათი</w:t>
            </w:r>
            <w:r>
              <w:rPr>
                <w:rFonts w:ascii="Sylfaen" w:eastAsia="Helvetica" w:hAnsi="Sylfaen" w:cs="Helvetica"/>
                <w:sz w:val="20"/>
                <w:szCs w:val="20"/>
                <w:lang w:val="ka-GE"/>
              </w:rPr>
              <w:t xml:space="preserve"> </w:t>
            </w:r>
            <w:r w:rsidRPr="00E04B89">
              <w:rPr>
                <w:rFonts w:ascii="Sylfaen" w:eastAsia="Helvetica" w:hAnsi="Sylfaen" w:cs="Helvetica"/>
                <w:sz w:val="20"/>
                <w:szCs w:val="20"/>
                <w:lang w:val="ka-GE"/>
              </w:rPr>
              <w:t>რაოდენობის ზრდიდან გამომდინარე, მიზანშეწონილია</w:t>
            </w:r>
            <w:r>
              <w:rPr>
                <w:rFonts w:ascii="Sylfaen" w:eastAsia="Helvetica" w:hAnsi="Sylfaen" w:cs="Helvetica"/>
                <w:sz w:val="20"/>
                <w:szCs w:val="20"/>
                <w:lang w:val="ka-GE"/>
              </w:rPr>
              <w:t xml:space="preserve"> </w:t>
            </w:r>
            <w:r w:rsidRPr="00E04B89">
              <w:rPr>
                <w:rFonts w:ascii="Sylfaen" w:eastAsia="Helvetica" w:hAnsi="Sylfaen" w:cs="Helvetica"/>
                <w:b/>
                <w:sz w:val="20"/>
                <w:szCs w:val="20"/>
                <w:lang w:val="ka-GE"/>
              </w:rPr>
              <w:t>ბიუჯეტში გათვალისწინებულ იქნეს გარკვეული რესურსი, რათა საქართველომ უმასპინძლოს საერთაშორისო ფორუმს, კონფერენციას, ან ოლიმპიადას, რაც სამომავლოდ კიდევ უფრო გაზრდის ამ საგნებით (მათემატიკა, ფიზიკა, ქიმია, ბიოლოგია, ინფორმატიკა) დაინტერესებულ მოსწავლეთა რიცხოვნობას</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E04B89" w:rsidRDefault="00E04B89" w:rsidP="00E04B89">
            <w:pPr>
              <w:jc w:val="both"/>
              <w:rPr>
                <w:rFonts w:ascii="Sylfaen" w:eastAsia="Helvetica" w:hAnsi="Sylfaen" w:cs="Helvetica"/>
                <w:sz w:val="20"/>
                <w:szCs w:val="20"/>
                <w:lang w:val="ka-GE"/>
              </w:rPr>
            </w:pPr>
            <w:r w:rsidRPr="00E04B89">
              <w:rPr>
                <w:rFonts w:ascii="Sylfaen" w:eastAsia="Helvetica" w:hAnsi="Sylfaen" w:cs="Helvetica"/>
                <w:b/>
                <w:sz w:val="20"/>
                <w:szCs w:val="20"/>
                <w:lang w:val="ka-GE"/>
              </w:rPr>
              <w:t>საქართველოს პარლამენტის აპარატის სტრუქტურასა და საშტატო ნუსხაში შეტანილი ცვლილებების გამო,</w:t>
            </w:r>
            <w:r>
              <w:rPr>
                <w:rFonts w:ascii="Sylfaen" w:eastAsia="Helvetica" w:hAnsi="Sylfaen" w:cs="Helvetica"/>
                <w:sz w:val="20"/>
                <w:szCs w:val="20"/>
                <w:lang w:val="ka-GE"/>
              </w:rPr>
              <w:t xml:space="preserve"> </w:t>
            </w:r>
            <w:r w:rsidRPr="00E04B89">
              <w:rPr>
                <w:rFonts w:ascii="Sylfaen" w:eastAsia="Helvetica" w:hAnsi="Sylfaen" w:cs="Helvetica"/>
                <w:sz w:val="20"/>
                <w:szCs w:val="20"/>
                <w:lang w:val="ka-GE"/>
              </w:rPr>
              <w:t>მიზანშეწონილია განხორციელდეს შესაბამისი ცვლილება</w:t>
            </w:r>
            <w:r>
              <w:rPr>
                <w:rFonts w:ascii="Sylfaen" w:eastAsia="Helvetica" w:hAnsi="Sylfaen" w:cs="Helvetica"/>
                <w:sz w:val="20"/>
                <w:szCs w:val="20"/>
                <w:lang w:val="ka-GE"/>
              </w:rPr>
              <w:t xml:space="preserve"> </w:t>
            </w:r>
            <w:r w:rsidRPr="00E04B89">
              <w:rPr>
                <w:rFonts w:ascii="Sylfaen" w:eastAsia="Helvetica" w:hAnsi="Sylfaen" w:cs="Helvetica"/>
                <w:sz w:val="20"/>
                <w:szCs w:val="20"/>
                <w:lang w:val="ka-GE"/>
              </w:rPr>
              <w:t>მომუშავეთა რიცხოვნობაში, კერძოდ, პროგრამით</w:t>
            </w:r>
            <w:r>
              <w:rPr>
                <w:rFonts w:ascii="Sylfaen" w:eastAsia="Helvetica" w:hAnsi="Sylfaen" w:cs="Helvetica"/>
                <w:sz w:val="20"/>
                <w:szCs w:val="20"/>
                <w:lang w:val="ka-GE"/>
              </w:rPr>
              <w:t xml:space="preserve"> </w:t>
            </w:r>
            <w:r w:rsidRPr="00114AA3">
              <w:rPr>
                <w:rFonts w:ascii="Sylfaen" w:eastAsia="Helvetica" w:hAnsi="Sylfaen" w:cs="Helvetica"/>
                <w:b/>
                <w:sz w:val="20"/>
                <w:szCs w:val="20"/>
                <w:lang w:val="ka-GE"/>
              </w:rPr>
              <w:t>“საკანონმდებლო, წარმომადგენლობითი და საზედამხედველო საქმიანობა“ (პროგრამული კოდი 01 01 01) გათვალისწინებული მომუშავეთა რიცხოვნობა 382 ერთეული, შეიცვალოს 387-ით, ხოლო პროგრამით „საკანონმდებლო საქმიანობის ადმინისტრაციული მხარდაჭერა“ (პროგრამული კოდი 01 01 03) გათვალისწინებული მომუშავეთა რიცხოვნობა 260, შეიცვალოს 271 ერთეულით</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114AA3" w:rsidRDefault="00114AA3" w:rsidP="00114AA3">
            <w:pPr>
              <w:jc w:val="both"/>
              <w:rPr>
                <w:rFonts w:ascii="Sylfaen" w:eastAsia="Helvetica" w:hAnsi="Sylfaen" w:cs="Helvetica"/>
                <w:sz w:val="20"/>
                <w:szCs w:val="20"/>
                <w:lang w:val="ka-GE"/>
              </w:rPr>
            </w:pPr>
            <w:r w:rsidRPr="00114AA3">
              <w:rPr>
                <w:rFonts w:ascii="Sylfaen" w:eastAsia="Helvetica" w:hAnsi="Sylfaen" w:cs="Helvetica"/>
                <w:sz w:val="20"/>
                <w:szCs w:val="20"/>
                <w:lang w:val="ka-GE"/>
              </w:rPr>
              <w:t xml:space="preserve">მიზანშეწონილია, </w:t>
            </w:r>
            <w:r w:rsidRPr="00114AA3">
              <w:rPr>
                <w:rFonts w:ascii="Sylfaen" w:eastAsia="Helvetica" w:hAnsi="Sylfaen" w:cs="Helvetica"/>
                <w:b/>
                <w:sz w:val="20"/>
                <w:szCs w:val="20"/>
                <w:lang w:val="ka-GE"/>
              </w:rPr>
              <w:t>სსიპ ახალგაზრდული სააგენტოს მიერ თავისი ფუნქციების ეფექტიანად განხორციელების მიზნით გათვალისწინებული იქნეს ფინანსური რესურსები,</w:t>
            </w:r>
            <w:r w:rsidRPr="00114AA3">
              <w:rPr>
                <w:rFonts w:ascii="Sylfaen" w:eastAsia="Helvetica" w:hAnsi="Sylfaen" w:cs="Helvetica"/>
                <w:sz w:val="20"/>
                <w:szCs w:val="20"/>
                <w:lang w:val="ka-GE"/>
              </w:rPr>
              <w:t xml:space="preserve"> რაც ხელს</w:t>
            </w:r>
            <w:r>
              <w:rPr>
                <w:rFonts w:ascii="Sylfaen" w:eastAsia="Helvetica" w:hAnsi="Sylfaen" w:cs="Helvetica"/>
                <w:sz w:val="20"/>
                <w:szCs w:val="20"/>
                <w:lang w:val="ka-GE"/>
              </w:rPr>
              <w:t xml:space="preserve"> </w:t>
            </w:r>
            <w:r w:rsidRPr="00114AA3">
              <w:rPr>
                <w:rFonts w:ascii="Sylfaen" w:eastAsia="Helvetica" w:hAnsi="Sylfaen" w:cs="Helvetica"/>
                <w:sz w:val="20"/>
                <w:szCs w:val="20"/>
                <w:lang w:val="ka-GE"/>
              </w:rPr>
              <w:t>შეუწყობს ახალგაზრდული მიმართულების გაძლიერებას;</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114AA3" w:rsidRDefault="00114AA3" w:rsidP="00114AA3">
            <w:pPr>
              <w:jc w:val="both"/>
              <w:rPr>
                <w:rFonts w:ascii="Sylfaen" w:eastAsia="Helvetica" w:hAnsi="Sylfaen" w:cs="Helvetica"/>
                <w:sz w:val="20"/>
                <w:szCs w:val="20"/>
                <w:lang w:val="ka-GE"/>
              </w:rPr>
            </w:pPr>
            <w:r w:rsidRPr="00114AA3">
              <w:rPr>
                <w:rFonts w:ascii="Sylfaen" w:eastAsia="Helvetica" w:hAnsi="Sylfaen" w:cs="Helvetica"/>
                <w:sz w:val="20"/>
                <w:szCs w:val="20"/>
                <w:lang w:val="ka-GE"/>
              </w:rPr>
              <w:t xml:space="preserve">მიზანშეწონილია, </w:t>
            </w:r>
            <w:r w:rsidRPr="00114AA3">
              <w:rPr>
                <w:rFonts w:ascii="Sylfaen" w:eastAsia="Helvetica" w:hAnsi="Sylfaen" w:cs="Helvetica"/>
                <w:b/>
                <w:sz w:val="20"/>
                <w:szCs w:val="20"/>
                <w:lang w:val="ka-GE"/>
              </w:rPr>
              <w:t>პროფესიული განათლების მიმართულებით გათვალისწინებული 4.16 მლნ ლარის ზევით გამოიყოს დამატებითი ფინანსური რესურსები,</w:t>
            </w:r>
            <w:r w:rsidRPr="00114AA3">
              <w:rPr>
                <w:rFonts w:ascii="Sylfaen" w:eastAsia="Helvetica" w:hAnsi="Sylfaen" w:cs="Helvetica"/>
                <w:sz w:val="20"/>
                <w:szCs w:val="20"/>
                <w:lang w:val="ka-GE"/>
              </w:rPr>
              <w:t xml:space="preserve"> მათ შორის</w:t>
            </w:r>
            <w:r>
              <w:rPr>
                <w:rFonts w:ascii="Sylfaen" w:eastAsia="Helvetica" w:hAnsi="Sylfaen" w:cs="Helvetica"/>
                <w:sz w:val="20"/>
                <w:szCs w:val="20"/>
                <w:lang w:val="ka-GE"/>
              </w:rPr>
              <w:t xml:space="preserve"> </w:t>
            </w:r>
            <w:r w:rsidRPr="00114AA3">
              <w:rPr>
                <w:rFonts w:ascii="Sylfaen" w:eastAsia="Helvetica" w:hAnsi="Sylfaen" w:cs="Helvetica"/>
                <w:sz w:val="20"/>
                <w:szCs w:val="20"/>
                <w:lang w:val="ka-GE"/>
              </w:rPr>
              <w:t>რეგიონებში ახალი კოლეჯების მშენებლობისათვის</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114AA3" w:rsidRDefault="00114AA3" w:rsidP="00114AA3">
            <w:pPr>
              <w:jc w:val="both"/>
              <w:rPr>
                <w:rFonts w:ascii="Sylfaen" w:eastAsia="Helvetica" w:hAnsi="Sylfaen" w:cs="Helvetica"/>
                <w:sz w:val="20"/>
                <w:szCs w:val="20"/>
                <w:lang w:val="ka-GE"/>
              </w:rPr>
            </w:pPr>
            <w:r w:rsidRPr="00114AA3">
              <w:rPr>
                <w:rFonts w:ascii="Sylfaen" w:eastAsia="Helvetica" w:hAnsi="Sylfaen" w:cs="Helvetica"/>
                <w:b/>
                <w:sz w:val="20"/>
                <w:szCs w:val="20"/>
                <w:lang w:val="ka-GE"/>
              </w:rPr>
              <w:t>კულტურის და კულტურული მემკვიდრეობის მიმართულებების პროექტის</w:t>
            </w:r>
            <w:r w:rsidRPr="00114AA3">
              <w:rPr>
                <w:rFonts w:ascii="Sylfaen" w:eastAsia="Helvetica" w:hAnsi="Sylfaen" w:cs="Helvetica"/>
                <w:sz w:val="20"/>
                <w:szCs w:val="20"/>
                <w:lang w:val="ka-GE"/>
              </w:rPr>
              <w:t xml:space="preserve"> წარმატებით განხორციელების</w:t>
            </w:r>
            <w:r>
              <w:rPr>
                <w:rFonts w:ascii="Sylfaen" w:eastAsia="Helvetica" w:hAnsi="Sylfaen" w:cs="Helvetica"/>
                <w:sz w:val="20"/>
                <w:szCs w:val="20"/>
                <w:lang w:val="ka-GE"/>
              </w:rPr>
              <w:t xml:space="preserve"> </w:t>
            </w:r>
            <w:r w:rsidRPr="00114AA3">
              <w:rPr>
                <w:rFonts w:ascii="Sylfaen" w:eastAsia="Helvetica" w:hAnsi="Sylfaen" w:cs="Helvetica"/>
                <w:sz w:val="20"/>
                <w:szCs w:val="20"/>
                <w:lang w:val="ka-GE"/>
              </w:rPr>
              <w:t xml:space="preserve">უზრუნველსაყოფად მიზანშეწონილია </w:t>
            </w:r>
            <w:r w:rsidRPr="00114AA3">
              <w:rPr>
                <w:rFonts w:ascii="Sylfaen" w:eastAsia="Helvetica" w:hAnsi="Sylfaen" w:cs="Helvetica"/>
                <w:b/>
                <w:sz w:val="20"/>
                <w:szCs w:val="20"/>
                <w:lang w:val="ka-GE"/>
              </w:rPr>
              <w:t>გაიზარდოს პროექტით გათვალისწინებული დაფინანსების ოდენობა,</w:t>
            </w:r>
            <w:r w:rsidRPr="00114AA3">
              <w:rPr>
                <w:rFonts w:ascii="Sylfaen" w:eastAsia="Helvetica" w:hAnsi="Sylfaen" w:cs="Helvetica"/>
                <w:sz w:val="20"/>
                <w:szCs w:val="20"/>
                <w:lang w:val="ka-GE"/>
              </w:rPr>
              <w:t xml:space="preserve"> მათ შორის</w:t>
            </w:r>
            <w:r>
              <w:rPr>
                <w:rFonts w:ascii="Sylfaen" w:eastAsia="Helvetica" w:hAnsi="Sylfaen" w:cs="Helvetica"/>
                <w:sz w:val="20"/>
                <w:szCs w:val="20"/>
                <w:lang w:val="ka-GE"/>
              </w:rPr>
              <w:t xml:space="preserve"> </w:t>
            </w:r>
            <w:r w:rsidRPr="00114AA3">
              <w:rPr>
                <w:rFonts w:ascii="Sylfaen" w:eastAsia="Helvetica" w:hAnsi="Sylfaen" w:cs="Helvetica"/>
                <w:sz w:val="20"/>
                <w:szCs w:val="20"/>
                <w:lang w:val="ka-GE"/>
              </w:rPr>
              <w:t>რეგიონებში ამ მიმართულების ინფრასტრუქტურულ</w:t>
            </w:r>
            <w:r>
              <w:rPr>
                <w:rFonts w:ascii="Sylfaen" w:eastAsia="Helvetica" w:hAnsi="Sylfaen" w:cs="Helvetica"/>
                <w:sz w:val="20"/>
                <w:szCs w:val="20"/>
                <w:lang w:val="ka-GE"/>
              </w:rPr>
              <w:t xml:space="preserve"> </w:t>
            </w:r>
            <w:r w:rsidRPr="00114AA3">
              <w:rPr>
                <w:rFonts w:ascii="Sylfaen" w:eastAsia="Helvetica" w:hAnsi="Sylfaen" w:cs="Helvetica"/>
                <w:sz w:val="20"/>
                <w:szCs w:val="20"/>
                <w:lang w:val="ka-GE"/>
              </w:rPr>
              <w:t>პროექტებზე;</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114AA3" w:rsidRDefault="00114AA3" w:rsidP="00114AA3">
            <w:pPr>
              <w:jc w:val="both"/>
              <w:rPr>
                <w:rFonts w:ascii="Sylfaen" w:eastAsia="Helvetica" w:hAnsi="Sylfaen" w:cs="Helvetica"/>
                <w:sz w:val="20"/>
                <w:szCs w:val="20"/>
                <w:lang w:val="ka-GE"/>
              </w:rPr>
            </w:pPr>
            <w:r w:rsidRPr="00114AA3">
              <w:rPr>
                <w:rFonts w:ascii="Sylfaen" w:eastAsia="Helvetica" w:hAnsi="Sylfaen" w:cs="Helvetica"/>
                <w:b/>
                <w:sz w:val="20"/>
                <w:szCs w:val="20"/>
                <w:lang w:val="ka-GE"/>
              </w:rPr>
              <w:t>სოფლის მხარდაჭერის ფონდის</w:t>
            </w:r>
            <w:r w:rsidRPr="00114AA3">
              <w:rPr>
                <w:rFonts w:ascii="Sylfaen" w:eastAsia="Helvetica" w:hAnsi="Sylfaen" w:cs="Helvetica"/>
                <w:sz w:val="20"/>
                <w:szCs w:val="20"/>
                <w:lang w:val="ka-GE"/>
              </w:rPr>
              <w:t xml:space="preserve"> მიზნებიდან და</w:t>
            </w:r>
            <w:r>
              <w:rPr>
                <w:rFonts w:ascii="Sylfaen" w:eastAsia="Helvetica" w:hAnsi="Sylfaen" w:cs="Helvetica"/>
                <w:sz w:val="20"/>
                <w:szCs w:val="20"/>
                <w:lang w:val="ka-GE"/>
              </w:rPr>
              <w:t xml:space="preserve"> </w:t>
            </w:r>
            <w:r w:rsidRPr="00114AA3">
              <w:rPr>
                <w:rFonts w:ascii="Sylfaen" w:eastAsia="Helvetica" w:hAnsi="Sylfaen" w:cs="Helvetica"/>
                <w:sz w:val="20"/>
                <w:szCs w:val="20"/>
                <w:lang w:val="ka-GE"/>
              </w:rPr>
              <w:t xml:space="preserve">მნიშვნელობიდან გამომდინარე, მიზანშეწონილია მისი </w:t>
            </w:r>
            <w:r w:rsidRPr="00114AA3">
              <w:rPr>
                <w:rFonts w:ascii="Sylfaen" w:eastAsia="Helvetica" w:hAnsi="Sylfaen" w:cs="Helvetica"/>
                <w:b/>
                <w:sz w:val="20"/>
                <w:szCs w:val="20"/>
                <w:lang w:val="ka-GE"/>
              </w:rPr>
              <w:t>ცალკე გამოყოფა რეგიონული განვითარების ფონდიდან ისე, რომ ამ ფონდის მოცულობა არ შემცირდეს.</w:t>
            </w:r>
            <w:r w:rsidRPr="00114AA3">
              <w:rPr>
                <w:rFonts w:ascii="Sylfaen" w:eastAsia="Helvetica" w:hAnsi="Sylfaen" w:cs="Helvetica"/>
                <w:sz w:val="20"/>
                <w:szCs w:val="20"/>
                <w:lang w:val="ka-GE"/>
              </w:rPr>
              <w:t xml:space="preserve"> ამასთან, სასურველია</w:t>
            </w:r>
            <w:r>
              <w:rPr>
                <w:rFonts w:ascii="Sylfaen" w:eastAsia="Helvetica" w:hAnsi="Sylfaen" w:cs="Helvetica"/>
                <w:sz w:val="20"/>
                <w:szCs w:val="20"/>
                <w:lang w:val="ka-GE"/>
              </w:rPr>
              <w:t xml:space="preserve"> </w:t>
            </w:r>
            <w:r w:rsidRPr="00114AA3">
              <w:rPr>
                <w:rFonts w:ascii="Sylfaen" w:eastAsia="Helvetica" w:hAnsi="Sylfaen" w:cs="Helvetica"/>
                <w:sz w:val="20"/>
                <w:szCs w:val="20"/>
                <w:lang w:val="ka-GE"/>
              </w:rPr>
              <w:t>გაიზარდოს რეგიონული განვითარების ფონდის თანხები</w:t>
            </w:r>
            <w:r w:rsidR="004376F9">
              <w:rPr>
                <w:rFonts w:ascii="Sylfaen" w:eastAsia="Helvetica" w:hAnsi="Sylfaen" w:cs="Helvetica"/>
                <w:sz w:val="20"/>
                <w:szCs w:val="20"/>
                <w:lang w:val="ka-GE"/>
              </w:rPr>
              <w:t>.</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114AA3" w:rsidRDefault="00114AA3" w:rsidP="00114AA3">
            <w:pPr>
              <w:jc w:val="both"/>
              <w:rPr>
                <w:rFonts w:ascii="Sylfaen" w:eastAsia="Helvetica" w:hAnsi="Sylfaen" w:cs="Helvetica"/>
                <w:sz w:val="20"/>
                <w:szCs w:val="20"/>
                <w:lang w:val="ka-GE"/>
              </w:rPr>
            </w:pPr>
            <w:r w:rsidRPr="00114AA3">
              <w:rPr>
                <w:rFonts w:ascii="Sylfaen" w:eastAsia="Helvetica" w:hAnsi="Sylfaen" w:cs="Helvetica"/>
                <w:sz w:val="20"/>
                <w:szCs w:val="20"/>
                <w:lang w:val="ka-GE"/>
              </w:rPr>
              <w:t>„2018 წელს საქართველოში ადამიანის უფლებათა და</w:t>
            </w:r>
            <w:r>
              <w:rPr>
                <w:rFonts w:ascii="Sylfaen" w:eastAsia="Helvetica" w:hAnsi="Sylfaen" w:cs="Helvetica"/>
                <w:sz w:val="20"/>
                <w:szCs w:val="20"/>
                <w:lang w:val="ka-GE"/>
              </w:rPr>
              <w:t xml:space="preserve"> </w:t>
            </w:r>
            <w:r w:rsidRPr="00114AA3">
              <w:rPr>
                <w:rFonts w:ascii="Sylfaen" w:eastAsia="Helvetica" w:hAnsi="Sylfaen" w:cs="Helvetica"/>
                <w:sz w:val="20"/>
                <w:szCs w:val="20"/>
                <w:lang w:val="ka-GE"/>
              </w:rPr>
              <w:t>თავისუფლებათა დაცვის მდგომარეობის შესახებ“ საქართველოს</w:t>
            </w:r>
            <w:r>
              <w:rPr>
                <w:rFonts w:ascii="Sylfaen" w:eastAsia="Helvetica" w:hAnsi="Sylfaen" w:cs="Helvetica"/>
                <w:sz w:val="20"/>
                <w:szCs w:val="20"/>
                <w:lang w:val="ka-GE"/>
              </w:rPr>
              <w:t xml:space="preserve"> </w:t>
            </w:r>
            <w:r w:rsidRPr="00114AA3">
              <w:rPr>
                <w:rFonts w:ascii="Sylfaen" w:eastAsia="Helvetica" w:hAnsi="Sylfaen" w:cs="Helvetica"/>
                <w:sz w:val="20"/>
                <w:szCs w:val="20"/>
                <w:lang w:val="ka-GE"/>
              </w:rPr>
              <w:t>სახალხო დამცველის ანგარიშის თაობაზე“ მიმდინარე წლის 20 სექტემბრის N 5003-Iს საქართველოს პარლამენტის</w:t>
            </w:r>
            <w:r>
              <w:rPr>
                <w:rFonts w:ascii="Sylfaen" w:eastAsia="Helvetica" w:hAnsi="Sylfaen" w:cs="Helvetica"/>
                <w:sz w:val="20"/>
                <w:szCs w:val="20"/>
                <w:lang w:val="ka-GE"/>
              </w:rPr>
              <w:t xml:space="preserve"> </w:t>
            </w:r>
            <w:r w:rsidRPr="00114AA3">
              <w:rPr>
                <w:rFonts w:ascii="Sylfaen" w:eastAsia="Helvetica" w:hAnsi="Sylfaen" w:cs="Helvetica"/>
                <w:sz w:val="20"/>
                <w:szCs w:val="20"/>
                <w:lang w:val="ka-GE"/>
              </w:rPr>
              <w:t xml:space="preserve">დადგენილებით გათვალისწინებული </w:t>
            </w:r>
            <w:r w:rsidRPr="00114AA3">
              <w:rPr>
                <w:rFonts w:ascii="Sylfaen" w:eastAsia="Helvetica" w:hAnsi="Sylfaen" w:cs="Helvetica"/>
                <w:b/>
                <w:sz w:val="20"/>
                <w:szCs w:val="20"/>
                <w:lang w:val="ka-GE"/>
              </w:rPr>
              <w:t>სახალხო დამცველის რეკომენდაციების შესაბამისად, მიზაშეწონილია, გაიზარდოს ვეტერანებისთვის კანონით განსაზღვრული საშემოსავლო გადასახადის შეღავათი. ამასთანავე, გადაიხედოს მათი სოციალური დახმარების ოდენობის ეტაპობრივი ზრდის შესაძლებლობები;</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4C32B8" w:rsidRDefault="004C32B8" w:rsidP="004C32B8">
            <w:pPr>
              <w:jc w:val="both"/>
              <w:rPr>
                <w:rFonts w:ascii="Sylfaen" w:eastAsia="Helvetica" w:hAnsi="Sylfaen" w:cs="Helvetica"/>
                <w:sz w:val="20"/>
                <w:szCs w:val="20"/>
                <w:lang w:val="ka-GE"/>
              </w:rPr>
            </w:pPr>
            <w:r w:rsidRPr="004C32B8">
              <w:rPr>
                <w:rFonts w:ascii="Sylfaen" w:eastAsia="Helvetica" w:hAnsi="Sylfaen" w:cs="Helvetica"/>
                <w:sz w:val="20"/>
                <w:szCs w:val="20"/>
                <w:lang w:val="ka-GE"/>
              </w:rPr>
              <w:t xml:space="preserve">მიზაშეწონილია </w:t>
            </w:r>
            <w:r w:rsidRPr="004C32B8">
              <w:rPr>
                <w:rFonts w:ascii="Sylfaen" w:eastAsia="Helvetica" w:hAnsi="Sylfaen" w:cs="Helvetica"/>
                <w:b/>
                <w:sz w:val="20"/>
                <w:szCs w:val="20"/>
                <w:lang w:val="ka-GE"/>
              </w:rPr>
              <w:t>„სოციალურად დაუცველი ოჯახების მონაცემთა ერთიან ბაზაში“ რეგისტრირებული დევნილი ოჯახებისთვის ზამთრის სეზონში სათბობი საშუალებებით უზრუნველყოფისთვის გამოიძებნოს შესაბამისი რესურსები</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4C32B8" w:rsidRDefault="004C32B8" w:rsidP="004C32B8">
            <w:pPr>
              <w:jc w:val="both"/>
              <w:rPr>
                <w:rFonts w:ascii="Sylfaen" w:eastAsia="Helvetica" w:hAnsi="Sylfaen" w:cs="Helvetica"/>
                <w:sz w:val="20"/>
                <w:szCs w:val="20"/>
                <w:lang w:val="ka-GE"/>
              </w:rPr>
            </w:pPr>
            <w:r w:rsidRPr="004C32B8">
              <w:rPr>
                <w:rFonts w:ascii="Sylfaen" w:eastAsia="Helvetica" w:hAnsi="Sylfaen" w:cs="Helvetica"/>
                <w:b/>
                <w:sz w:val="20"/>
                <w:szCs w:val="20"/>
                <w:lang w:val="ka-GE"/>
              </w:rPr>
              <w:t>სოფლის მეურნეობა</w:t>
            </w:r>
            <w:r w:rsidRPr="004C32B8">
              <w:rPr>
                <w:rFonts w:ascii="Sylfaen" w:eastAsia="Helvetica" w:hAnsi="Sylfaen" w:cs="Helvetica"/>
                <w:sz w:val="20"/>
                <w:szCs w:val="20"/>
                <w:lang w:val="ka-GE"/>
              </w:rPr>
              <w:t xml:space="preserve"> ქვეყნის ერთ-ერთი</w:t>
            </w:r>
            <w:r>
              <w:rPr>
                <w:rFonts w:ascii="Sylfaen" w:eastAsia="Helvetica" w:hAnsi="Sylfaen" w:cs="Helvetica"/>
                <w:sz w:val="20"/>
                <w:szCs w:val="20"/>
                <w:lang w:val="ka-GE"/>
              </w:rPr>
              <w:t xml:space="preserve"> </w:t>
            </w:r>
            <w:r w:rsidRPr="004C32B8">
              <w:rPr>
                <w:rFonts w:ascii="Sylfaen" w:eastAsia="Helvetica" w:hAnsi="Sylfaen" w:cs="Helvetica"/>
                <w:sz w:val="20"/>
                <w:szCs w:val="20"/>
                <w:lang w:val="ka-GE"/>
              </w:rPr>
              <w:t>პრიორიტეტული დარგია. დარგის განვითარების სახელმწიფო</w:t>
            </w:r>
            <w:r>
              <w:rPr>
                <w:rFonts w:ascii="Sylfaen" w:eastAsia="Helvetica" w:hAnsi="Sylfaen" w:cs="Helvetica"/>
                <w:sz w:val="20"/>
                <w:szCs w:val="20"/>
                <w:lang w:val="ka-GE"/>
              </w:rPr>
              <w:t xml:space="preserve"> </w:t>
            </w:r>
            <w:r w:rsidRPr="004C32B8">
              <w:rPr>
                <w:rFonts w:ascii="Sylfaen" w:eastAsia="Helvetica" w:hAnsi="Sylfaen" w:cs="Helvetica"/>
                <w:sz w:val="20"/>
                <w:szCs w:val="20"/>
                <w:lang w:val="ka-GE"/>
              </w:rPr>
              <w:t xml:space="preserve">ხელშეწყობის მიზნით მიზანშეწონილია </w:t>
            </w:r>
            <w:r w:rsidRPr="004C32B8">
              <w:rPr>
                <w:rFonts w:ascii="Sylfaen" w:eastAsia="Helvetica" w:hAnsi="Sylfaen" w:cs="Helvetica"/>
                <w:b/>
                <w:sz w:val="20"/>
                <w:szCs w:val="20"/>
                <w:lang w:val="ka-GE"/>
              </w:rPr>
              <w:t>გადაიხედოს ცალკეული პროგრამებისა და ქვეპროგრამების საბიუჯეტო დაფინანსების ოდენობის გაზრდის შესაძლებლობები, ან/და გამოთავისუფლებული რესურსების არსებობის შემთხვევაში, მოხდეს ეფექტური გადანაწილება პროგრამებისა და ქვეპროგრამების მიხედვით;</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4C32B8" w:rsidRDefault="004C32B8" w:rsidP="004C32B8">
            <w:pPr>
              <w:jc w:val="both"/>
              <w:rPr>
                <w:rFonts w:ascii="Sylfaen" w:eastAsia="Helvetica" w:hAnsi="Sylfaen" w:cs="Helvetica"/>
                <w:sz w:val="20"/>
                <w:szCs w:val="20"/>
                <w:lang w:val="ka-GE"/>
              </w:rPr>
            </w:pPr>
            <w:r w:rsidRPr="004C32B8">
              <w:rPr>
                <w:rFonts w:ascii="Sylfaen" w:eastAsia="Helvetica" w:hAnsi="Sylfaen" w:cs="Helvetica"/>
                <w:sz w:val="20"/>
                <w:szCs w:val="20"/>
                <w:lang w:val="ka-GE"/>
              </w:rPr>
              <w:t xml:space="preserve">მიზანშეწონილია </w:t>
            </w:r>
            <w:r w:rsidRPr="004C32B8">
              <w:rPr>
                <w:rFonts w:ascii="Sylfaen" w:eastAsia="Helvetica" w:hAnsi="Sylfaen" w:cs="Helvetica"/>
                <w:b/>
                <w:sz w:val="20"/>
                <w:szCs w:val="20"/>
                <w:lang w:val="ka-GE"/>
              </w:rPr>
              <w:t>საჯარო სექტორში თანამშრომლებისთვის მომდევნო წლებში გამოიძებნოს შრომის ანაზღაურების გაზრდის შესაძლებლობები,</w:t>
            </w:r>
            <w:r w:rsidRPr="004C32B8">
              <w:rPr>
                <w:rFonts w:ascii="Sylfaen" w:eastAsia="Helvetica" w:hAnsi="Sylfaen" w:cs="Helvetica"/>
                <w:sz w:val="20"/>
                <w:szCs w:val="20"/>
                <w:lang w:val="ka-GE"/>
              </w:rPr>
              <w:t xml:space="preserve"> რათა თავიდან იქნას</w:t>
            </w:r>
            <w:r>
              <w:rPr>
                <w:rFonts w:ascii="Sylfaen" w:eastAsia="Helvetica" w:hAnsi="Sylfaen" w:cs="Helvetica"/>
                <w:sz w:val="20"/>
                <w:szCs w:val="20"/>
                <w:lang w:val="ka-GE"/>
              </w:rPr>
              <w:t xml:space="preserve"> </w:t>
            </w:r>
            <w:r w:rsidRPr="004C32B8">
              <w:rPr>
                <w:rFonts w:ascii="Sylfaen" w:eastAsia="Helvetica" w:hAnsi="Sylfaen" w:cs="Helvetica"/>
                <w:sz w:val="20"/>
                <w:szCs w:val="20"/>
                <w:lang w:val="ka-GE"/>
              </w:rPr>
              <w:t>აცილებული კვალიფიკაციური კადრების გადინება</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475C3B" w:rsidRDefault="00475C3B" w:rsidP="00475C3B">
            <w:pPr>
              <w:jc w:val="both"/>
              <w:rPr>
                <w:rFonts w:ascii="Sylfaen" w:eastAsia="Helvetica" w:hAnsi="Sylfaen" w:cs="Helvetica"/>
                <w:sz w:val="20"/>
                <w:szCs w:val="20"/>
                <w:lang w:val="ka-GE"/>
              </w:rPr>
            </w:pPr>
            <w:r w:rsidRPr="00475C3B">
              <w:rPr>
                <w:rFonts w:ascii="Sylfaen" w:eastAsia="Helvetica" w:hAnsi="Sylfaen" w:cs="Helvetica"/>
                <w:sz w:val="20"/>
                <w:szCs w:val="20"/>
                <w:lang w:val="ka-GE"/>
              </w:rPr>
              <w:t>საგარეო საქმეთა სამინისტროსა და ოკუპირებული</w:t>
            </w:r>
            <w:r>
              <w:rPr>
                <w:rFonts w:ascii="Sylfaen" w:eastAsia="Helvetica" w:hAnsi="Sylfaen" w:cs="Helvetica"/>
                <w:sz w:val="20"/>
                <w:szCs w:val="20"/>
                <w:lang w:val="ka-GE"/>
              </w:rPr>
              <w:t xml:space="preserve"> </w:t>
            </w:r>
            <w:r w:rsidRPr="00475C3B">
              <w:rPr>
                <w:rFonts w:ascii="Sylfaen" w:eastAsia="Helvetica" w:hAnsi="Sylfaen" w:cs="Helvetica"/>
                <w:sz w:val="20"/>
                <w:szCs w:val="20"/>
                <w:lang w:val="ka-GE"/>
              </w:rPr>
              <w:t>ტერიტორიებიდან დევნილთა, შრომის, ჯანმრთელობისა და სოციალური დაცვის სამინისტროს კოორდინირებული</w:t>
            </w:r>
            <w:r>
              <w:rPr>
                <w:rFonts w:ascii="Sylfaen" w:eastAsia="Helvetica" w:hAnsi="Sylfaen" w:cs="Helvetica"/>
                <w:sz w:val="20"/>
                <w:szCs w:val="20"/>
                <w:lang w:val="ka-GE"/>
              </w:rPr>
              <w:t xml:space="preserve"> </w:t>
            </w:r>
            <w:r w:rsidRPr="00475C3B">
              <w:rPr>
                <w:rFonts w:ascii="Sylfaen" w:eastAsia="Helvetica" w:hAnsi="Sylfaen" w:cs="Helvetica"/>
                <w:sz w:val="20"/>
                <w:szCs w:val="20"/>
                <w:lang w:val="ka-GE"/>
              </w:rPr>
              <w:t>მოქმედებით შემუშავდეს მექანიზმი, რომელიც შესაძლებელს</w:t>
            </w:r>
            <w:r>
              <w:rPr>
                <w:rFonts w:ascii="Sylfaen" w:eastAsia="Helvetica" w:hAnsi="Sylfaen" w:cs="Helvetica"/>
                <w:sz w:val="20"/>
                <w:szCs w:val="20"/>
                <w:lang w:val="ka-GE"/>
              </w:rPr>
              <w:t xml:space="preserve"> </w:t>
            </w:r>
            <w:r w:rsidRPr="00475C3B">
              <w:rPr>
                <w:rFonts w:ascii="Sylfaen" w:eastAsia="Helvetica" w:hAnsi="Sylfaen" w:cs="Helvetica"/>
                <w:sz w:val="20"/>
                <w:szCs w:val="20"/>
                <w:lang w:val="ka-GE"/>
              </w:rPr>
              <w:t xml:space="preserve">გახდის </w:t>
            </w:r>
            <w:r w:rsidRPr="00475C3B">
              <w:rPr>
                <w:rFonts w:ascii="Sylfaen" w:eastAsia="Helvetica" w:hAnsi="Sylfaen" w:cs="Helvetica"/>
                <w:b/>
                <w:sz w:val="20"/>
                <w:szCs w:val="20"/>
                <w:lang w:val="ka-GE"/>
              </w:rPr>
              <w:t>საყოველთაო ჯანდაცვის პროგრამის გარკვეული სერვისების მიწოდებას საზღვარგარეთ მცხოვრები საქართველოს მოქალაქეებისათვისაც</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475C3B" w:rsidRDefault="00475C3B" w:rsidP="00475C3B">
            <w:pPr>
              <w:jc w:val="both"/>
              <w:rPr>
                <w:rFonts w:ascii="Sylfaen" w:eastAsia="Helvetica" w:hAnsi="Sylfaen" w:cs="Helvetica"/>
                <w:sz w:val="20"/>
                <w:szCs w:val="20"/>
                <w:lang w:val="ka-GE"/>
              </w:rPr>
            </w:pPr>
            <w:r w:rsidRPr="004376F9">
              <w:rPr>
                <w:rFonts w:ascii="Sylfaen" w:eastAsia="Helvetica" w:hAnsi="Sylfaen" w:cs="Helvetica"/>
                <w:sz w:val="20"/>
                <w:szCs w:val="20"/>
                <w:highlight w:val="yellow"/>
                <w:lang w:val="ka-GE"/>
              </w:rPr>
              <w:t xml:space="preserve">საქართველოს ახალგაზრდა ელჩების პროგრამა შესაძლებლობას იძლევა საზღვარგარეთ მცხოვრებ 18-დან 29 წლამდე საქართველოს მოქალაქეები ერთწლიანი მანდატით გახდნენ „ახალგაზრდა ელჩი“ ადგილსამყოფელ ქვეყანაში და საკუთარი წვლილი შეიტანოს საქართველოს პოპულარიზაციაში, რასაც </w:t>
            </w:r>
            <w:r w:rsidRPr="004376F9">
              <w:rPr>
                <w:rFonts w:ascii="Sylfaen" w:eastAsia="Helvetica" w:hAnsi="Sylfaen" w:cs="Helvetica"/>
                <w:b/>
                <w:sz w:val="20"/>
                <w:szCs w:val="20"/>
                <w:highlight w:val="yellow"/>
                <w:lang w:val="ka-GE"/>
              </w:rPr>
              <w:t>მნიშვნელოვნად შეუწყობს ხელს საქართველოში ახალგაზრდა ელჩების ამბასადორიალის ჩატარებას;</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475C3B" w:rsidRDefault="00475C3B" w:rsidP="00475C3B">
            <w:pPr>
              <w:jc w:val="both"/>
              <w:rPr>
                <w:rFonts w:ascii="Sylfaen" w:eastAsia="Helvetica" w:hAnsi="Sylfaen" w:cs="Helvetica"/>
                <w:sz w:val="20"/>
                <w:szCs w:val="20"/>
                <w:lang w:val="ka-GE"/>
              </w:rPr>
            </w:pPr>
            <w:r w:rsidRPr="00475C3B">
              <w:rPr>
                <w:rFonts w:ascii="Sylfaen" w:eastAsia="Helvetica" w:hAnsi="Sylfaen" w:cs="Helvetica"/>
                <w:sz w:val="20"/>
                <w:szCs w:val="20"/>
                <w:lang w:val="ka-GE"/>
              </w:rPr>
              <w:t xml:space="preserve">ჩვენი ქვეყნის საელჩოს </w:t>
            </w:r>
            <w:r w:rsidRPr="00475C3B">
              <w:rPr>
                <w:rFonts w:ascii="Sylfaen" w:eastAsia="Helvetica" w:hAnsi="Sylfaen" w:cs="Helvetica"/>
                <w:b/>
                <w:sz w:val="20"/>
                <w:szCs w:val="20"/>
                <w:lang w:val="ka-GE"/>
              </w:rPr>
              <w:t>საფრანგეთში არ გააჩნია საკუთარი შენობა,</w:t>
            </w:r>
            <w:r w:rsidRPr="00475C3B">
              <w:rPr>
                <w:rFonts w:ascii="Sylfaen" w:eastAsia="Helvetica" w:hAnsi="Sylfaen" w:cs="Helvetica"/>
                <w:sz w:val="20"/>
                <w:szCs w:val="20"/>
                <w:lang w:val="ka-GE"/>
              </w:rPr>
              <w:t xml:space="preserve"> </w:t>
            </w:r>
            <w:r w:rsidRPr="00475C3B">
              <w:rPr>
                <w:rFonts w:ascii="Sylfaen" w:eastAsia="Helvetica" w:hAnsi="Sylfaen" w:cs="Helvetica"/>
                <w:b/>
                <w:sz w:val="20"/>
                <w:szCs w:val="20"/>
                <w:lang w:val="ka-GE"/>
              </w:rPr>
              <w:t>შესაბამისამა უწყებებმა განიხილონ შესაძლებლობა: მემორიალური ცენტრის პარლალელურად, საქართველოს დიპლომატიური წარმომადგენლობა განთავსდეს ლევილის მამულში.</w:t>
            </w:r>
            <w:r w:rsidRPr="00475C3B">
              <w:rPr>
                <w:rFonts w:ascii="Sylfaen" w:eastAsia="Helvetica" w:hAnsi="Sylfaen" w:cs="Helvetica"/>
                <w:sz w:val="20"/>
                <w:szCs w:val="20"/>
                <w:lang w:val="ka-GE"/>
              </w:rPr>
              <w:t xml:space="preserve"> ამ შემთხვევაში ლევილის მამულს ექნება, არა</w:t>
            </w:r>
            <w:r>
              <w:rPr>
                <w:rFonts w:ascii="Sylfaen" w:eastAsia="Helvetica" w:hAnsi="Sylfaen" w:cs="Helvetica"/>
                <w:sz w:val="20"/>
                <w:szCs w:val="20"/>
                <w:lang w:val="ka-GE"/>
              </w:rPr>
              <w:t xml:space="preserve"> </w:t>
            </w:r>
            <w:r w:rsidRPr="00475C3B">
              <w:rPr>
                <w:rFonts w:ascii="Sylfaen" w:eastAsia="Helvetica" w:hAnsi="Sylfaen" w:cs="Helvetica"/>
                <w:sz w:val="20"/>
                <w:szCs w:val="20"/>
                <w:lang w:val="ka-GE"/>
              </w:rPr>
              <w:t>მხოლოდ დიდი კულტურულ-ისტორიული, არამედ</w:t>
            </w:r>
            <w:r>
              <w:rPr>
                <w:rFonts w:ascii="Sylfaen" w:eastAsia="Helvetica" w:hAnsi="Sylfaen" w:cs="Helvetica"/>
                <w:sz w:val="20"/>
                <w:szCs w:val="20"/>
                <w:lang w:val="ka-GE"/>
              </w:rPr>
              <w:t xml:space="preserve"> </w:t>
            </w:r>
            <w:r w:rsidRPr="00475C3B">
              <w:rPr>
                <w:rFonts w:ascii="Sylfaen" w:eastAsia="Helvetica" w:hAnsi="Sylfaen" w:cs="Helvetica"/>
                <w:sz w:val="20"/>
                <w:szCs w:val="20"/>
                <w:lang w:val="ka-GE"/>
              </w:rPr>
              <w:t>პოლიტიკური დატვირთვაც ქართული სახელმწიფოსათვის</w:t>
            </w:r>
            <w:r>
              <w:rPr>
                <w:rFonts w:ascii="Sylfaen" w:eastAsia="Helvetica" w:hAnsi="Sylfaen" w:cs="Helvetica"/>
                <w:sz w:val="20"/>
                <w:szCs w:val="20"/>
                <w:lang w:val="ka-GE"/>
              </w:rPr>
              <w:t xml:space="preserve"> </w:t>
            </w:r>
            <w:r w:rsidRPr="00475C3B">
              <w:rPr>
                <w:rFonts w:ascii="Sylfaen" w:eastAsia="Helvetica" w:hAnsi="Sylfaen" w:cs="Helvetica"/>
                <w:sz w:val="20"/>
                <w:szCs w:val="20"/>
                <w:lang w:val="ka-GE"/>
              </w:rPr>
              <w:t>ევროპაში.</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475C3B" w:rsidRDefault="00475C3B" w:rsidP="00475C3B">
            <w:pPr>
              <w:jc w:val="both"/>
              <w:rPr>
                <w:rFonts w:ascii="Sylfaen" w:eastAsia="Helvetica" w:hAnsi="Sylfaen" w:cs="Helvetica"/>
                <w:sz w:val="20"/>
                <w:szCs w:val="20"/>
                <w:lang w:val="ka-GE"/>
              </w:rPr>
            </w:pPr>
            <w:r w:rsidRPr="00475C3B">
              <w:rPr>
                <w:rFonts w:ascii="Sylfaen" w:eastAsia="Helvetica" w:hAnsi="Sylfaen" w:cs="Helvetica"/>
                <w:sz w:val="20"/>
                <w:szCs w:val="20"/>
                <w:lang w:val="ka-GE"/>
              </w:rPr>
              <w:t xml:space="preserve">მიზანშეწონილია, </w:t>
            </w:r>
            <w:r w:rsidRPr="00475C3B">
              <w:rPr>
                <w:rFonts w:ascii="Sylfaen" w:eastAsia="Helvetica" w:hAnsi="Sylfaen" w:cs="Helvetica"/>
                <w:b/>
                <w:sz w:val="20"/>
                <w:szCs w:val="20"/>
                <w:lang w:val="ka-GE"/>
              </w:rPr>
              <w:t>ბიუჯეტის კანონპროექტში წარმოდგენილი მთავრობის ვალი გაანგარიშებული იქნეს „ეკონომიკური თავისუფლების შესახებ“ საქართველოს ორგანული კანონის მე-2 მუხლის შესაბამისად</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475C3B" w:rsidRDefault="00475C3B" w:rsidP="00475C3B">
            <w:pPr>
              <w:jc w:val="both"/>
              <w:rPr>
                <w:rFonts w:ascii="Sylfaen" w:eastAsia="Helvetica" w:hAnsi="Sylfaen" w:cs="Helvetica"/>
                <w:sz w:val="20"/>
                <w:szCs w:val="20"/>
                <w:lang w:val="ka-GE"/>
              </w:rPr>
            </w:pPr>
            <w:r w:rsidRPr="00475C3B">
              <w:rPr>
                <w:rFonts w:ascii="Sylfaen" w:eastAsia="Helvetica" w:hAnsi="Sylfaen" w:cs="Helvetica"/>
                <w:sz w:val="20"/>
                <w:szCs w:val="20"/>
                <w:lang w:val="ka-GE"/>
              </w:rPr>
              <w:t>კანონის პროექტზე თანდართული ძირითადი</w:t>
            </w:r>
            <w:r>
              <w:rPr>
                <w:rFonts w:ascii="Sylfaen" w:eastAsia="Helvetica" w:hAnsi="Sylfaen" w:cs="Helvetica"/>
                <w:sz w:val="20"/>
                <w:szCs w:val="20"/>
                <w:lang w:val="ka-GE"/>
              </w:rPr>
              <w:t xml:space="preserve"> </w:t>
            </w:r>
            <w:r w:rsidRPr="00475C3B">
              <w:rPr>
                <w:rFonts w:ascii="Sylfaen" w:eastAsia="Helvetica" w:hAnsi="Sylfaen" w:cs="Helvetica"/>
                <w:sz w:val="20"/>
                <w:szCs w:val="20"/>
                <w:lang w:val="ka-GE"/>
              </w:rPr>
              <w:t>ეკონომიკური და ფინანსური ინდიკატორების დოკუმენტში</w:t>
            </w:r>
            <w:r>
              <w:rPr>
                <w:rFonts w:ascii="Sylfaen" w:eastAsia="Helvetica" w:hAnsi="Sylfaen" w:cs="Helvetica"/>
                <w:sz w:val="20"/>
                <w:szCs w:val="20"/>
                <w:lang w:val="ka-GE"/>
              </w:rPr>
              <w:t xml:space="preserve"> </w:t>
            </w:r>
            <w:r w:rsidRPr="00475C3B">
              <w:rPr>
                <w:rFonts w:ascii="Sylfaen" w:eastAsia="Helvetica" w:hAnsi="Sylfaen" w:cs="Helvetica"/>
                <w:sz w:val="20"/>
                <w:szCs w:val="20"/>
                <w:lang w:val="ka-GE"/>
              </w:rPr>
              <w:t>(საბაზო სცენარით) ერთიანი ბიუჯეტის დეფიციტი შეადგენს მშპ</w:t>
            </w:r>
            <w:r>
              <w:rPr>
                <w:rFonts w:ascii="Sylfaen" w:eastAsia="Helvetica" w:hAnsi="Sylfaen" w:cs="Helvetica"/>
                <w:sz w:val="20"/>
                <w:szCs w:val="20"/>
                <w:lang w:val="ka-GE"/>
              </w:rPr>
              <w:t xml:space="preserve">- </w:t>
            </w:r>
            <w:r w:rsidRPr="00475C3B">
              <w:rPr>
                <w:rFonts w:ascii="Sylfaen" w:eastAsia="Helvetica" w:hAnsi="Sylfaen" w:cs="Helvetica"/>
                <w:sz w:val="20"/>
                <w:szCs w:val="20"/>
                <w:lang w:val="ka-GE"/>
              </w:rPr>
              <w:t>ს 2.7%-ს და აკმაყოფილებს ორგანული კანონით დადგენილ</w:t>
            </w:r>
            <w:r>
              <w:rPr>
                <w:rFonts w:ascii="Sylfaen" w:eastAsia="Helvetica" w:hAnsi="Sylfaen" w:cs="Helvetica"/>
                <w:sz w:val="20"/>
                <w:szCs w:val="20"/>
                <w:lang w:val="ka-GE"/>
              </w:rPr>
              <w:t xml:space="preserve"> 3.0%- </w:t>
            </w:r>
            <w:r w:rsidRPr="00475C3B">
              <w:rPr>
                <w:rFonts w:ascii="Sylfaen" w:eastAsia="Helvetica" w:hAnsi="Sylfaen" w:cs="Helvetica"/>
                <w:sz w:val="20"/>
                <w:szCs w:val="20"/>
                <w:lang w:val="ka-GE"/>
              </w:rPr>
              <w:t xml:space="preserve">იან ზღვარს. ხოლო </w:t>
            </w:r>
            <w:r w:rsidRPr="00475C3B">
              <w:rPr>
                <w:rFonts w:ascii="Sylfaen" w:eastAsia="Helvetica" w:hAnsi="Sylfaen" w:cs="Helvetica"/>
                <w:b/>
                <w:sz w:val="20"/>
                <w:szCs w:val="20"/>
                <w:lang w:val="ka-GE"/>
              </w:rPr>
              <w:t>ოპტიმისტური და პესიმისტური სცენარებით წარმოდგენილი მაჩვენებლები არ მოიცავს ინფორმაციას ერთიანი ბიუჯეტის პოტენციური მაჩვენებლების შესახებ, მათ შორის, საშუალოვადიან პერიოდში მოსალოდნელი ერთიანი ბიუჯეტის დეფიციტისა და მისი დაფინანსების წყაროების თაობაზე;</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475C3B" w:rsidRDefault="00475C3B" w:rsidP="00475C3B">
            <w:pPr>
              <w:jc w:val="both"/>
              <w:rPr>
                <w:rFonts w:ascii="Sylfaen" w:eastAsia="Helvetica" w:hAnsi="Sylfaen" w:cs="Helvetica"/>
                <w:sz w:val="20"/>
                <w:szCs w:val="20"/>
                <w:lang w:val="ka-GE"/>
              </w:rPr>
            </w:pPr>
            <w:r w:rsidRPr="00475C3B">
              <w:rPr>
                <w:rFonts w:ascii="Sylfaen" w:eastAsia="Helvetica" w:hAnsi="Sylfaen" w:cs="Helvetica"/>
                <w:sz w:val="20"/>
                <w:szCs w:val="20"/>
                <w:lang w:val="ka-GE"/>
              </w:rPr>
              <w:t>2020 წლის ბიუჯეტის პროექტზე თანდართულ</w:t>
            </w:r>
            <w:r>
              <w:rPr>
                <w:rFonts w:ascii="Sylfaen" w:eastAsia="Helvetica" w:hAnsi="Sylfaen" w:cs="Helvetica"/>
                <w:sz w:val="20"/>
                <w:szCs w:val="20"/>
                <w:lang w:val="ka-GE"/>
              </w:rPr>
              <w:t xml:space="preserve"> </w:t>
            </w:r>
            <w:r w:rsidRPr="00475C3B">
              <w:rPr>
                <w:rFonts w:ascii="Sylfaen" w:eastAsia="Helvetica" w:hAnsi="Sylfaen" w:cs="Helvetica"/>
                <w:b/>
                <w:sz w:val="20"/>
                <w:szCs w:val="20"/>
                <w:lang w:val="ka-GE"/>
              </w:rPr>
              <w:t>ფისკალური რისკების ანალიზის დოკუმენტში წარმოდგენილი ინფორმაცია პოზიტიური და ნეგატიური შოკების შესახებ, ზოგადი ხასიათისაა.</w:t>
            </w:r>
            <w:r w:rsidRPr="00475C3B">
              <w:rPr>
                <w:rFonts w:ascii="Sylfaen" w:eastAsia="Helvetica" w:hAnsi="Sylfaen" w:cs="Helvetica"/>
                <w:sz w:val="20"/>
                <w:szCs w:val="20"/>
                <w:lang w:val="ka-GE"/>
              </w:rPr>
              <w:t xml:space="preserve"> მიზანშეწონილია, საერთაშორისო</w:t>
            </w:r>
            <w:r>
              <w:rPr>
                <w:rFonts w:ascii="Sylfaen" w:eastAsia="Helvetica" w:hAnsi="Sylfaen" w:cs="Helvetica"/>
                <w:sz w:val="20"/>
                <w:szCs w:val="20"/>
                <w:lang w:val="ka-GE"/>
              </w:rPr>
              <w:t xml:space="preserve"> </w:t>
            </w:r>
            <w:r w:rsidRPr="00475C3B">
              <w:rPr>
                <w:rFonts w:ascii="Sylfaen" w:eastAsia="Helvetica" w:hAnsi="Sylfaen" w:cs="Helvetica"/>
                <w:sz w:val="20"/>
                <w:szCs w:val="20"/>
                <w:lang w:val="ka-GE"/>
              </w:rPr>
              <w:t>ორგანიზაციებთან გაგრძელდეს მუშაობა დოკუმენტის შემდგომი</w:t>
            </w:r>
            <w:r>
              <w:rPr>
                <w:rFonts w:ascii="Sylfaen" w:eastAsia="Helvetica" w:hAnsi="Sylfaen" w:cs="Helvetica"/>
                <w:sz w:val="20"/>
                <w:szCs w:val="20"/>
                <w:lang w:val="ka-GE"/>
              </w:rPr>
              <w:t xml:space="preserve"> </w:t>
            </w:r>
            <w:r w:rsidRPr="00475C3B">
              <w:rPr>
                <w:rFonts w:ascii="Sylfaen" w:eastAsia="Helvetica" w:hAnsi="Sylfaen" w:cs="Helvetica"/>
                <w:sz w:val="20"/>
                <w:szCs w:val="20"/>
                <w:lang w:val="ka-GE"/>
              </w:rPr>
              <w:t>გაუმჯობესების მიმართულებით, რათა წარმოდგენილ იქნეს ის</w:t>
            </w:r>
            <w:r>
              <w:rPr>
                <w:rFonts w:ascii="Sylfaen" w:eastAsia="Helvetica" w:hAnsi="Sylfaen" w:cs="Helvetica"/>
                <w:sz w:val="20"/>
                <w:szCs w:val="20"/>
                <w:lang w:val="ka-GE"/>
              </w:rPr>
              <w:t xml:space="preserve"> </w:t>
            </w:r>
            <w:r w:rsidRPr="00475C3B">
              <w:rPr>
                <w:rFonts w:ascii="Sylfaen" w:eastAsia="Helvetica" w:hAnsi="Sylfaen" w:cs="Helvetica"/>
                <w:sz w:val="20"/>
                <w:szCs w:val="20"/>
                <w:lang w:val="ka-GE"/>
              </w:rPr>
              <w:t>კონკრეტული ინდიკატორები, რომლითაც შესაძლებელი გახდება</w:t>
            </w:r>
            <w:r>
              <w:rPr>
                <w:rFonts w:ascii="Sylfaen" w:eastAsia="Helvetica" w:hAnsi="Sylfaen" w:cs="Helvetica"/>
                <w:sz w:val="20"/>
                <w:szCs w:val="20"/>
                <w:lang w:val="ka-GE"/>
              </w:rPr>
              <w:t xml:space="preserve"> </w:t>
            </w:r>
            <w:r w:rsidRPr="00475C3B">
              <w:rPr>
                <w:rFonts w:ascii="Sylfaen" w:eastAsia="Helvetica" w:hAnsi="Sylfaen" w:cs="Helvetica"/>
                <w:sz w:val="20"/>
                <w:szCs w:val="20"/>
                <w:lang w:val="ka-GE"/>
              </w:rPr>
              <w:t>დოკუმენტში მითითებული შოკების რეალიზების შედეგების</w:t>
            </w:r>
            <w:r>
              <w:rPr>
                <w:rFonts w:ascii="Sylfaen" w:eastAsia="Helvetica" w:hAnsi="Sylfaen" w:cs="Helvetica"/>
                <w:sz w:val="20"/>
                <w:szCs w:val="20"/>
                <w:lang w:val="ka-GE"/>
              </w:rPr>
              <w:t xml:space="preserve"> </w:t>
            </w:r>
            <w:r w:rsidRPr="00475C3B">
              <w:rPr>
                <w:rFonts w:ascii="Sylfaen" w:eastAsia="Helvetica" w:hAnsi="Sylfaen" w:cs="Helvetica"/>
                <w:sz w:val="20"/>
                <w:szCs w:val="20"/>
                <w:lang w:val="ka-GE"/>
              </w:rPr>
              <w:t>ანალიზი და შეფასება;</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475C3B" w:rsidRDefault="00475C3B" w:rsidP="00475C3B">
            <w:pPr>
              <w:jc w:val="both"/>
              <w:rPr>
                <w:rFonts w:ascii="Sylfaen" w:eastAsia="Helvetica" w:hAnsi="Sylfaen" w:cs="Helvetica"/>
                <w:sz w:val="20"/>
                <w:szCs w:val="20"/>
                <w:lang w:val="ka-GE"/>
              </w:rPr>
            </w:pPr>
            <w:r w:rsidRPr="00475C3B">
              <w:rPr>
                <w:rFonts w:ascii="Sylfaen" w:eastAsia="Helvetica" w:hAnsi="Sylfaen" w:cs="Helvetica"/>
                <w:sz w:val="20"/>
                <w:szCs w:val="20"/>
                <w:lang w:val="ka-GE"/>
              </w:rPr>
              <w:t>წარმოდგენილი კანონპროექტით</w:t>
            </w:r>
            <w:r>
              <w:rPr>
                <w:rFonts w:ascii="Sylfaen" w:eastAsia="Helvetica" w:hAnsi="Sylfaen" w:cs="Helvetica"/>
                <w:sz w:val="20"/>
                <w:szCs w:val="20"/>
                <w:lang w:val="ka-GE"/>
              </w:rPr>
              <w:t xml:space="preserve"> </w:t>
            </w:r>
            <w:r w:rsidRPr="00B83C06">
              <w:rPr>
                <w:rFonts w:ascii="Sylfaen" w:eastAsia="Helvetica" w:hAnsi="Sylfaen" w:cs="Helvetica"/>
                <w:b/>
                <w:sz w:val="20"/>
                <w:szCs w:val="20"/>
                <w:lang w:val="ka-GE"/>
              </w:rPr>
              <w:t>„პროცენტის“ სახით მისაღები შემოსავლების საპროგნოზო მაჩვენებელი 2019 წელთან შედარებით იზრდება 10 მლნ ლარით (11.8%-ით) და შეადგენს 95 მლნ ლარს.</w:t>
            </w:r>
            <w:r w:rsidRPr="00475C3B">
              <w:rPr>
                <w:rFonts w:ascii="Sylfaen" w:eastAsia="Helvetica" w:hAnsi="Sylfaen" w:cs="Helvetica"/>
                <w:sz w:val="20"/>
                <w:szCs w:val="20"/>
                <w:lang w:val="ka-GE"/>
              </w:rPr>
              <w:t xml:space="preserve"> ამასთან, კანონპროექტით</w:t>
            </w:r>
            <w:r>
              <w:rPr>
                <w:rFonts w:ascii="Sylfaen" w:eastAsia="Helvetica" w:hAnsi="Sylfaen" w:cs="Helvetica"/>
                <w:sz w:val="20"/>
                <w:szCs w:val="20"/>
                <w:lang w:val="ka-GE"/>
              </w:rPr>
              <w:t xml:space="preserve"> </w:t>
            </w:r>
            <w:r w:rsidRPr="00B83C06">
              <w:rPr>
                <w:rFonts w:ascii="Sylfaen" w:eastAsia="Helvetica" w:hAnsi="Sylfaen" w:cs="Helvetica"/>
                <w:b/>
                <w:sz w:val="20"/>
                <w:szCs w:val="20"/>
                <w:lang w:val="ka-GE"/>
              </w:rPr>
              <w:t>გათვალისწინებულია ნაშთის გამოყენება 172 მლნ ლარის ოდენობით, რაც ნაშთის რესურსის მოცულობას ამცირებს</w:t>
            </w:r>
            <w:r>
              <w:rPr>
                <w:rFonts w:ascii="Sylfaen" w:eastAsia="Helvetica" w:hAnsi="Sylfaen" w:cs="Helvetica"/>
                <w:sz w:val="20"/>
                <w:szCs w:val="20"/>
                <w:lang w:val="ka-GE"/>
              </w:rPr>
              <w:t xml:space="preserve">. </w:t>
            </w:r>
            <w:r w:rsidRPr="00475C3B">
              <w:rPr>
                <w:rFonts w:ascii="Sylfaen" w:eastAsia="Helvetica" w:hAnsi="Sylfaen" w:cs="Helvetica"/>
                <w:sz w:val="20"/>
                <w:szCs w:val="20"/>
                <w:lang w:val="ka-GE"/>
              </w:rPr>
              <w:t>შესაბამისად, „პროცენტის“ სახით მისაღები შემოსავლის</w:t>
            </w:r>
            <w:r>
              <w:rPr>
                <w:rFonts w:ascii="Sylfaen" w:eastAsia="Helvetica" w:hAnsi="Sylfaen" w:cs="Helvetica"/>
                <w:sz w:val="20"/>
                <w:szCs w:val="20"/>
                <w:lang w:val="ka-GE"/>
              </w:rPr>
              <w:t xml:space="preserve"> </w:t>
            </w:r>
            <w:r w:rsidRPr="00475C3B">
              <w:rPr>
                <w:rFonts w:ascii="Sylfaen" w:eastAsia="Helvetica" w:hAnsi="Sylfaen" w:cs="Helvetica"/>
                <w:sz w:val="20"/>
                <w:szCs w:val="20"/>
                <w:lang w:val="ka-GE"/>
              </w:rPr>
              <w:t>საპროგნოზო მაჩვენებლის ზრდა საჭიროებს დამატებით</w:t>
            </w:r>
            <w:r>
              <w:rPr>
                <w:rFonts w:ascii="Sylfaen" w:eastAsia="Helvetica" w:hAnsi="Sylfaen" w:cs="Helvetica"/>
                <w:sz w:val="20"/>
                <w:szCs w:val="20"/>
                <w:lang w:val="ka-GE"/>
              </w:rPr>
              <w:t xml:space="preserve"> </w:t>
            </w:r>
            <w:r w:rsidRPr="00475C3B">
              <w:rPr>
                <w:rFonts w:ascii="Sylfaen" w:eastAsia="Helvetica" w:hAnsi="Sylfaen" w:cs="Helvetica"/>
                <w:sz w:val="20"/>
                <w:szCs w:val="20"/>
                <w:lang w:val="ka-GE"/>
              </w:rPr>
              <w:t>დასაბუთებას</w:t>
            </w:r>
            <w:r w:rsidR="004376F9">
              <w:rPr>
                <w:rFonts w:ascii="Sylfaen" w:eastAsia="Helvetica" w:hAnsi="Sylfaen" w:cs="Helvetica"/>
                <w:sz w:val="20"/>
                <w:szCs w:val="20"/>
                <w:lang w:val="ka-GE"/>
              </w:rPr>
              <w:t>;</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B83C06" w:rsidRDefault="00B83C06" w:rsidP="00B83C06">
            <w:pPr>
              <w:jc w:val="both"/>
              <w:rPr>
                <w:rFonts w:ascii="Sylfaen" w:eastAsia="Helvetica" w:hAnsi="Sylfaen" w:cs="Helvetica"/>
                <w:sz w:val="20"/>
                <w:szCs w:val="20"/>
                <w:lang w:val="ka-GE"/>
              </w:rPr>
            </w:pPr>
            <w:r w:rsidRPr="00B83C06">
              <w:rPr>
                <w:rFonts w:ascii="Sylfaen" w:eastAsia="Helvetica" w:hAnsi="Sylfaen" w:cs="Helvetica"/>
                <w:sz w:val="20"/>
                <w:szCs w:val="20"/>
                <w:lang w:val="ka-GE"/>
              </w:rPr>
              <w:t>დივიდენდებიდან მისაღები შემოსავლების</w:t>
            </w:r>
            <w:r>
              <w:rPr>
                <w:rFonts w:ascii="Sylfaen" w:eastAsia="Helvetica" w:hAnsi="Sylfaen" w:cs="Helvetica"/>
                <w:sz w:val="20"/>
                <w:szCs w:val="20"/>
                <w:lang w:val="ka-GE"/>
              </w:rPr>
              <w:t xml:space="preserve"> </w:t>
            </w:r>
            <w:r w:rsidRPr="00B83C06">
              <w:rPr>
                <w:rFonts w:ascii="Sylfaen" w:eastAsia="Helvetica" w:hAnsi="Sylfaen" w:cs="Helvetica"/>
                <w:sz w:val="20"/>
                <w:szCs w:val="20"/>
                <w:lang w:val="ka-GE"/>
              </w:rPr>
              <w:t>რეალისტური საპროგნოზო მაჩვენებლის განსაზღვრის მიზნით</w:t>
            </w:r>
            <w:r>
              <w:rPr>
                <w:rFonts w:ascii="Sylfaen" w:eastAsia="Helvetica" w:hAnsi="Sylfaen" w:cs="Helvetica"/>
                <w:sz w:val="20"/>
                <w:szCs w:val="20"/>
                <w:lang w:val="ka-GE"/>
              </w:rPr>
              <w:t xml:space="preserve"> </w:t>
            </w:r>
            <w:r w:rsidRPr="00B83C06">
              <w:rPr>
                <w:rFonts w:ascii="Sylfaen" w:eastAsia="Helvetica" w:hAnsi="Sylfaen" w:cs="Helvetica"/>
                <w:sz w:val="20"/>
                <w:szCs w:val="20"/>
                <w:lang w:val="ka-GE"/>
              </w:rPr>
              <w:t xml:space="preserve">მიზანშეწონილია, </w:t>
            </w:r>
            <w:r w:rsidRPr="00B83C06">
              <w:rPr>
                <w:rFonts w:ascii="Sylfaen" w:eastAsia="Helvetica" w:hAnsi="Sylfaen" w:cs="Helvetica"/>
                <w:b/>
                <w:sz w:val="20"/>
                <w:szCs w:val="20"/>
                <w:lang w:val="ka-GE"/>
              </w:rPr>
              <w:t>დივიდენდების გამანაწილებელი კომისია შეიკრიბოს დროულად, რათა მოხდეს მათ მიერ მიღებული გადაწყვეტილების ასახვა დივიდენდების საპროგნოზო მაჩვენებელში;</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B83C06" w:rsidRDefault="00B83C06" w:rsidP="00B83C06">
            <w:pPr>
              <w:jc w:val="both"/>
              <w:rPr>
                <w:rFonts w:ascii="Sylfaen" w:eastAsia="Helvetica" w:hAnsi="Sylfaen" w:cs="Helvetica"/>
                <w:sz w:val="20"/>
                <w:szCs w:val="20"/>
                <w:lang w:val="ka-GE"/>
              </w:rPr>
            </w:pPr>
            <w:r w:rsidRPr="00B83C06">
              <w:rPr>
                <w:rFonts w:ascii="Sylfaen" w:eastAsia="Helvetica" w:hAnsi="Sylfaen" w:cs="Helvetica"/>
                <w:sz w:val="20"/>
                <w:szCs w:val="20"/>
                <w:lang w:val="ka-GE"/>
              </w:rPr>
              <w:t xml:space="preserve">კანონპროექტზე თანდართულ </w:t>
            </w:r>
            <w:r w:rsidRPr="00840C19">
              <w:rPr>
                <w:rFonts w:ascii="Sylfaen" w:eastAsia="Helvetica" w:hAnsi="Sylfaen" w:cs="Helvetica"/>
                <w:b/>
                <w:sz w:val="20"/>
                <w:szCs w:val="20"/>
                <w:lang w:val="ka-GE"/>
              </w:rPr>
              <w:t>„ფისკალური რისკების ანალიზის“ დოკუმენტში არ არის წარმოდგენილი მონაცემები ყველა საჯარო და კერძო თანამშრომლობის (PPP) კონტრაქტის შესახებ.</w:t>
            </w:r>
            <w:r w:rsidRPr="00B83C06">
              <w:rPr>
                <w:rFonts w:ascii="Sylfaen" w:eastAsia="Helvetica" w:hAnsi="Sylfaen" w:cs="Helvetica"/>
                <w:sz w:val="20"/>
                <w:szCs w:val="20"/>
                <w:lang w:val="ka-GE"/>
              </w:rPr>
              <w:t xml:space="preserve"> ფისკალური წნეხის სრულყოფილად</w:t>
            </w:r>
            <w:r>
              <w:rPr>
                <w:rFonts w:ascii="Sylfaen" w:eastAsia="Helvetica" w:hAnsi="Sylfaen" w:cs="Helvetica"/>
                <w:sz w:val="20"/>
                <w:szCs w:val="20"/>
                <w:lang w:val="ka-GE"/>
              </w:rPr>
              <w:t xml:space="preserve"> </w:t>
            </w:r>
            <w:r w:rsidRPr="00B83C06">
              <w:rPr>
                <w:rFonts w:ascii="Sylfaen" w:eastAsia="Helvetica" w:hAnsi="Sylfaen" w:cs="Helvetica"/>
                <w:sz w:val="20"/>
                <w:szCs w:val="20"/>
                <w:lang w:val="ka-GE"/>
              </w:rPr>
              <w:t>შესაფასებლად, მიზანშეწონილია, საერთაშორისო</w:t>
            </w:r>
            <w:r>
              <w:rPr>
                <w:rFonts w:ascii="Sylfaen" w:eastAsia="Helvetica" w:hAnsi="Sylfaen" w:cs="Helvetica"/>
                <w:sz w:val="20"/>
                <w:szCs w:val="20"/>
                <w:lang w:val="ka-GE"/>
              </w:rPr>
              <w:t xml:space="preserve"> </w:t>
            </w:r>
            <w:r w:rsidRPr="00B83C06">
              <w:rPr>
                <w:rFonts w:ascii="Sylfaen" w:eastAsia="Helvetica" w:hAnsi="Sylfaen" w:cs="Helvetica"/>
                <w:sz w:val="20"/>
                <w:szCs w:val="20"/>
                <w:lang w:val="ka-GE"/>
              </w:rPr>
              <w:t>ორგანიზაციებთან გაგრძელდეს მუშაობა ფისკალური რისკების</w:t>
            </w:r>
            <w:r>
              <w:rPr>
                <w:rFonts w:ascii="Sylfaen" w:eastAsia="Helvetica" w:hAnsi="Sylfaen" w:cs="Helvetica"/>
                <w:sz w:val="20"/>
                <w:szCs w:val="20"/>
                <w:lang w:val="ka-GE"/>
              </w:rPr>
              <w:t xml:space="preserve"> </w:t>
            </w:r>
            <w:r w:rsidRPr="00B83C06">
              <w:rPr>
                <w:rFonts w:ascii="Sylfaen" w:eastAsia="Helvetica" w:hAnsi="Sylfaen" w:cs="Helvetica"/>
                <w:sz w:val="20"/>
                <w:szCs w:val="20"/>
                <w:lang w:val="ka-GE"/>
              </w:rPr>
              <w:t>ანალიზის დოკუმენტის შემდგომ გაუმჯობესებაზე და შესაბამისი</w:t>
            </w:r>
            <w:r>
              <w:rPr>
                <w:rFonts w:ascii="Sylfaen" w:eastAsia="Helvetica" w:hAnsi="Sylfaen" w:cs="Helvetica"/>
                <w:sz w:val="20"/>
                <w:szCs w:val="20"/>
                <w:lang w:val="ka-GE"/>
              </w:rPr>
              <w:t xml:space="preserve"> </w:t>
            </w:r>
            <w:r w:rsidRPr="00B83C06">
              <w:rPr>
                <w:rFonts w:ascii="Sylfaen" w:eastAsia="Helvetica" w:hAnsi="Sylfaen" w:cs="Helvetica"/>
                <w:sz w:val="20"/>
                <w:szCs w:val="20"/>
                <w:lang w:val="ka-GE"/>
              </w:rPr>
              <w:t>ფორმით წარმოდგენილ იქნეს შემდგომი წლის სახელმწიფო</w:t>
            </w:r>
            <w:r>
              <w:rPr>
                <w:rFonts w:ascii="Sylfaen" w:eastAsia="Helvetica" w:hAnsi="Sylfaen" w:cs="Helvetica"/>
                <w:sz w:val="20"/>
                <w:szCs w:val="20"/>
                <w:lang w:val="ka-GE"/>
              </w:rPr>
              <w:t xml:space="preserve"> </w:t>
            </w:r>
            <w:r w:rsidRPr="00B83C06">
              <w:rPr>
                <w:rFonts w:ascii="Sylfaen" w:eastAsia="Helvetica" w:hAnsi="Sylfaen" w:cs="Helvetica"/>
                <w:sz w:val="20"/>
                <w:szCs w:val="20"/>
                <w:lang w:val="ka-GE"/>
              </w:rPr>
              <w:t>ბიუჯეტის პროექტთან ერთად;</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840C19" w:rsidRDefault="00840C19" w:rsidP="00840C19">
            <w:pPr>
              <w:jc w:val="both"/>
              <w:rPr>
                <w:rFonts w:ascii="Sylfaen" w:eastAsia="Helvetica" w:hAnsi="Sylfaen" w:cs="Helvetica"/>
                <w:sz w:val="20"/>
                <w:szCs w:val="20"/>
                <w:lang w:val="ka-GE"/>
              </w:rPr>
            </w:pPr>
            <w:r w:rsidRPr="00840C19">
              <w:rPr>
                <w:rFonts w:ascii="Sylfaen" w:eastAsia="Helvetica" w:hAnsi="Sylfaen" w:cs="Helvetica"/>
                <w:sz w:val="20"/>
                <w:szCs w:val="20"/>
                <w:lang w:val="ka-GE"/>
              </w:rPr>
              <w:t xml:space="preserve">ბიუჯეტის კანონპროექტს </w:t>
            </w:r>
            <w:r w:rsidRPr="00840C19">
              <w:rPr>
                <w:rFonts w:ascii="Sylfaen" w:eastAsia="Helvetica" w:hAnsi="Sylfaen" w:cs="Helvetica"/>
                <w:b/>
                <w:sz w:val="20"/>
                <w:szCs w:val="20"/>
                <w:lang w:val="ka-GE"/>
              </w:rPr>
              <w:t>თან ახლავს მთავრობის ვალის მდგრადობის ანალიზი, თუმცა იგი არ ითვალისწინებს სახელმწიფო საწარმოებისა და PPP-ებისგან (საჯარო და კერძო თანამშრომლობის კონტრაქტი) მოსალოდნელ პირობით ვალდებულებებს, რომელთა გათვალისწინება მნიშვნელოვანია წარმოდგენილი ცვლადებისა და შოკების რეალისტურობის უზრუნველსაყოფად.</w:t>
            </w:r>
            <w:r w:rsidRPr="00840C19">
              <w:rPr>
                <w:rFonts w:ascii="Sylfaen" w:eastAsia="Helvetica" w:hAnsi="Sylfaen" w:cs="Helvetica"/>
                <w:sz w:val="20"/>
                <w:szCs w:val="20"/>
                <w:lang w:val="ka-GE"/>
              </w:rPr>
              <w:t xml:space="preserve"> შესაბამისად, უნდა გაგრძელდეს მუშაობა</w:t>
            </w:r>
            <w:r>
              <w:rPr>
                <w:rFonts w:ascii="Sylfaen" w:eastAsia="Helvetica" w:hAnsi="Sylfaen" w:cs="Helvetica"/>
                <w:sz w:val="20"/>
                <w:szCs w:val="20"/>
                <w:lang w:val="ka-GE"/>
              </w:rPr>
              <w:t xml:space="preserve"> </w:t>
            </w:r>
            <w:r w:rsidRPr="00840C19">
              <w:rPr>
                <w:rFonts w:ascii="Sylfaen" w:eastAsia="Helvetica" w:hAnsi="Sylfaen" w:cs="Helvetica"/>
                <w:sz w:val="20"/>
                <w:szCs w:val="20"/>
                <w:lang w:val="ka-GE"/>
              </w:rPr>
              <w:t>აღნიშნული დოკუმენტის დახვეწის მიმართულებით;</w:t>
            </w:r>
          </w:p>
        </w:tc>
        <w:tc>
          <w:tcPr>
            <w:tcW w:w="6048" w:type="dxa"/>
          </w:tcPr>
          <w:p w:rsidR="00E4300D" w:rsidRDefault="00E4300D">
            <w:pPr>
              <w:rPr>
                <w:rFonts w:ascii="Sylfaen" w:eastAsia="Helvetica" w:hAnsi="Sylfaen" w:cs="Helvetica"/>
                <w:b/>
                <w:sz w:val="20"/>
                <w:szCs w:val="20"/>
                <w:lang w:val="ka-GE"/>
              </w:rPr>
            </w:pPr>
          </w:p>
        </w:tc>
      </w:tr>
      <w:tr w:rsidR="00E4300D" w:rsidTr="005918F7">
        <w:tc>
          <w:tcPr>
            <w:tcW w:w="7128" w:type="dxa"/>
          </w:tcPr>
          <w:p w:rsidR="00E4300D" w:rsidRPr="00840C19" w:rsidRDefault="00840C19" w:rsidP="00840C19">
            <w:pPr>
              <w:jc w:val="both"/>
              <w:rPr>
                <w:rFonts w:ascii="Sylfaen" w:eastAsia="Helvetica" w:hAnsi="Sylfaen" w:cs="Helvetica"/>
                <w:sz w:val="20"/>
                <w:szCs w:val="20"/>
                <w:lang w:val="ka-GE"/>
              </w:rPr>
            </w:pPr>
            <w:r w:rsidRPr="00840C19">
              <w:rPr>
                <w:rFonts w:ascii="Sylfaen" w:eastAsia="Helvetica" w:hAnsi="Sylfaen" w:cs="Helvetica"/>
                <w:sz w:val="20"/>
                <w:szCs w:val="20"/>
                <w:lang w:val="ka-GE"/>
              </w:rPr>
              <w:t>მოქმედი კანონმდებლობის შესაბამისად უკვე</w:t>
            </w:r>
            <w:r>
              <w:rPr>
                <w:rFonts w:ascii="Sylfaen" w:eastAsia="Helvetica" w:hAnsi="Sylfaen" w:cs="Helvetica"/>
                <w:sz w:val="20"/>
                <w:szCs w:val="20"/>
                <w:lang w:val="ka-GE"/>
              </w:rPr>
              <w:t xml:space="preserve"> </w:t>
            </w:r>
            <w:r w:rsidRPr="00840C19">
              <w:rPr>
                <w:rFonts w:ascii="Sylfaen" w:eastAsia="Helvetica" w:hAnsi="Sylfaen" w:cs="Helvetica"/>
                <w:sz w:val="20"/>
                <w:szCs w:val="20"/>
                <w:lang w:val="ka-GE"/>
              </w:rPr>
              <w:t>რამდენიმე წელია ბიუჯეტის დაგეგმვა ხორციელდება</w:t>
            </w:r>
            <w:r>
              <w:rPr>
                <w:rFonts w:ascii="Sylfaen" w:eastAsia="Helvetica" w:hAnsi="Sylfaen" w:cs="Helvetica"/>
                <w:sz w:val="20"/>
                <w:szCs w:val="20"/>
                <w:lang w:val="ka-GE"/>
              </w:rPr>
              <w:t xml:space="preserve"> </w:t>
            </w:r>
            <w:r w:rsidRPr="00840C19">
              <w:rPr>
                <w:rFonts w:ascii="Sylfaen" w:eastAsia="Helvetica" w:hAnsi="Sylfaen" w:cs="Helvetica"/>
                <w:sz w:val="20"/>
                <w:szCs w:val="20"/>
                <w:lang w:val="ka-GE"/>
              </w:rPr>
              <w:t>პროგრამული ბიუჯეტის ფორმატით, რომელიც თანდათანობით</w:t>
            </w:r>
            <w:r>
              <w:rPr>
                <w:rFonts w:ascii="Sylfaen" w:eastAsia="Helvetica" w:hAnsi="Sylfaen" w:cs="Helvetica"/>
                <w:sz w:val="20"/>
                <w:szCs w:val="20"/>
                <w:lang w:val="ka-GE"/>
              </w:rPr>
              <w:t xml:space="preserve"> </w:t>
            </w:r>
            <w:r w:rsidRPr="00840C19">
              <w:rPr>
                <w:rFonts w:ascii="Sylfaen" w:eastAsia="Helvetica" w:hAnsi="Sylfaen" w:cs="Helvetica"/>
                <w:sz w:val="20"/>
                <w:szCs w:val="20"/>
                <w:lang w:val="ka-GE"/>
              </w:rPr>
              <w:t>იხვეწება და წარმოდგენილია გაუმჯობესებული ფორმატით</w:t>
            </w:r>
            <w:r>
              <w:rPr>
                <w:rFonts w:ascii="Sylfaen" w:eastAsia="Helvetica" w:hAnsi="Sylfaen" w:cs="Helvetica"/>
                <w:sz w:val="20"/>
                <w:szCs w:val="20"/>
                <w:lang w:val="ka-GE"/>
              </w:rPr>
              <w:t xml:space="preserve">, </w:t>
            </w:r>
            <w:r w:rsidRPr="00840C19">
              <w:rPr>
                <w:rFonts w:ascii="Sylfaen" w:eastAsia="Helvetica" w:hAnsi="Sylfaen" w:cs="Helvetica"/>
                <w:sz w:val="20"/>
                <w:szCs w:val="20"/>
                <w:lang w:val="ka-GE"/>
              </w:rPr>
              <w:t>თუმცა უნდა აღინიშნოს, რომ ბიუჯეტის წარმოდგენილი</w:t>
            </w:r>
            <w:r>
              <w:rPr>
                <w:rFonts w:ascii="Sylfaen" w:eastAsia="Helvetica" w:hAnsi="Sylfaen" w:cs="Helvetica"/>
                <w:sz w:val="20"/>
                <w:szCs w:val="20"/>
                <w:lang w:val="ka-GE"/>
              </w:rPr>
              <w:t xml:space="preserve"> </w:t>
            </w:r>
            <w:r w:rsidRPr="00840C19">
              <w:rPr>
                <w:rFonts w:ascii="Sylfaen" w:eastAsia="Helvetica" w:hAnsi="Sylfaen" w:cs="Helvetica"/>
                <w:b/>
                <w:sz w:val="20"/>
                <w:szCs w:val="20"/>
                <w:lang w:val="ka-GE"/>
              </w:rPr>
              <w:t>პროექტით გათვალისწინებული პროგრამებისა და პროექტების ინდიკატორები (როგორც რაოდენობრივი ისევ ხარისხობრივი) ჯერ კიდევ არ არის სრულყოფილი, ხოლო ზოგიერთ შემთხვევაში ძალიან ზოგადია, რაც პროგრამებისა და პროექტების დაფინანსების ოდენობების რაციონალურობა და შესაძლო ეფექტიანობის შესაძლებლობას არ იძლევა.</w:t>
            </w:r>
            <w:r w:rsidRPr="00840C19">
              <w:rPr>
                <w:rFonts w:ascii="Sylfaen" w:eastAsia="Helvetica" w:hAnsi="Sylfaen" w:cs="Helvetica"/>
                <w:sz w:val="20"/>
                <w:szCs w:val="20"/>
                <w:lang w:val="ka-GE"/>
              </w:rPr>
              <w:t xml:space="preserve"> შესაბამისად</w:t>
            </w:r>
            <w:r>
              <w:rPr>
                <w:rFonts w:ascii="Sylfaen" w:eastAsia="Helvetica" w:hAnsi="Sylfaen" w:cs="Helvetica"/>
                <w:sz w:val="20"/>
                <w:szCs w:val="20"/>
                <w:lang w:val="ka-GE"/>
              </w:rPr>
              <w:t xml:space="preserve">, </w:t>
            </w:r>
            <w:r w:rsidRPr="00840C19">
              <w:rPr>
                <w:rFonts w:ascii="Sylfaen" w:eastAsia="Helvetica" w:hAnsi="Sylfaen" w:cs="Helvetica"/>
                <w:sz w:val="20"/>
                <w:szCs w:val="20"/>
                <w:lang w:val="ka-GE"/>
              </w:rPr>
              <w:t>მიზანშეწონილია გაგრძელდეს მუშაობა აღნიშნული</w:t>
            </w:r>
            <w:r>
              <w:rPr>
                <w:rFonts w:ascii="Sylfaen" w:eastAsia="Helvetica" w:hAnsi="Sylfaen" w:cs="Helvetica"/>
                <w:sz w:val="20"/>
                <w:szCs w:val="20"/>
                <w:lang w:val="ka-GE"/>
              </w:rPr>
              <w:t xml:space="preserve"> </w:t>
            </w:r>
            <w:r w:rsidRPr="00840C19">
              <w:rPr>
                <w:rFonts w:ascii="Sylfaen" w:eastAsia="Helvetica" w:hAnsi="Sylfaen" w:cs="Helvetica"/>
                <w:sz w:val="20"/>
                <w:szCs w:val="20"/>
                <w:lang w:val="ka-GE"/>
              </w:rPr>
              <w:t>მაჩვენებლების შემდგომი დახვეწისა და სრულყოფისათვის.</w:t>
            </w:r>
          </w:p>
        </w:tc>
        <w:tc>
          <w:tcPr>
            <w:tcW w:w="6048" w:type="dxa"/>
          </w:tcPr>
          <w:p w:rsidR="00E4300D" w:rsidRDefault="00E4300D">
            <w:pPr>
              <w:rPr>
                <w:rFonts w:ascii="Sylfaen" w:eastAsia="Helvetica" w:hAnsi="Sylfaen" w:cs="Helvetica"/>
                <w:b/>
                <w:sz w:val="20"/>
                <w:szCs w:val="20"/>
                <w:lang w:val="ka-GE"/>
              </w:rPr>
            </w:pPr>
          </w:p>
        </w:tc>
      </w:tr>
      <w:tr w:rsidR="00475C3B" w:rsidTr="005918F7">
        <w:tc>
          <w:tcPr>
            <w:tcW w:w="7128" w:type="dxa"/>
          </w:tcPr>
          <w:p w:rsidR="00475C3B" w:rsidRPr="00840C19" w:rsidRDefault="00840C19" w:rsidP="00840C19">
            <w:pPr>
              <w:jc w:val="both"/>
              <w:rPr>
                <w:rFonts w:ascii="Sylfaen" w:eastAsia="Helvetica" w:hAnsi="Sylfaen" w:cs="Helvetica"/>
                <w:sz w:val="20"/>
                <w:szCs w:val="20"/>
                <w:lang w:val="ka-GE"/>
              </w:rPr>
            </w:pPr>
            <w:r w:rsidRPr="00840C19">
              <w:rPr>
                <w:rFonts w:ascii="Sylfaen" w:eastAsia="Helvetica" w:hAnsi="Sylfaen" w:cs="Helvetica"/>
                <w:sz w:val="20"/>
                <w:szCs w:val="20"/>
                <w:lang w:val="ka-GE"/>
              </w:rPr>
              <w:t>მიზაშეწონილია, საქართველოს მთავრობამ</w:t>
            </w:r>
            <w:r>
              <w:rPr>
                <w:rFonts w:ascii="Sylfaen" w:eastAsia="Helvetica" w:hAnsi="Sylfaen" w:cs="Helvetica"/>
                <w:sz w:val="20"/>
                <w:szCs w:val="20"/>
                <w:lang w:val="ka-GE"/>
              </w:rPr>
              <w:t xml:space="preserve"> </w:t>
            </w:r>
            <w:r w:rsidRPr="00840C19">
              <w:rPr>
                <w:rFonts w:ascii="Sylfaen" w:eastAsia="Helvetica" w:hAnsi="Sylfaen" w:cs="Helvetica"/>
                <w:b/>
                <w:sz w:val="20"/>
                <w:szCs w:val="20"/>
                <w:lang w:val="ka-GE"/>
              </w:rPr>
              <w:t>პროფილურ კომიტეტებთან კონსულტაციებით განსაზღვრონ 3 საპილოტე პროგრამა, რომლებზეც მდგრადი განვითარების მიზნების შესაბამისი ინდიკატორები და მიზნობრივი მაჩვენებლები ასახული იქნება საქართველოს 2020 წლის სახელმწიფო ბიუჯეტის კანონის პროექტის გადამუშავებული ვარიანტის პროგრამულ დანართში</w:t>
            </w:r>
          </w:p>
        </w:tc>
        <w:tc>
          <w:tcPr>
            <w:tcW w:w="6048" w:type="dxa"/>
          </w:tcPr>
          <w:p w:rsidR="00475C3B" w:rsidRDefault="00475C3B">
            <w:pPr>
              <w:rPr>
                <w:rFonts w:ascii="Sylfaen" w:eastAsia="Helvetica" w:hAnsi="Sylfaen" w:cs="Helvetica"/>
                <w:b/>
                <w:sz w:val="20"/>
                <w:szCs w:val="20"/>
                <w:lang w:val="ka-GE"/>
              </w:rPr>
            </w:pPr>
          </w:p>
        </w:tc>
      </w:tr>
      <w:tr w:rsidR="00475C3B" w:rsidTr="005918F7">
        <w:tc>
          <w:tcPr>
            <w:tcW w:w="7128" w:type="dxa"/>
          </w:tcPr>
          <w:p w:rsidR="00475C3B" w:rsidRPr="00840C19" w:rsidRDefault="00840C19" w:rsidP="00840C19">
            <w:pPr>
              <w:jc w:val="both"/>
              <w:rPr>
                <w:rFonts w:ascii="Sylfaen" w:eastAsia="Helvetica" w:hAnsi="Sylfaen" w:cs="Helvetica"/>
                <w:sz w:val="20"/>
                <w:szCs w:val="20"/>
                <w:lang w:val="ka-GE"/>
              </w:rPr>
            </w:pPr>
            <w:r w:rsidRPr="00840C19">
              <w:rPr>
                <w:rFonts w:ascii="Sylfaen" w:eastAsia="Helvetica" w:hAnsi="Sylfaen" w:cs="Helvetica"/>
                <w:sz w:val="20"/>
                <w:szCs w:val="20"/>
                <w:lang w:val="ka-GE"/>
              </w:rPr>
              <w:t xml:space="preserve">ასევე, </w:t>
            </w:r>
            <w:r w:rsidRPr="00840C19">
              <w:rPr>
                <w:rFonts w:ascii="Sylfaen" w:eastAsia="Helvetica" w:hAnsi="Sylfaen" w:cs="Helvetica"/>
                <w:b/>
                <w:sz w:val="20"/>
                <w:szCs w:val="20"/>
                <w:lang w:val="ka-GE"/>
              </w:rPr>
              <w:t>მნიშვნელოვანია წარმოდგენილი იქნეს ინფორმაცია (ასეთის არსებობის შემთხვევაში) ბიუჯეტის გამჭვირვალობისა და საბიუჯეტო პროცესში მოქალაქეთა ჩართულობის თაობაზე ბიუჯეტის პროექტის შედგენისას სამინისტროების მიერ განხორციელებული ღონისძიებების შესახებ</w:t>
            </w:r>
          </w:p>
        </w:tc>
        <w:tc>
          <w:tcPr>
            <w:tcW w:w="6048" w:type="dxa"/>
          </w:tcPr>
          <w:p w:rsidR="00475C3B" w:rsidRDefault="00475C3B">
            <w:pPr>
              <w:rPr>
                <w:rFonts w:ascii="Sylfaen" w:eastAsia="Helvetica" w:hAnsi="Sylfaen" w:cs="Helvetica"/>
                <w:b/>
                <w:sz w:val="20"/>
                <w:szCs w:val="20"/>
                <w:lang w:val="ka-GE"/>
              </w:rPr>
            </w:pPr>
          </w:p>
        </w:tc>
      </w:tr>
    </w:tbl>
    <w:p w:rsidR="00E4300D" w:rsidRDefault="00E4300D">
      <w:pPr>
        <w:rPr>
          <w:rFonts w:ascii="Sylfaen" w:eastAsia="Helvetica" w:hAnsi="Sylfaen" w:cs="Helvetica"/>
          <w:b/>
          <w:sz w:val="20"/>
          <w:szCs w:val="20"/>
          <w:lang w:val="ka-GE"/>
        </w:rPr>
      </w:pPr>
    </w:p>
    <w:p w:rsidR="00E4300D" w:rsidRDefault="00E4300D">
      <w:pPr>
        <w:rPr>
          <w:rFonts w:ascii="Sylfaen" w:eastAsia="Helvetica" w:hAnsi="Sylfaen" w:cs="Helvetica"/>
          <w:b/>
          <w:sz w:val="20"/>
          <w:szCs w:val="20"/>
          <w:lang w:val="ka-GE"/>
        </w:rPr>
      </w:pPr>
      <w:r>
        <w:rPr>
          <w:rFonts w:ascii="Sylfaen" w:eastAsia="Helvetica" w:hAnsi="Sylfaen" w:cs="Helvetica"/>
          <w:b/>
          <w:sz w:val="20"/>
          <w:szCs w:val="20"/>
          <w:lang w:val="ka-GE"/>
        </w:rPr>
        <w:br w:type="page"/>
      </w:r>
    </w:p>
    <w:p w:rsidR="001D7C0B" w:rsidRPr="00840D30" w:rsidRDefault="001D7C0B" w:rsidP="001D7C0B">
      <w:pPr>
        <w:pStyle w:val="Heading1"/>
        <w:spacing w:line="276" w:lineRule="auto"/>
        <w:jc w:val="center"/>
        <w:rPr>
          <w:rFonts w:ascii="Sylfaen" w:hAnsi="Sylfaen" w:cs="Sylfaen"/>
          <w:b/>
          <w:color w:val="auto"/>
          <w:sz w:val="20"/>
          <w:szCs w:val="20"/>
          <w:lang w:val="ka-GE"/>
        </w:rPr>
      </w:pPr>
      <w:r>
        <w:rPr>
          <w:rFonts w:ascii="Sylfaen" w:eastAsia="Helvetica" w:hAnsi="Sylfaen" w:cs="Helvetica"/>
          <w:b/>
          <w:color w:val="auto"/>
          <w:sz w:val="20"/>
          <w:szCs w:val="20"/>
          <w:lang w:val="ka-GE"/>
        </w:rPr>
        <w:t xml:space="preserve">ინფორმაცია </w:t>
      </w:r>
      <w:r w:rsidR="004376F9">
        <w:rPr>
          <w:rFonts w:ascii="Sylfaen" w:eastAsia="Helvetica" w:hAnsi="Sylfaen" w:cs="Helvetica"/>
          <w:b/>
          <w:color w:val="auto"/>
          <w:sz w:val="20"/>
          <w:szCs w:val="20"/>
          <w:lang w:val="ka-GE"/>
        </w:rPr>
        <w:t>„</w:t>
      </w:r>
      <w:r w:rsidRPr="00840D30">
        <w:rPr>
          <w:rFonts w:ascii="Sylfaen" w:eastAsia="Helvetica" w:hAnsi="Sylfaen" w:cs="Helvetica"/>
          <w:b/>
          <w:color w:val="auto"/>
          <w:sz w:val="20"/>
          <w:szCs w:val="20"/>
          <w:lang w:val="ka-GE"/>
        </w:rPr>
        <w:t>საქართველოს</w:t>
      </w:r>
      <w:r w:rsidR="007F5A4E">
        <w:rPr>
          <w:rFonts w:ascii="Sylfaen" w:hAnsi="Sylfaen" w:cs="Sylfaen"/>
          <w:b/>
          <w:color w:val="auto"/>
          <w:sz w:val="20"/>
          <w:szCs w:val="20"/>
          <w:lang w:val="ka-GE"/>
        </w:rPr>
        <w:t xml:space="preserve"> 2020</w:t>
      </w:r>
      <w:r w:rsidRPr="00840D30">
        <w:rPr>
          <w:rFonts w:ascii="Sylfaen" w:hAnsi="Sylfaen" w:cs="Sylfaen"/>
          <w:b/>
          <w:color w:val="auto"/>
          <w:sz w:val="20"/>
          <w:szCs w:val="20"/>
          <w:lang w:val="ka-GE"/>
        </w:rPr>
        <w:t xml:space="preserve"> </w:t>
      </w:r>
      <w:r w:rsidRPr="00840D30">
        <w:rPr>
          <w:rFonts w:ascii="Sylfaen" w:eastAsia="Helvetica" w:hAnsi="Sylfaen" w:cs="Helvetica"/>
          <w:b/>
          <w:color w:val="auto"/>
          <w:sz w:val="20"/>
          <w:szCs w:val="20"/>
          <w:lang w:val="ka-GE"/>
        </w:rPr>
        <w:t>წლის</w:t>
      </w:r>
      <w:r>
        <w:rPr>
          <w:rFonts w:ascii="Sylfaen" w:eastAsia="Helvetica" w:hAnsi="Sylfaen" w:cs="Helvetica"/>
          <w:b/>
          <w:color w:val="auto"/>
          <w:sz w:val="20"/>
          <w:szCs w:val="20"/>
          <w:lang w:val="ka-GE"/>
        </w:rPr>
        <w:t xml:space="preserve"> სახელმწიფო </w:t>
      </w:r>
      <w:r w:rsidRPr="00840D30">
        <w:rPr>
          <w:rFonts w:ascii="Sylfaen" w:eastAsia="Helvetica" w:hAnsi="Sylfaen" w:cs="Helvetica"/>
          <w:b/>
          <w:color w:val="auto"/>
          <w:sz w:val="20"/>
          <w:szCs w:val="20"/>
          <w:lang w:val="ka-GE"/>
        </w:rPr>
        <w:t>ბიუჯეტის</w:t>
      </w:r>
      <w:r>
        <w:rPr>
          <w:rFonts w:ascii="Sylfaen" w:hAnsi="Sylfaen" w:cs="Sylfaen"/>
          <w:b/>
          <w:color w:val="auto"/>
          <w:sz w:val="20"/>
          <w:szCs w:val="20"/>
          <w:lang w:val="ka-GE"/>
        </w:rPr>
        <w:t xml:space="preserve"> შესახებ“ საქართველოს კანონის პროექტზე</w:t>
      </w:r>
      <w:r w:rsidRPr="00840D30">
        <w:rPr>
          <w:rFonts w:ascii="Sylfaen" w:hAnsi="Sylfaen" w:cs="Sylfaen"/>
          <w:b/>
          <w:color w:val="auto"/>
          <w:sz w:val="20"/>
          <w:szCs w:val="20"/>
          <w:lang w:val="ka-GE"/>
        </w:rPr>
        <w:t xml:space="preserve"> </w:t>
      </w:r>
      <w:r w:rsidRPr="00840D30">
        <w:rPr>
          <w:rFonts w:ascii="Sylfaen" w:eastAsia="Helvetica" w:hAnsi="Sylfaen" w:cs="Helvetica"/>
          <w:b/>
          <w:color w:val="auto"/>
          <w:sz w:val="20"/>
          <w:szCs w:val="20"/>
          <w:lang w:val="ka-GE"/>
        </w:rPr>
        <w:t>სახელმწიფო</w:t>
      </w:r>
      <w:r w:rsidRPr="00840D30">
        <w:rPr>
          <w:rFonts w:ascii="Sylfaen" w:hAnsi="Sylfaen" w:cs="Sylfaen"/>
          <w:b/>
          <w:color w:val="auto"/>
          <w:sz w:val="20"/>
          <w:szCs w:val="20"/>
          <w:lang w:val="ka-GE"/>
        </w:rPr>
        <w:t xml:space="preserve"> </w:t>
      </w:r>
      <w:r w:rsidRPr="00840D30">
        <w:rPr>
          <w:rFonts w:ascii="Sylfaen" w:eastAsia="Helvetica" w:hAnsi="Sylfaen" w:cs="Helvetica"/>
          <w:b/>
          <w:color w:val="auto"/>
          <w:sz w:val="20"/>
          <w:szCs w:val="20"/>
          <w:lang w:val="ka-GE"/>
        </w:rPr>
        <w:t>აუდიტის</w:t>
      </w:r>
      <w:r w:rsidRPr="00840D30">
        <w:rPr>
          <w:rFonts w:ascii="Sylfaen" w:hAnsi="Sylfaen" w:cs="Sylfaen"/>
          <w:b/>
          <w:color w:val="auto"/>
          <w:sz w:val="20"/>
          <w:szCs w:val="20"/>
          <w:lang w:val="ka-GE"/>
        </w:rPr>
        <w:t xml:space="preserve"> </w:t>
      </w:r>
      <w:r w:rsidRPr="00840D30">
        <w:rPr>
          <w:rFonts w:ascii="Sylfaen" w:eastAsia="Helvetica" w:hAnsi="Sylfaen" w:cs="Helvetica"/>
          <w:b/>
          <w:color w:val="auto"/>
          <w:sz w:val="20"/>
          <w:szCs w:val="20"/>
          <w:lang w:val="ka-GE"/>
        </w:rPr>
        <w:t>სამსახურის</w:t>
      </w:r>
      <w:r w:rsidRPr="00840D30">
        <w:rPr>
          <w:rFonts w:ascii="Sylfaen" w:hAnsi="Sylfaen" w:cs="Sylfaen"/>
          <w:b/>
          <w:color w:val="auto"/>
          <w:sz w:val="20"/>
          <w:szCs w:val="20"/>
          <w:lang w:val="ka-GE"/>
        </w:rPr>
        <w:t xml:space="preserve"> </w:t>
      </w:r>
      <w:r w:rsidRPr="00840D30">
        <w:rPr>
          <w:rFonts w:ascii="Sylfaen" w:eastAsia="Helvetica" w:hAnsi="Sylfaen" w:cs="Helvetica"/>
          <w:b/>
          <w:color w:val="auto"/>
          <w:sz w:val="20"/>
          <w:szCs w:val="20"/>
          <w:lang w:val="ka-GE"/>
        </w:rPr>
        <w:t>რეკომენდაციები</w:t>
      </w:r>
      <w:r>
        <w:rPr>
          <w:rFonts w:ascii="Sylfaen" w:eastAsia="Helvetica" w:hAnsi="Sylfaen" w:cs="Helvetica"/>
          <w:b/>
          <w:color w:val="auto"/>
          <w:sz w:val="20"/>
          <w:szCs w:val="20"/>
          <w:lang w:val="ka-GE"/>
        </w:rPr>
        <w:t>ს გათვალისწინების თაობაზე</w:t>
      </w:r>
    </w:p>
    <w:p w:rsidR="00AD140D" w:rsidRPr="002A697D" w:rsidRDefault="00AD140D" w:rsidP="007C0012">
      <w:pPr>
        <w:spacing w:line="276" w:lineRule="auto"/>
        <w:rPr>
          <w:rFonts w:ascii="Sylfaen" w:hAnsi="Sylfaen"/>
          <w:sz w:val="20"/>
          <w:szCs w:val="20"/>
          <w:lang w:val="ka-GE"/>
        </w:rPr>
      </w:pPr>
    </w:p>
    <w:tbl>
      <w:tblPr>
        <w:tblStyle w:val="TableGrid"/>
        <w:tblW w:w="14045" w:type="dxa"/>
        <w:tblInd w:w="-455" w:type="dxa"/>
        <w:tblLook w:val="04A0" w:firstRow="1" w:lastRow="0" w:firstColumn="1" w:lastColumn="0" w:noHBand="0" w:noVBand="1"/>
      </w:tblPr>
      <w:tblGrid>
        <w:gridCol w:w="7110"/>
        <w:gridCol w:w="6935"/>
      </w:tblGrid>
      <w:tr w:rsidR="00B5692A" w:rsidRPr="002A697D" w:rsidTr="009453F8">
        <w:trPr>
          <w:tblHeader/>
        </w:trPr>
        <w:tc>
          <w:tcPr>
            <w:tcW w:w="7110" w:type="dxa"/>
            <w:vAlign w:val="center"/>
          </w:tcPr>
          <w:p w:rsidR="00B5692A" w:rsidRPr="002A697D" w:rsidRDefault="00B5692A" w:rsidP="004F1EB1">
            <w:pPr>
              <w:spacing w:line="276" w:lineRule="auto"/>
              <w:jc w:val="center"/>
              <w:rPr>
                <w:rFonts w:ascii="Sylfaen" w:hAnsi="Sylfaen"/>
                <w:b/>
                <w:sz w:val="20"/>
                <w:szCs w:val="20"/>
                <w:lang w:val="ka-GE"/>
              </w:rPr>
            </w:pPr>
            <w:r w:rsidRPr="002A697D">
              <w:rPr>
                <w:rFonts w:ascii="Sylfaen" w:hAnsi="Sylfaen"/>
                <w:b/>
                <w:sz w:val="20"/>
                <w:szCs w:val="20"/>
                <w:lang w:val="ka-GE"/>
              </w:rPr>
              <w:t>რეკომენდაცია</w:t>
            </w:r>
          </w:p>
        </w:tc>
        <w:tc>
          <w:tcPr>
            <w:tcW w:w="6935" w:type="dxa"/>
            <w:vAlign w:val="center"/>
          </w:tcPr>
          <w:p w:rsidR="00B5692A" w:rsidRPr="002A697D" w:rsidRDefault="00B5692A" w:rsidP="004F1EB1">
            <w:pPr>
              <w:spacing w:line="276" w:lineRule="auto"/>
              <w:jc w:val="center"/>
              <w:rPr>
                <w:rFonts w:ascii="Sylfaen" w:hAnsi="Sylfaen"/>
                <w:b/>
                <w:sz w:val="20"/>
                <w:szCs w:val="20"/>
                <w:lang w:val="ka-GE"/>
              </w:rPr>
            </w:pPr>
            <w:r w:rsidRPr="002A697D">
              <w:rPr>
                <w:rFonts w:ascii="Sylfaen" w:hAnsi="Sylfaen"/>
                <w:b/>
                <w:sz w:val="20"/>
                <w:szCs w:val="20"/>
                <w:lang w:val="ka-GE"/>
              </w:rPr>
              <w:t>რეკომენდაციის გათვალისწინების შესაძლებლობა</w:t>
            </w:r>
          </w:p>
        </w:tc>
      </w:tr>
      <w:tr w:rsidR="009F0AFA" w:rsidRPr="002A697D" w:rsidTr="009453F8">
        <w:tc>
          <w:tcPr>
            <w:tcW w:w="7110" w:type="dxa"/>
          </w:tcPr>
          <w:p w:rsidR="009F0AFA" w:rsidRPr="00462209" w:rsidRDefault="00462209" w:rsidP="009F0AFA">
            <w:pPr>
              <w:pStyle w:val="Default"/>
              <w:spacing w:line="276" w:lineRule="auto"/>
              <w:jc w:val="both"/>
              <w:rPr>
                <w:sz w:val="20"/>
                <w:szCs w:val="20"/>
                <w:lang w:val="ka-GE"/>
              </w:rPr>
            </w:pPr>
            <w:r w:rsidRPr="00462209">
              <w:rPr>
                <w:sz w:val="20"/>
                <w:szCs w:val="20"/>
                <w:lang w:val="ka-GE"/>
              </w:rPr>
              <w:t xml:space="preserve">ბიუჯეტის კანონპროექტზე თანდართული „საშუალოვადიანი პროგნოზების შედარებითი ანალიზის“ </w:t>
            </w:r>
            <w:r w:rsidRPr="00462209">
              <w:rPr>
                <w:b/>
                <w:sz w:val="20"/>
                <w:szCs w:val="20"/>
                <w:lang w:val="ka-GE"/>
              </w:rPr>
              <w:t xml:space="preserve">დოკუმენტი რიგი მაკროეკონომიკური პარამეტრების შემთხვევაში არ მოიცავს საკმარის ახსნა-განმარტებებს კორექტირებების გამომწვევი ეკონომიკური ფაქტორების შესახებ. </w:t>
            </w:r>
            <w:r w:rsidRPr="00462209">
              <w:rPr>
                <w:sz w:val="20"/>
                <w:szCs w:val="20"/>
                <w:lang w:val="ka-GE"/>
              </w:rPr>
              <w:t>რამდენადაც მაკროეკონომიკური ინდიკატორების საპროგნოზო მაჩვენებლების რეალისტურობას მნიშვნელოვანი გავლენა აქვს ფისკალურ პარამეტრებზე, მიზანშეწონილია ბიუჯეტის კანონის პროექტი ამ მიმართულებით მოიცავდეს დეტალურ მიზეზ-შედეგობრივ ანალიზს;</w:t>
            </w:r>
          </w:p>
        </w:tc>
        <w:tc>
          <w:tcPr>
            <w:tcW w:w="6935" w:type="dxa"/>
          </w:tcPr>
          <w:p w:rsidR="00E52AF7" w:rsidRPr="00E52AF7" w:rsidRDefault="00E52AF7" w:rsidP="009F0AFA">
            <w:pPr>
              <w:spacing w:line="276" w:lineRule="auto"/>
              <w:jc w:val="both"/>
              <w:rPr>
                <w:rFonts w:ascii="Sylfaen" w:hAnsi="Sylfaen"/>
                <w:sz w:val="20"/>
                <w:szCs w:val="20"/>
              </w:rPr>
            </w:pPr>
          </w:p>
        </w:tc>
      </w:tr>
      <w:tr w:rsidR="009F0AFA" w:rsidRPr="002A697D" w:rsidTr="009453F8">
        <w:tc>
          <w:tcPr>
            <w:tcW w:w="7110" w:type="dxa"/>
          </w:tcPr>
          <w:p w:rsidR="009F0AFA" w:rsidRPr="002A697D" w:rsidRDefault="00462209" w:rsidP="009F0AFA">
            <w:pPr>
              <w:spacing w:line="276" w:lineRule="auto"/>
              <w:jc w:val="both"/>
              <w:rPr>
                <w:rFonts w:ascii="Sylfaen" w:hAnsi="Sylfaen" w:cs="Sylfaen"/>
                <w:sz w:val="20"/>
                <w:szCs w:val="20"/>
              </w:rPr>
            </w:pPr>
            <w:r w:rsidRPr="00462209">
              <w:rPr>
                <w:rFonts w:ascii="Sylfaen" w:hAnsi="Sylfaen" w:cs="Sylfaen"/>
                <w:sz w:val="20"/>
                <w:szCs w:val="20"/>
              </w:rPr>
              <w:t xml:space="preserve">ერთიანი ბიუჯეტის დეფიციტი მშპ-ს 2.7%-ს შეადგენს და აკმაყოფილებს ორგანული კანონით დადგენილ 3.0%-იან ლიმიტს. საყურადღებოა, რომ კანონის პროექტზე თანდართული ძირითადი ეკონომიკური და ფინანსური ინდიკატორების დოკუმენტები, რომლებიც ასახავენ </w:t>
            </w:r>
            <w:r w:rsidRPr="00462209">
              <w:rPr>
                <w:rFonts w:ascii="Sylfaen" w:hAnsi="Sylfaen" w:cs="Sylfaen"/>
                <w:b/>
                <w:sz w:val="20"/>
                <w:szCs w:val="20"/>
              </w:rPr>
              <w:t>ოპტიმისტურ და პესიმისტურ სცენარებს, არ შეიცავს ინფორმაციას ერთიანი ბიუჯეტის პოტენციური მაჩვენებლების, მათ შორის, ალტერნატიული სცენარების რეალიზების შემთხვევაში საშუალოვადიან პერიოდში მოსალოდნელი ერთიანი ბიუჯეტის დეფიციტისა და მისი დაფინანსების წყაროების შესახებ;</w:t>
            </w:r>
          </w:p>
        </w:tc>
        <w:tc>
          <w:tcPr>
            <w:tcW w:w="6935" w:type="dxa"/>
          </w:tcPr>
          <w:p w:rsidR="009F0AFA" w:rsidRPr="002A697D" w:rsidRDefault="009F0AFA" w:rsidP="009F0AFA">
            <w:pPr>
              <w:spacing w:line="276" w:lineRule="auto"/>
              <w:jc w:val="both"/>
              <w:rPr>
                <w:rFonts w:ascii="Sylfaen" w:hAnsi="Sylfaen"/>
                <w:b/>
                <w:sz w:val="20"/>
                <w:szCs w:val="20"/>
                <w:lang w:val="ka-GE"/>
              </w:rPr>
            </w:pPr>
          </w:p>
        </w:tc>
      </w:tr>
      <w:tr w:rsidR="009F0AFA" w:rsidRPr="002A697D" w:rsidTr="009453F8">
        <w:tc>
          <w:tcPr>
            <w:tcW w:w="7110" w:type="dxa"/>
          </w:tcPr>
          <w:p w:rsidR="009F0AFA" w:rsidRPr="002A697D" w:rsidRDefault="00964FAB" w:rsidP="009F0AFA">
            <w:pPr>
              <w:pStyle w:val="Default"/>
              <w:spacing w:line="276" w:lineRule="auto"/>
              <w:jc w:val="both"/>
              <w:rPr>
                <w:sz w:val="20"/>
                <w:szCs w:val="20"/>
              </w:rPr>
            </w:pPr>
            <w:r w:rsidRPr="00964FAB">
              <w:rPr>
                <w:sz w:val="20"/>
                <w:szCs w:val="20"/>
              </w:rPr>
              <w:t xml:space="preserve">კანონპროექტით განსაზღვრული მთავრობის ვალის ნაშთის მშპ-სთან ფარდობა 45%-ს შეადგენს (ისტორიული ვალის გათვალისწინებით 46.4%), რაც ორგანული კანონით განსაზღვრული 60%-იანი ნიშნულის ფარგლებშია. </w:t>
            </w:r>
            <w:r w:rsidRPr="005A7BD5">
              <w:rPr>
                <w:b/>
                <w:sz w:val="20"/>
                <w:szCs w:val="20"/>
              </w:rPr>
              <w:t>თუმცა, მთავრობის ვალში არ არის გათვალისწინებული ისტორიული ვალი, „საჯარო და კერძო პარტნიორობის შესახებ“ საქართველოს კანონის საფუძველზე აღებული ვალდებულებების მიმდინარე ღირებულება და იმ სახელმწიფო საწარმოების ვალი, რომლებიც GFSM 2014-ის მიხედვით უნდა დაკლასიფიცირდნენ როგორც სამთავრობო სექტორი.</w:t>
            </w:r>
            <w:r w:rsidRPr="00964FAB">
              <w:rPr>
                <w:sz w:val="20"/>
                <w:szCs w:val="20"/>
              </w:rPr>
              <w:t xml:space="preserve"> მთავრობის ვალის მდგრადობის უზრუნველსაყოფად, მნიშვნელოვანია, ფინანსთა სამინისტრომ ბიუჯეტის კანონპროექტის გადამუშავებულ ვარიანტში წარმოადგინოს ორგანული კანონით განსაზღვრული ვალის ყველა კომპონენტი, რომლის საშუალებითაც შეფასდება თუ რა გავლენას მოახდენს აღნიშნული კომპონენტები მთავრობის ვალის მშპ-სთან ფარდობის მაჩვენებელზე</w:t>
            </w:r>
          </w:p>
        </w:tc>
        <w:tc>
          <w:tcPr>
            <w:tcW w:w="6935" w:type="dxa"/>
          </w:tcPr>
          <w:p w:rsidR="00E52AF7" w:rsidRPr="009F0AFA" w:rsidRDefault="00E52AF7" w:rsidP="00E52AF7">
            <w:pPr>
              <w:spacing w:line="276" w:lineRule="auto"/>
              <w:jc w:val="both"/>
              <w:rPr>
                <w:rFonts w:ascii="Sylfaen" w:hAnsi="Sylfaen" w:cs="Sylfaen"/>
                <w:sz w:val="20"/>
                <w:szCs w:val="20"/>
                <w:lang w:val="ka-GE"/>
              </w:rPr>
            </w:pPr>
          </w:p>
        </w:tc>
      </w:tr>
      <w:tr w:rsidR="009F0AFA" w:rsidRPr="002A697D" w:rsidTr="00462209">
        <w:trPr>
          <w:trHeight w:val="233"/>
        </w:trPr>
        <w:tc>
          <w:tcPr>
            <w:tcW w:w="7110" w:type="dxa"/>
          </w:tcPr>
          <w:p w:rsidR="009F0AFA" w:rsidRPr="002A697D" w:rsidRDefault="005A7BD5" w:rsidP="00BB2FD9">
            <w:pPr>
              <w:pStyle w:val="Default"/>
              <w:spacing w:line="276" w:lineRule="auto"/>
              <w:jc w:val="both"/>
              <w:rPr>
                <w:sz w:val="20"/>
                <w:szCs w:val="20"/>
              </w:rPr>
            </w:pPr>
            <w:r w:rsidRPr="005A7BD5">
              <w:rPr>
                <w:sz w:val="20"/>
                <w:szCs w:val="20"/>
              </w:rPr>
              <w:t xml:space="preserve">ორგანულ კანონში განხორციელებული ცვლილების შედეგად, 2018 წელს გაუქმდა გადასახდელების წესი , თუმცა IMF-ის რეკომენდაციის შესაბამისად, არ მომხდარა ალტერნატიული ვარიანტის შემუშავება. ხარჯების ზღვრული ნიშნულების დაწესებისა და დაცვის ერთ-ერთ საშუალებას წარმოადგენს ხარისხიანი საშუალოვადიანი ბიუჯეტირების დოკუმენტის (MTBF) არსებობა. </w:t>
            </w:r>
            <w:r w:rsidRPr="005A7BD5">
              <w:rPr>
                <w:b/>
                <w:sz w:val="20"/>
                <w:szCs w:val="20"/>
              </w:rPr>
              <w:t>საქართველოს შემთხვევაში, BDD დოკუმენტის ფისკალური წესის ეფექტურ ინსტრუმენტად გამოყენებისათვის, საჭიროა დაგეგმვის პროცესისა და შესაბამისად - დოკუმენტში წარმოდგენილი მაჩვენებლების მნიშვნელოვანი ხარისხობრივი გაუმჯობესება;</w:t>
            </w:r>
          </w:p>
        </w:tc>
        <w:tc>
          <w:tcPr>
            <w:tcW w:w="6935" w:type="dxa"/>
          </w:tcPr>
          <w:p w:rsidR="009F0AFA" w:rsidRPr="00840D30" w:rsidRDefault="009F0AFA" w:rsidP="00BB2FD9">
            <w:pPr>
              <w:spacing w:after="200" w:line="276" w:lineRule="auto"/>
              <w:jc w:val="both"/>
              <w:rPr>
                <w:rFonts w:ascii="Sylfaen" w:hAnsi="Sylfaen" w:cs="Sylfaen"/>
                <w:sz w:val="20"/>
                <w:szCs w:val="20"/>
                <w:lang w:val="ka-GE"/>
              </w:rPr>
            </w:pPr>
          </w:p>
        </w:tc>
      </w:tr>
      <w:tr w:rsidR="00DA3EEE" w:rsidRPr="002A697D" w:rsidTr="009453F8">
        <w:tc>
          <w:tcPr>
            <w:tcW w:w="7110" w:type="dxa"/>
          </w:tcPr>
          <w:p w:rsidR="00DA3EEE" w:rsidRPr="004C5FBE" w:rsidRDefault="00D319CB" w:rsidP="00DA3EEE">
            <w:pPr>
              <w:pStyle w:val="Default"/>
              <w:spacing w:line="276" w:lineRule="auto"/>
              <w:jc w:val="both"/>
              <w:rPr>
                <w:sz w:val="20"/>
                <w:szCs w:val="20"/>
                <w:lang w:val="ka-GE"/>
              </w:rPr>
            </w:pPr>
            <w:r w:rsidRPr="00D319CB">
              <w:rPr>
                <w:sz w:val="20"/>
                <w:szCs w:val="20"/>
                <w:lang w:val="ka-GE"/>
              </w:rPr>
              <w:t xml:space="preserve">კანონპროექტს ასევე თან ახლავს </w:t>
            </w:r>
            <w:r w:rsidRPr="00D319CB">
              <w:rPr>
                <w:b/>
                <w:sz w:val="20"/>
                <w:szCs w:val="20"/>
                <w:lang w:val="ka-GE"/>
              </w:rPr>
              <w:t>„ფისკალური რისკების ანალიზის“</w:t>
            </w:r>
            <w:r w:rsidRPr="00D319CB">
              <w:rPr>
                <w:sz w:val="20"/>
                <w:szCs w:val="20"/>
                <w:lang w:val="ka-GE"/>
              </w:rPr>
              <w:t xml:space="preserve"> დოკუმენტი, რომელშიც წარმოდგენილია ინფორმაცია მაკროეკონომიკური რისკ-ფაქტორების, კერძოდ კი პოზიტიური და ნეგატიური შოკების შესახებ, რომელთა რეალიზებამ შესაძლოა გავლენა მოახდინოს ეკონომიკური განვითარების დინამიკაზე. საყურადღებოა, რომ </w:t>
            </w:r>
            <w:r w:rsidRPr="00D319CB">
              <w:rPr>
                <w:b/>
                <w:sz w:val="20"/>
                <w:szCs w:val="20"/>
                <w:lang w:val="ka-GE"/>
              </w:rPr>
              <w:t>აღნიშნული ინფორმაცია ხშირ შემთხვევაში ზოგადი ხასიათისაა და მიზანშეწონილია შეიცავდეს კონკრეტულ ინდიკატორებს, რომლითაც შესაძლებელი გახდება დოკუმენტში წარმოდგენილი შოკების რეალიზების შეფასება და ანალიზი;</w:t>
            </w:r>
          </w:p>
        </w:tc>
        <w:tc>
          <w:tcPr>
            <w:tcW w:w="6935" w:type="dxa"/>
          </w:tcPr>
          <w:p w:rsidR="00DA3EEE" w:rsidRPr="00840D30" w:rsidRDefault="00DA3EEE" w:rsidP="00DA3EEE">
            <w:pPr>
              <w:spacing w:line="276" w:lineRule="auto"/>
              <w:jc w:val="both"/>
              <w:rPr>
                <w:rFonts w:ascii="Sylfaen" w:hAnsi="Sylfaen"/>
                <w:sz w:val="20"/>
                <w:szCs w:val="20"/>
                <w:lang w:val="ka-GE"/>
              </w:rPr>
            </w:pPr>
          </w:p>
        </w:tc>
      </w:tr>
      <w:tr w:rsidR="00DA3EEE" w:rsidRPr="002A697D" w:rsidTr="009453F8">
        <w:tc>
          <w:tcPr>
            <w:tcW w:w="7110" w:type="dxa"/>
          </w:tcPr>
          <w:p w:rsidR="00DA3EEE" w:rsidRPr="00F03858" w:rsidRDefault="00D319CB" w:rsidP="00DA3EEE">
            <w:pPr>
              <w:pStyle w:val="Default"/>
              <w:spacing w:line="276" w:lineRule="auto"/>
              <w:jc w:val="both"/>
              <w:rPr>
                <w:sz w:val="20"/>
                <w:szCs w:val="20"/>
                <w:lang w:val="ka-GE"/>
              </w:rPr>
            </w:pPr>
            <w:r w:rsidRPr="004B7A8A">
              <w:rPr>
                <w:b/>
                <w:sz w:val="20"/>
                <w:szCs w:val="20"/>
                <w:lang w:val="ka-GE"/>
              </w:rPr>
              <w:t>„ფისკალური რისკების ანალიზის“ დოკუმენტში მონაცემები არ არის წარმოდგენილი ყველა საჯარო და კერძო თანამშრომლობის (PPP) კონტრაქტის შესახებ. ასევე, მონაცემები ელექტროენერგიის გარანტირებული შესყიდვების ხელშეკრულებებიდან (PPA) ჯამური ხასიათისაა და არ იძლევა კონკრეტულ ინფორმაციას ყველაზე მსხვილი PPA-ების შესახებ.</w:t>
            </w:r>
            <w:r w:rsidRPr="00D319CB">
              <w:rPr>
                <w:sz w:val="20"/>
                <w:szCs w:val="20"/>
                <w:lang w:val="ka-GE"/>
              </w:rPr>
              <w:t xml:space="preserve"> ფისკალური წნეხის სრულყოფილად შესაფასებლად, მიზანშეწონილია, გაგრძელდეს მუშაობა ფისკალური რისკების ანალიზის დოკუმენტის შემდგომ გაუმჯობესებაზე, დასკვნაში განხილული საკითხების შესაბამისად;</w:t>
            </w:r>
          </w:p>
        </w:tc>
        <w:tc>
          <w:tcPr>
            <w:tcW w:w="6935" w:type="dxa"/>
          </w:tcPr>
          <w:p w:rsidR="00DA3EEE" w:rsidRPr="0004347B" w:rsidRDefault="00DA3EEE" w:rsidP="00DA3EEE">
            <w:pPr>
              <w:spacing w:line="276" w:lineRule="auto"/>
              <w:jc w:val="both"/>
              <w:rPr>
                <w:rFonts w:ascii="Sylfaen" w:hAnsi="Sylfaen"/>
                <w:sz w:val="20"/>
                <w:szCs w:val="20"/>
                <w:lang w:val="ka-GE"/>
              </w:rPr>
            </w:pPr>
          </w:p>
        </w:tc>
      </w:tr>
      <w:tr w:rsidR="00DA3EEE" w:rsidRPr="002A697D" w:rsidTr="009453F8">
        <w:tc>
          <w:tcPr>
            <w:tcW w:w="7110" w:type="dxa"/>
          </w:tcPr>
          <w:p w:rsidR="00DA3EEE" w:rsidRPr="0004347B" w:rsidRDefault="004B7A8A" w:rsidP="00DA3EEE">
            <w:pPr>
              <w:spacing w:line="276" w:lineRule="auto"/>
              <w:jc w:val="both"/>
              <w:rPr>
                <w:rFonts w:ascii="Sylfaen" w:hAnsi="Sylfaen" w:cs="Sylfaen"/>
                <w:color w:val="000000"/>
                <w:sz w:val="20"/>
                <w:szCs w:val="20"/>
              </w:rPr>
            </w:pPr>
            <w:r w:rsidRPr="004B7A8A">
              <w:rPr>
                <w:rFonts w:ascii="Sylfaen" w:hAnsi="Sylfaen" w:cs="Sylfaen"/>
                <w:color w:val="000000"/>
                <w:sz w:val="20"/>
                <w:szCs w:val="20"/>
              </w:rPr>
              <w:t xml:space="preserve">რაც შეეხება სახელმწიფო ვალის ნაშთს, 2020 წელს პროგნოზირებული მოცულობა 2019 წელს დაგეგმილ მაჩვენებელს 3.6 მლრდ ლარით (18%-ით) აღემატება და ისტორიული ვალის გათვალისწინებით 23.4 მლრდ ლარს უტოლდება. აღნიშნულ ზრდაში საგარეო ვალის ეფექტი 65%-ს შეადგენს და </w:t>
            </w:r>
            <w:r w:rsidRPr="004B7A8A">
              <w:rPr>
                <w:rFonts w:ascii="Sylfaen" w:hAnsi="Sylfaen" w:cs="Sylfaen"/>
                <w:b/>
                <w:color w:val="000000"/>
                <w:sz w:val="20"/>
                <w:szCs w:val="20"/>
              </w:rPr>
              <w:t>სავალუტო კურსის ცვლილება კვლავ რჩება სახელმწიფო ვალის პორტფელის მთავარ რისკ-ფაქტორად;</w:t>
            </w:r>
          </w:p>
        </w:tc>
        <w:tc>
          <w:tcPr>
            <w:tcW w:w="6935" w:type="dxa"/>
          </w:tcPr>
          <w:p w:rsidR="00DA3EEE" w:rsidRPr="0004347B" w:rsidRDefault="00DA3EEE" w:rsidP="00DA3EEE">
            <w:pPr>
              <w:spacing w:line="276" w:lineRule="auto"/>
              <w:jc w:val="both"/>
              <w:rPr>
                <w:rFonts w:ascii="Sylfaen" w:hAnsi="Sylfaen"/>
                <w:b/>
                <w:sz w:val="20"/>
                <w:szCs w:val="20"/>
                <w:lang w:val="ka-GE"/>
              </w:rPr>
            </w:pPr>
          </w:p>
        </w:tc>
      </w:tr>
      <w:tr w:rsidR="00462209" w:rsidRPr="002A697D" w:rsidTr="009453F8">
        <w:tc>
          <w:tcPr>
            <w:tcW w:w="7110" w:type="dxa"/>
          </w:tcPr>
          <w:p w:rsidR="00462209" w:rsidRPr="0004347B" w:rsidRDefault="004B7A8A" w:rsidP="00DA3EEE">
            <w:pPr>
              <w:spacing w:line="276" w:lineRule="auto"/>
              <w:jc w:val="both"/>
              <w:rPr>
                <w:rFonts w:ascii="Sylfaen" w:hAnsi="Sylfaen" w:cs="Sylfaen"/>
                <w:color w:val="000000"/>
                <w:sz w:val="20"/>
                <w:szCs w:val="20"/>
              </w:rPr>
            </w:pPr>
            <w:r w:rsidRPr="004B7A8A">
              <w:rPr>
                <w:rFonts w:ascii="Sylfaen" w:hAnsi="Sylfaen" w:cs="Sylfaen"/>
                <w:color w:val="000000"/>
                <w:sz w:val="20"/>
                <w:szCs w:val="20"/>
              </w:rPr>
              <w:t xml:space="preserve">ბიუჯეტის კანონპროექტს თან ახლავს მთავრობის </w:t>
            </w:r>
            <w:r w:rsidRPr="00483BCD">
              <w:rPr>
                <w:rFonts w:ascii="Sylfaen" w:hAnsi="Sylfaen" w:cs="Sylfaen"/>
                <w:b/>
                <w:color w:val="000000"/>
                <w:sz w:val="20"/>
                <w:szCs w:val="20"/>
              </w:rPr>
              <w:t>ვალის მდგრადობის ანალიზი,</w:t>
            </w:r>
            <w:r w:rsidRPr="004B7A8A">
              <w:rPr>
                <w:rFonts w:ascii="Sylfaen" w:hAnsi="Sylfaen" w:cs="Sylfaen"/>
                <w:color w:val="000000"/>
                <w:sz w:val="20"/>
                <w:szCs w:val="20"/>
              </w:rPr>
              <w:t xml:space="preserve"> თუმცა იგი </w:t>
            </w:r>
            <w:r w:rsidRPr="00483BCD">
              <w:rPr>
                <w:rFonts w:ascii="Sylfaen" w:hAnsi="Sylfaen" w:cs="Sylfaen"/>
                <w:b/>
                <w:color w:val="000000"/>
                <w:sz w:val="20"/>
                <w:szCs w:val="20"/>
              </w:rPr>
              <w:t>არ ითვალისწინებს სახელმწიფო საწარმოებისა და PPP-ებისგან მოსალოდნელ პირობით ვალდებულებებს.</w:t>
            </w:r>
            <w:r w:rsidRPr="004B7A8A">
              <w:rPr>
                <w:rFonts w:ascii="Sylfaen" w:hAnsi="Sylfaen" w:cs="Sylfaen"/>
                <w:color w:val="000000"/>
                <w:sz w:val="20"/>
                <w:szCs w:val="20"/>
              </w:rPr>
              <w:t xml:space="preserve"> წარმოდგენილი ცვლადებისა და შოკების რეალისტურობის უზრუნველსაყოფად, მნიშვნელოვანია კანონპროექტის შემდეგ წარდგენაში გათვალისწინებულ იქნეს აღნიშნული კომპონენტები და მოხდეს მოსალოდნელი სცენარის ხელახალი განხილვა;</w:t>
            </w:r>
          </w:p>
        </w:tc>
        <w:tc>
          <w:tcPr>
            <w:tcW w:w="6935" w:type="dxa"/>
          </w:tcPr>
          <w:p w:rsidR="00462209" w:rsidRPr="0004347B" w:rsidRDefault="00462209" w:rsidP="00DA3EEE">
            <w:pPr>
              <w:spacing w:line="276" w:lineRule="auto"/>
              <w:jc w:val="both"/>
              <w:rPr>
                <w:rFonts w:ascii="Sylfaen" w:hAnsi="Sylfaen"/>
                <w:b/>
                <w:sz w:val="20"/>
                <w:szCs w:val="20"/>
                <w:lang w:val="ka-GE"/>
              </w:rPr>
            </w:pPr>
          </w:p>
        </w:tc>
      </w:tr>
      <w:tr w:rsidR="00462209" w:rsidRPr="002A697D" w:rsidTr="009453F8">
        <w:tc>
          <w:tcPr>
            <w:tcW w:w="7110" w:type="dxa"/>
          </w:tcPr>
          <w:p w:rsidR="00462209" w:rsidRPr="0004347B" w:rsidRDefault="00483BCD" w:rsidP="00DA3EEE">
            <w:pPr>
              <w:spacing w:line="276" w:lineRule="auto"/>
              <w:jc w:val="both"/>
              <w:rPr>
                <w:rFonts w:ascii="Sylfaen" w:hAnsi="Sylfaen" w:cs="Sylfaen"/>
                <w:color w:val="000000"/>
                <w:sz w:val="20"/>
                <w:szCs w:val="20"/>
              </w:rPr>
            </w:pPr>
            <w:r w:rsidRPr="00483BCD">
              <w:rPr>
                <w:rFonts w:ascii="Sylfaen" w:hAnsi="Sylfaen" w:cs="Sylfaen"/>
                <w:color w:val="000000"/>
                <w:sz w:val="20"/>
                <w:szCs w:val="20"/>
              </w:rPr>
              <w:t xml:space="preserve">ბიუჯეტის კანონპროექტით დაფინანსება ეზრდება ზოგიერთ ისეთ პროგრამას, რომელთა შესრულების მაჩვენებელი 2019 წლის 8 თვის მდგომარეობით 9 თვის გეგმასთან მიმართებაში 50%-ზე დაბალია. მათ შორის არის საგარეო საკრედიტო რესურსით დაფინანსებული 5 საინვესტიციო პროექტი. </w:t>
            </w:r>
            <w:r w:rsidRPr="00483BCD">
              <w:rPr>
                <w:rFonts w:ascii="Sylfaen" w:hAnsi="Sylfaen" w:cs="Sylfaen"/>
                <w:b/>
                <w:color w:val="000000"/>
                <w:sz w:val="20"/>
                <w:szCs w:val="20"/>
              </w:rPr>
              <w:t>გასათვალისწინებელია, რომ კრედიტის სახით გამოყოფილი სახსრების დაგვიანებით ათვისება ზრდის სესხის მომსახურების ხარჯებს</w:t>
            </w:r>
            <w:r w:rsidRPr="00483BCD">
              <w:rPr>
                <w:rFonts w:ascii="Sylfaen" w:hAnsi="Sylfaen" w:cs="Sylfaen"/>
                <w:color w:val="000000"/>
                <w:sz w:val="20"/>
                <w:szCs w:val="20"/>
              </w:rPr>
              <w:t>. მსგავს პროექტებზე, 2019 წლის 8 თვის მდგომარეობით, ჯამურად გადახდილ იქნა 2.6 მლნ ლარის ოდენობის ვალდებულების გადასახადი (Commitment Fee);</w:t>
            </w:r>
          </w:p>
        </w:tc>
        <w:tc>
          <w:tcPr>
            <w:tcW w:w="6935" w:type="dxa"/>
          </w:tcPr>
          <w:p w:rsidR="00462209" w:rsidRPr="0004347B" w:rsidRDefault="00462209" w:rsidP="00DA3EEE">
            <w:pPr>
              <w:spacing w:line="276" w:lineRule="auto"/>
              <w:jc w:val="both"/>
              <w:rPr>
                <w:rFonts w:ascii="Sylfaen" w:hAnsi="Sylfaen"/>
                <w:b/>
                <w:sz w:val="20"/>
                <w:szCs w:val="20"/>
                <w:lang w:val="ka-GE"/>
              </w:rPr>
            </w:pPr>
          </w:p>
        </w:tc>
      </w:tr>
      <w:tr w:rsidR="00462209" w:rsidRPr="002A697D" w:rsidTr="009453F8">
        <w:tc>
          <w:tcPr>
            <w:tcW w:w="7110" w:type="dxa"/>
          </w:tcPr>
          <w:p w:rsidR="00462209" w:rsidRPr="0004347B" w:rsidRDefault="00483BCD" w:rsidP="00DA3EEE">
            <w:pPr>
              <w:spacing w:line="276" w:lineRule="auto"/>
              <w:jc w:val="both"/>
              <w:rPr>
                <w:rFonts w:ascii="Sylfaen" w:hAnsi="Sylfaen" w:cs="Sylfaen"/>
                <w:color w:val="000000"/>
                <w:sz w:val="20"/>
                <w:szCs w:val="20"/>
              </w:rPr>
            </w:pPr>
            <w:r w:rsidRPr="00483BCD">
              <w:rPr>
                <w:rFonts w:ascii="Sylfaen" w:hAnsi="Sylfaen" w:cs="Sylfaen"/>
                <w:color w:val="000000"/>
                <w:sz w:val="20"/>
                <w:szCs w:val="20"/>
              </w:rPr>
              <w:t xml:space="preserve">რაც შეეხება ბიუჯეტის შემოსავლებს, აღსანიშნავია, რომ „სხვა გადასახადების“ საპროგნოზო მაჩვენებლის განსაზღვრა ისეც გამოწვევას წარმოადგენს. ასევე, </w:t>
            </w:r>
            <w:r w:rsidRPr="00483BCD">
              <w:rPr>
                <w:rFonts w:ascii="Sylfaen" w:hAnsi="Sylfaen" w:cs="Sylfaen"/>
                <w:b/>
                <w:color w:val="000000"/>
                <w:sz w:val="20"/>
                <w:szCs w:val="20"/>
              </w:rPr>
              <w:t xml:space="preserve">2020 წელს დივიდენდებიდან მისაღები შემოსავლების რეალისტური საპროგნოზო მაჩვენებლის განსაზღვრისთვის, მიზანშეწონილია, დივიდენდების გამანაწილებელი კომისია შეიკრიბოს დროულად </w:t>
            </w:r>
            <w:r w:rsidRPr="00483BCD">
              <w:rPr>
                <w:rFonts w:ascii="Sylfaen" w:hAnsi="Sylfaen" w:cs="Sylfaen"/>
                <w:color w:val="000000"/>
                <w:sz w:val="20"/>
                <w:szCs w:val="20"/>
              </w:rPr>
              <w:t>(კანონპროექტის მესამე წარდგენამდე), რათა მოხდეს მათ მიერ მიღებული გადაწყვეტილების ასახვა დივიდენდების საპროგნოზო მაჩვენებელში;</w:t>
            </w:r>
          </w:p>
        </w:tc>
        <w:tc>
          <w:tcPr>
            <w:tcW w:w="6935" w:type="dxa"/>
          </w:tcPr>
          <w:p w:rsidR="00462209" w:rsidRPr="0004347B" w:rsidRDefault="00462209" w:rsidP="00DA3EEE">
            <w:pPr>
              <w:spacing w:line="276" w:lineRule="auto"/>
              <w:jc w:val="both"/>
              <w:rPr>
                <w:rFonts w:ascii="Sylfaen" w:hAnsi="Sylfaen"/>
                <w:b/>
                <w:sz w:val="20"/>
                <w:szCs w:val="20"/>
                <w:lang w:val="ka-GE"/>
              </w:rPr>
            </w:pPr>
          </w:p>
        </w:tc>
      </w:tr>
      <w:tr w:rsidR="00462209" w:rsidRPr="002A697D" w:rsidTr="009453F8">
        <w:tc>
          <w:tcPr>
            <w:tcW w:w="7110" w:type="dxa"/>
          </w:tcPr>
          <w:p w:rsidR="00462209" w:rsidRPr="0004347B" w:rsidRDefault="00483BCD" w:rsidP="00DA3EEE">
            <w:pPr>
              <w:spacing w:line="276" w:lineRule="auto"/>
              <w:jc w:val="both"/>
              <w:rPr>
                <w:rFonts w:ascii="Sylfaen" w:hAnsi="Sylfaen" w:cs="Sylfaen"/>
                <w:color w:val="000000"/>
                <w:sz w:val="20"/>
                <w:szCs w:val="20"/>
              </w:rPr>
            </w:pPr>
            <w:r w:rsidRPr="00483BCD">
              <w:rPr>
                <w:rFonts w:ascii="Sylfaen" w:hAnsi="Sylfaen" w:cs="Sylfaen"/>
                <w:color w:val="000000"/>
                <w:sz w:val="20"/>
                <w:szCs w:val="20"/>
              </w:rPr>
              <w:t xml:space="preserve">საყურადღებოა, რომ ბიუჯეტის ნაშთის აუქციონის გზით კომერციული ბანკებში, დეპოზიტებზე განთავსებიდან მიღებულ საპროცენტო შემოსავლების პროგნოზი 2019 წელთან შედარებით იზრდება 38 მლნ ლარამდე (9%-ით). 2019 წლის ბოლომდე იგეგმება ნაშთიდან 357 მლნ ლარის, ხოლო 2020 წელს 172 მლნ ლარის გამოყენება. </w:t>
            </w:r>
            <w:r w:rsidRPr="00DD2BB5">
              <w:rPr>
                <w:rFonts w:ascii="Sylfaen" w:hAnsi="Sylfaen" w:cs="Sylfaen"/>
                <w:b/>
                <w:color w:val="000000"/>
                <w:sz w:val="20"/>
                <w:szCs w:val="20"/>
              </w:rPr>
              <w:t>აღნიშნულის შედეგად, 2020 წლის ბოლოს ნაშთის მოცულობა 133 მლნ ლარით განისაზღვრა. აქედან გამომდინარე, საპროგნოზო მაჩვენებელი საჭიროებს დამატებით დასაბუთებას;</w:t>
            </w:r>
          </w:p>
        </w:tc>
        <w:tc>
          <w:tcPr>
            <w:tcW w:w="6935" w:type="dxa"/>
          </w:tcPr>
          <w:p w:rsidR="00462209" w:rsidRPr="0004347B" w:rsidRDefault="00462209" w:rsidP="00DA3EEE">
            <w:pPr>
              <w:spacing w:line="276" w:lineRule="auto"/>
              <w:jc w:val="both"/>
              <w:rPr>
                <w:rFonts w:ascii="Sylfaen" w:hAnsi="Sylfaen"/>
                <w:b/>
                <w:sz w:val="20"/>
                <w:szCs w:val="20"/>
                <w:lang w:val="ka-GE"/>
              </w:rPr>
            </w:pPr>
          </w:p>
        </w:tc>
      </w:tr>
      <w:tr w:rsidR="00462209" w:rsidRPr="002A697D" w:rsidTr="009453F8">
        <w:tc>
          <w:tcPr>
            <w:tcW w:w="7110" w:type="dxa"/>
          </w:tcPr>
          <w:p w:rsidR="00462209" w:rsidRPr="0004347B" w:rsidRDefault="00A140F8" w:rsidP="00DA3EEE">
            <w:pPr>
              <w:spacing w:line="276" w:lineRule="auto"/>
              <w:jc w:val="both"/>
              <w:rPr>
                <w:rFonts w:ascii="Sylfaen" w:hAnsi="Sylfaen" w:cs="Sylfaen"/>
                <w:color w:val="000000"/>
                <w:sz w:val="20"/>
                <w:szCs w:val="20"/>
              </w:rPr>
            </w:pPr>
            <w:r w:rsidRPr="00A140F8">
              <w:rPr>
                <w:rFonts w:ascii="Sylfaen" w:hAnsi="Sylfaen" w:cs="Sylfaen"/>
                <w:color w:val="000000"/>
                <w:sz w:val="20"/>
                <w:szCs w:val="20"/>
              </w:rPr>
              <w:t xml:space="preserve">პროგრამული ბიუჯეტირების მიმართულებით წინ გადადგმული ნაბიჯების მიუხედავად, </w:t>
            </w:r>
            <w:r w:rsidRPr="00675524">
              <w:rPr>
                <w:rFonts w:ascii="Sylfaen" w:hAnsi="Sylfaen" w:cs="Sylfaen"/>
                <w:b/>
                <w:color w:val="000000"/>
                <w:sz w:val="20"/>
                <w:szCs w:val="20"/>
              </w:rPr>
              <w:t>პროგრამული ბიუჯეტი ჯერ კიდევ არ წარმოადგენს ბიუჯეტის კანონის ნაწილს და ხარვეზებით ხასიათდება, რაც ანგარიშგების ეტაპზე ართულებს პროგრამების ეფექტიანობის შეფასებას.</w:t>
            </w:r>
            <w:r w:rsidRPr="00A140F8">
              <w:rPr>
                <w:rFonts w:ascii="Sylfaen" w:hAnsi="Sylfaen" w:cs="Sylfaen"/>
                <w:color w:val="000000"/>
                <w:sz w:val="20"/>
                <w:szCs w:val="20"/>
              </w:rPr>
              <w:t xml:space="preserve"> მიზანშეწონილია, გაგრძელდეს მუშაობა პროგრამების მოსალოდნელი შედეგებისა და შეფასების ინდიკატორების შესახებ წარმოდგენილი ინფორმაციის შემდგომ სრულყოფასა და გაუმჯობესებაზე. ასევე, პროგრამული ბიუჯეტის დანერგვის პროცესთან დაკავშირებით შემუშავდეს სამოქმედო გეგმა, განსახორციელებელი კონკრეტული აქტივობების, შესაბამისი ვადებისა და პასუხისმგებელი უწყებების მითითებით.</w:t>
            </w:r>
          </w:p>
        </w:tc>
        <w:tc>
          <w:tcPr>
            <w:tcW w:w="6935" w:type="dxa"/>
          </w:tcPr>
          <w:p w:rsidR="00462209" w:rsidRPr="0004347B" w:rsidRDefault="00462209" w:rsidP="00DA3EEE">
            <w:pPr>
              <w:spacing w:line="276" w:lineRule="auto"/>
              <w:jc w:val="both"/>
              <w:rPr>
                <w:rFonts w:ascii="Sylfaen" w:hAnsi="Sylfaen"/>
                <w:b/>
                <w:sz w:val="20"/>
                <w:szCs w:val="20"/>
                <w:lang w:val="ka-GE"/>
              </w:rPr>
            </w:pPr>
          </w:p>
        </w:tc>
      </w:tr>
    </w:tbl>
    <w:p w:rsidR="0008767A" w:rsidRDefault="0008767A" w:rsidP="0008767A">
      <w:pPr>
        <w:rPr>
          <w:lang w:val="ka-GE"/>
        </w:rPr>
      </w:pPr>
    </w:p>
    <w:p w:rsidR="0008767A" w:rsidRDefault="0008767A" w:rsidP="0008767A">
      <w:pPr>
        <w:rPr>
          <w:lang w:val="ka-GE"/>
        </w:rPr>
      </w:pPr>
    </w:p>
    <w:p w:rsidR="00AC4A2A" w:rsidRPr="002A697D" w:rsidRDefault="00AC4A2A" w:rsidP="00AC4A2A">
      <w:pPr>
        <w:rPr>
          <w:rFonts w:ascii="Sylfaen" w:hAnsi="Sylfaen"/>
          <w:sz w:val="20"/>
          <w:szCs w:val="20"/>
          <w:lang w:val="ka-GE"/>
        </w:rPr>
      </w:pPr>
    </w:p>
    <w:p w:rsidR="00AC4A2A" w:rsidRPr="002A697D" w:rsidRDefault="00AC4A2A" w:rsidP="007C0012">
      <w:pPr>
        <w:spacing w:line="276" w:lineRule="auto"/>
        <w:jc w:val="both"/>
        <w:rPr>
          <w:rFonts w:ascii="Sylfaen" w:hAnsi="Sylfaen"/>
          <w:b/>
          <w:sz w:val="20"/>
          <w:szCs w:val="20"/>
          <w:lang w:val="ka-GE"/>
        </w:rPr>
      </w:pPr>
    </w:p>
    <w:sectPr w:rsidR="00AC4A2A" w:rsidRPr="002A697D" w:rsidSect="003C7F10">
      <w:footerReference w:type="default" r:id="rId7"/>
      <w:pgSz w:w="15840" w:h="12240" w:orient="landscape"/>
      <w:pgMar w:top="81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AD1" w:rsidRDefault="004D2AD1" w:rsidP="005F75FB">
      <w:pPr>
        <w:spacing w:after="0" w:line="240" w:lineRule="auto"/>
      </w:pPr>
      <w:r>
        <w:separator/>
      </w:r>
    </w:p>
  </w:endnote>
  <w:endnote w:type="continuationSeparator" w:id="0">
    <w:p w:rsidR="004D2AD1" w:rsidRDefault="004D2AD1" w:rsidP="005F7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330718"/>
      <w:docPartObj>
        <w:docPartGallery w:val="Page Numbers (Bottom of Page)"/>
        <w:docPartUnique/>
      </w:docPartObj>
    </w:sdtPr>
    <w:sdtEndPr>
      <w:rPr>
        <w:noProof/>
      </w:rPr>
    </w:sdtEndPr>
    <w:sdtContent>
      <w:p w:rsidR="00441D39" w:rsidRDefault="00441D39">
        <w:pPr>
          <w:pStyle w:val="Footer"/>
          <w:jc w:val="right"/>
        </w:pPr>
        <w:r>
          <w:fldChar w:fldCharType="begin"/>
        </w:r>
        <w:r>
          <w:instrText xml:space="preserve"> PAGE   \* MERGEFORMAT </w:instrText>
        </w:r>
        <w:r>
          <w:fldChar w:fldCharType="separate"/>
        </w:r>
        <w:r w:rsidR="004D2AD1">
          <w:rPr>
            <w:noProof/>
          </w:rPr>
          <w:t>1</w:t>
        </w:r>
        <w:r>
          <w:rPr>
            <w:noProof/>
          </w:rPr>
          <w:fldChar w:fldCharType="end"/>
        </w:r>
      </w:p>
    </w:sdtContent>
  </w:sdt>
  <w:p w:rsidR="00441D39" w:rsidRDefault="00441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AD1" w:rsidRDefault="004D2AD1" w:rsidP="005F75FB">
      <w:pPr>
        <w:spacing w:after="0" w:line="240" w:lineRule="auto"/>
      </w:pPr>
      <w:r>
        <w:separator/>
      </w:r>
    </w:p>
  </w:footnote>
  <w:footnote w:type="continuationSeparator" w:id="0">
    <w:p w:rsidR="004D2AD1" w:rsidRDefault="004D2AD1" w:rsidP="005F7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54128"/>
    <w:multiLevelType w:val="hybridMultilevel"/>
    <w:tmpl w:val="3C340C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258DA"/>
    <w:multiLevelType w:val="hybridMultilevel"/>
    <w:tmpl w:val="35DE05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87A38"/>
    <w:multiLevelType w:val="hybridMultilevel"/>
    <w:tmpl w:val="F97CC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D6B70"/>
    <w:multiLevelType w:val="hybridMultilevel"/>
    <w:tmpl w:val="E3C46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0E3CB3"/>
    <w:multiLevelType w:val="hybridMultilevel"/>
    <w:tmpl w:val="AECE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75457"/>
    <w:multiLevelType w:val="hybridMultilevel"/>
    <w:tmpl w:val="E1CA9946"/>
    <w:lvl w:ilvl="0" w:tplc="F1B2E236">
      <w:numFmt w:val="bullet"/>
      <w:lvlText w:val="-"/>
      <w:lvlJc w:val="left"/>
      <w:pPr>
        <w:ind w:left="720" w:hanging="360"/>
      </w:pPr>
      <w:rPr>
        <w:rFonts w:ascii="Sylfaen" w:eastAsiaTheme="minorHAnsi" w:hAnsi="Sylfaen" w:cs="Sylfae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C3E77"/>
    <w:multiLevelType w:val="hybridMultilevel"/>
    <w:tmpl w:val="BB1EDE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F63850"/>
    <w:multiLevelType w:val="hybridMultilevel"/>
    <w:tmpl w:val="79902C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EF35B4"/>
    <w:multiLevelType w:val="hybridMultilevel"/>
    <w:tmpl w:val="E0F6E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B6345"/>
    <w:multiLevelType w:val="hybridMultilevel"/>
    <w:tmpl w:val="3216E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321546"/>
    <w:multiLevelType w:val="hybridMultilevel"/>
    <w:tmpl w:val="FA0C26A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C0D4FEAA">
      <w:start w:val="500"/>
      <w:numFmt w:val="bullet"/>
      <w:lvlText w:val="-"/>
      <w:lvlJc w:val="left"/>
      <w:pPr>
        <w:ind w:left="2160" w:hanging="360"/>
      </w:pPr>
      <w:rPr>
        <w:rFonts w:ascii="Sylfaen" w:eastAsia="PMingLiU" w:hAnsi="Sylfae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827D72"/>
    <w:multiLevelType w:val="hybridMultilevel"/>
    <w:tmpl w:val="D10EC0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1"/>
  </w:num>
  <w:num w:numId="5">
    <w:abstractNumId w:val="9"/>
  </w:num>
  <w:num w:numId="6">
    <w:abstractNumId w:val="2"/>
  </w:num>
  <w:num w:numId="7">
    <w:abstractNumId w:val="0"/>
  </w:num>
  <w:num w:numId="8">
    <w:abstractNumId w:val="11"/>
  </w:num>
  <w:num w:numId="9">
    <w:abstractNumId w:val="8"/>
  </w:num>
  <w:num w:numId="10">
    <w:abstractNumId w:val="3"/>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92A"/>
    <w:rsid w:val="0004347B"/>
    <w:rsid w:val="000572BB"/>
    <w:rsid w:val="0008767A"/>
    <w:rsid w:val="00090F84"/>
    <w:rsid w:val="0009602F"/>
    <w:rsid w:val="000A0959"/>
    <w:rsid w:val="000E1491"/>
    <w:rsid w:val="00114AA3"/>
    <w:rsid w:val="00132200"/>
    <w:rsid w:val="0018340E"/>
    <w:rsid w:val="00190733"/>
    <w:rsid w:val="001C5A1A"/>
    <w:rsid w:val="001D1818"/>
    <w:rsid w:val="001D7C0B"/>
    <w:rsid w:val="002A697D"/>
    <w:rsid w:val="002B5CE5"/>
    <w:rsid w:val="002F4BFA"/>
    <w:rsid w:val="003C2C99"/>
    <w:rsid w:val="003C7F10"/>
    <w:rsid w:val="003E5E2B"/>
    <w:rsid w:val="004376F9"/>
    <w:rsid w:val="00441D39"/>
    <w:rsid w:val="00462209"/>
    <w:rsid w:val="00475C3B"/>
    <w:rsid w:val="00483BCD"/>
    <w:rsid w:val="004B7A8A"/>
    <w:rsid w:val="004C32B8"/>
    <w:rsid w:val="004C5FBE"/>
    <w:rsid w:val="004D2AD1"/>
    <w:rsid w:val="004D69CF"/>
    <w:rsid w:val="004F1EB1"/>
    <w:rsid w:val="00544AF5"/>
    <w:rsid w:val="005542C3"/>
    <w:rsid w:val="005704E7"/>
    <w:rsid w:val="005918F7"/>
    <w:rsid w:val="005A68AF"/>
    <w:rsid w:val="005A7BD5"/>
    <w:rsid w:val="005F75FB"/>
    <w:rsid w:val="00603471"/>
    <w:rsid w:val="006230E4"/>
    <w:rsid w:val="0062440C"/>
    <w:rsid w:val="00631445"/>
    <w:rsid w:val="00642430"/>
    <w:rsid w:val="006518D4"/>
    <w:rsid w:val="00674F1E"/>
    <w:rsid w:val="00675524"/>
    <w:rsid w:val="0068684A"/>
    <w:rsid w:val="006A17F2"/>
    <w:rsid w:val="006C12E7"/>
    <w:rsid w:val="006C1494"/>
    <w:rsid w:val="006F6E1D"/>
    <w:rsid w:val="00710AD0"/>
    <w:rsid w:val="00725E03"/>
    <w:rsid w:val="00792BDD"/>
    <w:rsid w:val="007A24B5"/>
    <w:rsid w:val="007C0012"/>
    <w:rsid w:val="007F3937"/>
    <w:rsid w:val="007F5A4E"/>
    <w:rsid w:val="00807054"/>
    <w:rsid w:val="00821402"/>
    <w:rsid w:val="00840C19"/>
    <w:rsid w:val="008B741C"/>
    <w:rsid w:val="009453F8"/>
    <w:rsid w:val="00964FAB"/>
    <w:rsid w:val="00984E44"/>
    <w:rsid w:val="009926A6"/>
    <w:rsid w:val="009B192D"/>
    <w:rsid w:val="009D4A83"/>
    <w:rsid w:val="009E5210"/>
    <w:rsid w:val="009F0AFA"/>
    <w:rsid w:val="00A01F52"/>
    <w:rsid w:val="00A04590"/>
    <w:rsid w:val="00A140F8"/>
    <w:rsid w:val="00A57EF7"/>
    <w:rsid w:val="00A651B1"/>
    <w:rsid w:val="00A72876"/>
    <w:rsid w:val="00A9430F"/>
    <w:rsid w:val="00AA2172"/>
    <w:rsid w:val="00AC4A2A"/>
    <w:rsid w:val="00AD140D"/>
    <w:rsid w:val="00AE1D17"/>
    <w:rsid w:val="00AE5B51"/>
    <w:rsid w:val="00AF66C2"/>
    <w:rsid w:val="00B20FDB"/>
    <w:rsid w:val="00B360B5"/>
    <w:rsid w:val="00B55663"/>
    <w:rsid w:val="00B5692A"/>
    <w:rsid w:val="00B83C06"/>
    <w:rsid w:val="00BB2FD9"/>
    <w:rsid w:val="00BB7967"/>
    <w:rsid w:val="00C40851"/>
    <w:rsid w:val="00C52EA8"/>
    <w:rsid w:val="00C629FC"/>
    <w:rsid w:val="00C768A5"/>
    <w:rsid w:val="00C9699A"/>
    <w:rsid w:val="00CA388A"/>
    <w:rsid w:val="00CA6732"/>
    <w:rsid w:val="00CC6C52"/>
    <w:rsid w:val="00D17C91"/>
    <w:rsid w:val="00D319CB"/>
    <w:rsid w:val="00D8480B"/>
    <w:rsid w:val="00D9214B"/>
    <w:rsid w:val="00DA3EEE"/>
    <w:rsid w:val="00DA603F"/>
    <w:rsid w:val="00DB1F6B"/>
    <w:rsid w:val="00DB4A0B"/>
    <w:rsid w:val="00DD2BB5"/>
    <w:rsid w:val="00DE68ED"/>
    <w:rsid w:val="00DF5D33"/>
    <w:rsid w:val="00E021AB"/>
    <w:rsid w:val="00E04B89"/>
    <w:rsid w:val="00E25671"/>
    <w:rsid w:val="00E31B86"/>
    <w:rsid w:val="00E4300D"/>
    <w:rsid w:val="00E52AF7"/>
    <w:rsid w:val="00EA787A"/>
    <w:rsid w:val="00F026DE"/>
    <w:rsid w:val="00F03858"/>
    <w:rsid w:val="00F33BA4"/>
    <w:rsid w:val="00F52138"/>
    <w:rsid w:val="00F553FA"/>
    <w:rsid w:val="00F72D5D"/>
    <w:rsid w:val="00F8692F"/>
    <w:rsid w:val="00F96B6C"/>
    <w:rsid w:val="00FA48CA"/>
    <w:rsid w:val="00FC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BCEB99-D6BC-4A1D-9098-D5640A69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92A"/>
  </w:style>
  <w:style w:type="paragraph" w:styleId="Heading1">
    <w:name w:val="heading 1"/>
    <w:basedOn w:val="Normal"/>
    <w:next w:val="Normal"/>
    <w:link w:val="Heading1Char"/>
    <w:uiPriority w:val="9"/>
    <w:qFormat/>
    <w:rsid w:val="00AD14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6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388A"/>
    <w:pPr>
      <w:autoSpaceDE w:val="0"/>
      <w:autoSpaceDN w:val="0"/>
      <w:adjustRightInd w:val="0"/>
      <w:spacing w:after="0" w:line="240" w:lineRule="auto"/>
    </w:pPr>
    <w:rPr>
      <w:rFonts w:ascii="Sylfaen" w:hAnsi="Sylfaen" w:cs="Sylfaen"/>
      <w:color w:val="000000"/>
      <w:sz w:val="24"/>
      <w:szCs w:val="24"/>
    </w:rPr>
  </w:style>
  <w:style w:type="character" w:styleId="CommentReference">
    <w:name w:val="annotation reference"/>
    <w:basedOn w:val="DefaultParagraphFont"/>
    <w:uiPriority w:val="99"/>
    <w:semiHidden/>
    <w:unhideWhenUsed/>
    <w:rsid w:val="00C768A5"/>
    <w:rPr>
      <w:sz w:val="16"/>
      <w:szCs w:val="16"/>
    </w:rPr>
  </w:style>
  <w:style w:type="paragraph" w:styleId="CommentText">
    <w:name w:val="annotation text"/>
    <w:basedOn w:val="Normal"/>
    <w:link w:val="CommentTextChar"/>
    <w:uiPriority w:val="99"/>
    <w:semiHidden/>
    <w:unhideWhenUsed/>
    <w:rsid w:val="00C768A5"/>
    <w:pPr>
      <w:spacing w:line="240" w:lineRule="auto"/>
    </w:pPr>
    <w:rPr>
      <w:sz w:val="20"/>
      <w:szCs w:val="20"/>
    </w:rPr>
  </w:style>
  <w:style w:type="character" w:customStyle="1" w:styleId="CommentTextChar">
    <w:name w:val="Comment Text Char"/>
    <w:basedOn w:val="DefaultParagraphFont"/>
    <w:link w:val="CommentText"/>
    <w:uiPriority w:val="99"/>
    <w:semiHidden/>
    <w:rsid w:val="00C768A5"/>
    <w:rPr>
      <w:sz w:val="20"/>
      <w:szCs w:val="20"/>
    </w:rPr>
  </w:style>
  <w:style w:type="paragraph" w:styleId="CommentSubject">
    <w:name w:val="annotation subject"/>
    <w:basedOn w:val="CommentText"/>
    <w:next w:val="CommentText"/>
    <w:link w:val="CommentSubjectChar"/>
    <w:uiPriority w:val="99"/>
    <w:semiHidden/>
    <w:unhideWhenUsed/>
    <w:rsid w:val="00C768A5"/>
    <w:rPr>
      <w:b/>
      <w:bCs/>
    </w:rPr>
  </w:style>
  <w:style w:type="character" w:customStyle="1" w:styleId="CommentSubjectChar">
    <w:name w:val="Comment Subject Char"/>
    <w:basedOn w:val="CommentTextChar"/>
    <w:link w:val="CommentSubject"/>
    <w:uiPriority w:val="99"/>
    <w:semiHidden/>
    <w:rsid w:val="00C768A5"/>
    <w:rPr>
      <w:b/>
      <w:bCs/>
      <w:sz w:val="20"/>
      <w:szCs w:val="20"/>
    </w:rPr>
  </w:style>
  <w:style w:type="paragraph" w:styleId="BalloonText">
    <w:name w:val="Balloon Text"/>
    <w:basedOn w:val="Normal"/>
    <w:link w:val="BalloonTextChar"/>
    <w:uiPriority w:val="99"/>
    <w:semiHidden/>
    <w:unhideWhenUsed/>
    <w:rsid w:val="00C76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8A5"/>
    <w:rPr>
      <w:rFonts w:ascii="Segoe UI" w:hAnsi="Segoe UI" w:cs="Segoe UI"/>
      <w:sz w:val="18"/>
      <w:szCs w:val="18"/>
    </w:rPr>
  </w:style>
  <w:style w:type="paragraph" w:styleId="Revision">
    <w:name w:val="Revision"/>
    <w:hidden/>
    <w:uiPriority w:val="99"/>
    <w:semiHidden/>
    <w:rsid w:val="00C768A5"/>
    <w:pPr>
      <w:spacing w:after="0" w:line="240" w:lineRule="auto"/>
    </w:p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5F75FB"/>
    <w:pPr>
      <w:ind w:left="720"/>
      <w:contextualSpacing/>
    </w:pPr>
  </w:style>
  <w:style w:type="paragraph" w:styleId="Header">
    <w:name w:val="header"/>
    <w:basedOn w:val="Normal"/>
    <w:link w:val="HeaderChar"/>
    <w:uiPriority w:val="99"/>
    <w:unhideWhenUsed/>
    <w:rsid w:val="005F7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5FB"/>
  </w:style>
  <w:style w:type="paragraph" w:styleId="Footer">
    <w:name w:val="footer"/>
    <w:basedOn w:val="Normal"/>
    <w:link w:val="FooterChar"/>
    <w:uiPriority w:val="99"/>
    <w:unhideWhenUsed/>
    <w:rsid w:val="005F7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5FB"/>
  </w:style>
  <w:style w:type="character" w:customStyle="1" w:styleId="Heading1Char">
    <w:name w:val="Heading 1 Char"/>
    <w:basedOn w:val="DefaultParagraphFont"/>
    <w:link w:val="Heading1"/>
    <w:uiPriority w:val="9"/>
    <w:rsid w:val="00AD140D"/>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9F0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11</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Gulua</dc:creator>
  <cp:keywords/>
  <dc:description/>
  <cp:lastModifiedBy>Natia Gulua</cp:lastModifiedBy>
  <cp:revision>4</cp:revision>
  <cp:lastPrinted>2019-10-24T10:45:00Z</cp:lastPrinted>
  <dcterms:created xsi:type="dcterms:W3CDTF">2019-10-24T10:37:00Z</dcterms:created>
  <dcterms:modified xsi:type="dcterms:W3CDTF">2019-10-25T06:22:00Z</dcterms:modified>
</cp:coreProperties>
</file>